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9A7FD" w14:textId="162396C9" w:rsidR="00D351E9" w:rsidRPr="0003505C" w:rsidRDefault="00A72460" w:rsidP="00671D36">
      <w:pPr>
        <w:spacing w:line="480" w:lineRule="auto"/>
        <w:jc w:val="both"/>
        <w:rPr>
          <w:b/>
          <w:bCs/>
          <w:sz w:val="28"/>
          <w:szCs w:val="28"/>
          <w:lang w:val="en-GB"/>
        </w:rPr>
      </w:pPr>
      <w:bookmarkStart w:id="0" w:name="X7ab493635fbee24fd6b73bdd2c698167c8487c8"/>
      <w:r>
        <w:rPr>
          <w:b/>
          <w:bCs/>
          <w:sz w:val="28"/>
          <w:szCs w:val="28"/>
          <w:lang w:val="en-GB"/>
        </w:rPr>
        <w:t xml:space="preserve">Sub-county Heterogeneity in the Impact of Improved </w:t>
      </w:r>
      <w:proofErr w:type="gramStart"/>
      <w:r>
        <w:rPr>
          <w:b/>
          <w:bCs/>
          <w:sz w:val="28"/>
          <w:szCs w:val="28"/>
          <w:lang w:val="en-GB"/>
        </w:rPr>
        <w:t>RTS,S</w:t>
      </w:r>
      <w:proofErr w:type="gramEnd"/>
      <w:r>
        <w:rPr>
          <w:b/>
          <w:bCs/>
          <w:sz w:val="28"/>
          <w:szCs w:val="28"/>
          <w:lang w:val="en-GB"/>
        </w:rPr>
        <w:t xml:space="preserve"> Fourth-Dose Coverage with Enhanced Vector Control in Kenya’s Lake-Endemic Region: A Transmission Modelling Study</w:t>
      </w:r>
      <w:r>
        <w:rPr>
          <w:b/>
          <w:bCs/>
        </w:rPr>
        <w:t xml:space="preserve"> </w:t>
      </w:r>
    </w:p>
    <w:p w14:paraId="7A29A7FE" w14:textId="622E2053" w:rsidR="00D351E9" w:rsidRDefault="00713959" w:rsidP="00671D36">
      <w:pPr>
        <w:pStyle w:val="FirstParagraph"/>
        <w:jc w:val="both"/>
        <w:rPr>
          <w:vertAlign w:val="superscript"/>
        </w:rPr>
      </w:pPr>
      <w:r>
        <w:t>Stephanie Kamunya</w:t>
      </w:r>
      <w:r w:rsidR="00BB5354" w:rsidRPr="00BB5354">
        <w:rPr>
          <w:vertAlign w:val="superscript"/>
        </w:rPr>
        <w:t>1</w:t>
      </w:r>
      <w:r>
        <w:t>, Geoffrey Githinji</w:t>
      </w:r>
      <w:r w:rsidR="00BB5354" w:rsidRPr="00BB5354">
        <w:rPr>
          <w:vertAlign w:val="superscript"/>
        </w:rPr>
        <w:t>2</w:t>
      </w:r>
    </w:p>
    <w:p w14:paraId="4993C202" w14:textId="3F656736" w:rsidR="00BB5354" w:rsidRDefault="00246129" w:rsidP="00671D36">
      <w:pPr>
        <w:pStyle w:val="BodyText"/>
        <w:jc w:val="both"/>
      </w:pPr>
      <w:r w:rsidRPr="00246129">
        <w:rPr>
          <w:vertAlign w:val="superscript"/>
        </w:rPr>
        <w:t>1</w:t>
      </w:r>
      <w:r w:rsidR="00BB5354">
        <w:t>Mount Kenya University</w:t>
      </w:r>
      <w:r>
        <w:t>, Thika, Kenya</w:t>
      </w:r>
    </w:p>
    <w:p w14:paraId="35ADDE26" w14:textId="30355890" w:rsidR="00BB5354" w:rsidRPr="00BB5354" w:rsidRDefault="00246129" w:rsidP="00671D36">
      <w:pPr>
        <w:pStyle w:val="BodyText"/>
        <w:jc w:val="both"/>
      </w:pPr>
      <w:r w:rsidRPr="00246129">
        <w:rPr>
          <w:vertAlign w:val="superscript"/>
        </w:rPr>
        <w:t>2</w:t>
      </w:r>
      <w:r w:rsidR="00D4523E">
        <w:t>Swiss</w:t>
      </w:r>
      <w:r w:rsidR="006A7363">
        <w:t xml:space="preserve"> Tropical </w:t>
      </w:r>
      <w:r w:rsidR="003457B4">
        <w:t>and Public Health Institute</w:t>
      </w:r>
      <w:r>
        <w:t>, Basel, Switzerland</w:t>
      </w:r>
    </w:p>
    <w:p w14:paraId="7A29A7FF" w14:textId="77777777" w:rsidR="00D351E9" w:rsidRPr="002C7DB5" w:rsidRDefault="00713959" w:rsidP="00671D36">
      <w:pPr>
        <w:pStyle w:val="Heading2"/>
        <w:jc w:val="both"/>
        <w:rPr>
          <w:color w:val="auto"/>
        </w:rPr>
      </w:pPr>
      <w:bookmarkStart w:id="1" w:name="overview"/>
      <w:bookmarkEnd w:id="0"/>
      <w:r w:rsidRPr="002C7DB5">
        <w:rPr>
          <w:color w:val="auto"/>
        </w:rPr>
        <w:t>Overview</w:t>
      </w:r>
    </w:p>
    <w:p w14:paraId="7A29A800" w14:textId="34A9FB53" w:rsidR="00D351E9" w:rsidRDefault="00713959" w:rsidP="00671D36">
      <w:pPr>
        <w:pStyle w:val="FirstParagraph"/>
        <w:jc w:val="both"/>
      </w:pPr>
      <w:r>
        <w:t xml:space="preserve">This supplementary file provides the mathematical formulation, assumptions, intervention representation, calibration approach, and additional methodological details underlying the transmission model used to assess the impact of increasing </w:t>
      </w:r>
      <w:r w:rsidR="0069437B">
        <w:t xml:space="preserve">fourth-dose </w:t>
      </w:r>
      <w:proofErr w:type="gramStart"/>
      <w:r>
        <w:t>RTS,S</w:t>
      </w:r>
      <w:proofErr w:type="gramEnd"/>
      <w:r>
        <w:t xml:space="preserve"> coverage in the lake-endemic region of Kenya. The analysis was conducted for all 65 sub-counties across the eight lake-endemic counties of Kenya. The model was fitted at the sub-county level to capture spatial heterogeneity in malaria transmission and intervention effects. The principal objective was to evaluate the epidemiological impact of incrementally increasing</w:t>
      </w:r>
      <w:r w:rsidR="00BB27DE">
        <w:t xml:space="preserve"> fourth-dose</w:t>
      </w:r>
      <w:r>
        <w:t xml:space="preserve"> </w:t>
      </w:r>
      <w:proofErr w:type="gramStart"/>
      <w:r>
        <w:t>RTS,S</w:t>
      </w:r>
      <w:proofErr w:type="gramEnd"/>
      <w:r>
        <w:t xml:space="preserve"> coverage</w:t>
      </w:r>
      <w:r w:rsidR="00BB27DE">
        <w:t xml:space="preserve"> </w:t>
      </w:r>
      <w:r>
        <w:t>under two main scenarios:</w:t>
      </w:r>
    </w:p>
    <w:p w14:paraId="7A29A801" w14:textId="00E951EE" w:rsidR="00D351E9" w:rsidRDefault="00713959" w:rsidP="00671D36">
      <w:pPr>
        <w:pStyle w:val="Compact"/>
        <w:numPr>
          <w:ilvl w:val="0"/>
          <w:numId w:val="2"/>
        </w:numPr>
        <w:jc w:val="both"/>
      </w:pPr>
      <w:r>
        <w:t>Increasing</w:t>
      </w:r>
      <w:r w:rsidR="00BB27DE">
        <w:t xml:space="preserve"> fourth-dose</w:t>
      </w:r>
      <w:r>
        <w:t xml:space="preserve"> coverage while maintaining existing net interventions; and</w:t>
      </w:r>
    </w:p>
    <w:p w14:paraId="7A29A802" w14:textId="05D53001" w:rsidR="00D351E9" w:rsidRDefault="00713959" w:rsidP="00671D36">
      <w:pPr>
        <w:pStyle w:val="Compact"/>
        <w:numPr>
          <w:ilvl w:val="0"/>
          <w:numId w:val="2"/>
        </w:numPr>
        <w:jc w:val="both"/>
      </w:pPr>
      <w:r>
        <w:t>Increasing</w:t>
      </w:r>
      <w:r w:rsidR="003B775D">
        <w:t xml:space="preserve"> fourth-dose</w:t>
      </w:r>
      <w:r>
        <w:t xml:space="preserve"> coverage alongside deployment of dual active-ingredient (AI) insecticide-treated nets.</w:t>
      </w:r>
    </w:p>
    <w:p w14:paraId="7A29A803" w14:textId="77777777" w:rsidR="00D351E9" w:rsidRPr="002C7DB5" w:rsidRDefault="00713959" w:rsidP="00671D36">
      <w:pPr>
        <w:pStyle w:val="Heading2"/>
        <w:jc w:val="both"/>
        <w:rPr>
          <w:color w:val="auto"/>
        </w:rPr>
      </w:pPr>
      <w:bookmarkStart w:id="2" w:name="study-setting"/>
      <w:bookmarkEnd w:id="1"/>
      <w:r w:rsidRPr="002C7DB5">
        <w:rPr>
          <w:color w:val="auto"/>
        </w:rPr>
        <w:t>Study Setting</w:t>
      </w:r>
    </w:p>
    <w:p w14:paraId="7A29A804" w14:textId="77777777" w:rsidR="00D351E9" w:rsidRDefault="00713959" w:rsidP="00671D36">
      <w:pPr>
        <w:pStyle w:val="FirstParagraph"/>
        <w:jc w:val="both"/>
      </w:pPr>
      <w:r>
        <w:t xml:space="preserve">The study focused on the lake-endemic malaria region of Kenya, comprising eight counties: Busia, Bungoma, Homa Bay, Kakamega, Kisumu, Migori, Siaya, and </w:t>
      </w:r>
      <w:proofErr w:type="spellStart"/>
      <w:r>
        <w:t>Vihiga</w:t>
      </w:r>
      <w:proofErr w:type="spellEnd"/>
      <w:r>
        <w:t>. Analysis was performed at the sub-county level, with all 65 sub-counties included in the modelling framework (</w:t>
      </w:r>
      <w:r>
        <w:rPr>
          <w:b/>
          <w:bCs/>
        </w:rPr>
        <w:t>Table S1</w:t>
      </w:r>
      <w:r>
        <w:t xml:space="preserve">). This region experiences sustained malaria transmission, although the level of transmission varies spatially across sub-counties. Such heterogeneity makes sub-county-level modelling particularly important for evaluating the </w:t>
      </w:r>
      <w:proofErr w:type="spellStart"/>
      <w:r>
        <w:t>localised</w:t>
      </w:r>
      <w:proofErr w:type="spellEnd"/>
      <w:r>
        <w:t xml:space="preserve"> impact of interventions.</w:t>
      </w:r>
    </w:p>
    <w:p w14:paraId="7A29A805" w14:textId="0FC7963A" w:rsidR="00D351E9" w:rsidRDefault="002C7DB5" w:rsidP="00671D36">
      <w:pPr>
        <w:pStyle w:val="TableCaption"/>
        <w:jc w:val="both"/>
      </w:pPr>
      <w:r w:rsidRPr="002C7DB5">
        <w:rPr>
          <w:b/>
          <w:bCs/>
        </w:rPr>
        <w:t>Table S1:</w:t>
      </w:r>
      <w:r w:rsidR="00AD6681" w:rsidRPr="00AD6681">
        <w:t xml:space="preserve"> Administrative sub-counties included in the lake-endemic region malaria transmission model.</w:t>
      </w:r>
      <w:r>
        <w:t xml:space="preserve"> </w:t>
      </w:r>
    </w:p>
    <w:tbl>
      <w:tblPr>
        <w:tblStyle w:val="TableGrid"/>
        <w:tblW w:w="5000" w:type="pct"/>
        <w:tblLayout w:type="fixed"/>
        <w:tblLook w:val="0020" w:firstRow="1" w:lastRow="0" w:firstColumn="0" w:lastColumn="0" w:noHBand="0" w:noVBand="0"/>
      </w:tblPr>
      <w:tblGrid>
        <w:gridCol w:w="4788"/>
        <w:gridCol w:w="4788"/>
      </w:tblGrid>
      <w:tr w:rsidR="00D351E9" w14:paraId="7A29A808" w14:textId="77777777" w:rsidTr="002C7DB5">
        <w:tc>
          <w:tcPr>
            <w:tcW w:w="3960" w:type="dxa"/>
          </w:tcPr>
          <w:p w14:paraId="7A29A806" w14:textId="77777777" w:rsidR="00D351E9" w:rsidRDefault="00713959" w:rsidP="00671D36">
            <w:pPr>
              <w:pStyle w:val="Compact"/>
              <w:jc w:val="both"/>
            </w:pPr>
            <w:r>
              <w:t>County</w:t>
            </w:r>
          </w:p>
        </w:tc>
        <w:tc>
          <w:tcPr>
            <w:tcW w:w="3960" w:type="dxa"/>
          </w:tcPr>
          <w:p w14:paraId="7A29A807" w14:textId="77777777" w:rsidR="00D351E9" w:rsidRDefault="00713959" w:rsidP="00671D36">
            <w:pPr>
              <w:pStyle w:val="Compact"/>
              <w:jc w:val="both"/>
            </w:pPr>
            <w:r>
              <w:t>Sub-county</w:t>
            </w:r>
          </w:p>
        </w:tc>
      </w:tr>
      <w:tr w:rsidR="00D351E9" w14:paraId="7A29A80B" w14:textId="77777777" w:rsidTr="002C7DB5">
        <w:tc>
          <w:tcPr>
            <w:tcW w:w="3960" w:type="dxa"/>
          </w:tcPr>
          <w:p w14:paraId="7A29A809" w14:textId="77777777" w:rsidR="00D351E9" w:rsidRDefault="00713959" w:rsidP="00671D36">
            <w:pPr>
              <w:pStyle w:val="Compact"/>
              <w:jc w:val="both"/>
            </w:pPr>
            <w:r>
              <w:t>Bungoma</w:t>
            </w:r>
          </w:p>
        </w:tc>
        <w:tc>
          <w:tcPr>
            <w:tcW w:w="3960" w:type="dxa"/>
          </w:tcPr>
          <w:p w14:paraId="7A29A80A" w14:textId="77777777" w:rsidR="00D351E9" w:rsidRDefault="00713959" w:rsidP="00671D36">
            <w:pPr>
              <w:pStyle w:val="Compact"/>
              <w:jc w:val="both"/>
            </w:pPr>
            <w:proofErr w:type="spellStart"/>
            <w:r>
              <w:t>Bumula</w:t>
            </w:r>
            <w:proofErr w:type="spellEnd"/>
            <w:r>
              <w:t xml:space="preserve">, Cheptais, </w:t>
            </w:r>
            <w:proofErr w:type="spellStart"/>
            <w:r>
              <w:t>Kabuchai</w:t>
            </w:r>
            <w:proofErr w:type="spellEnd"/>
            <w:r>
              <w:t xml:space="preserve">, </w:t>
            </w:r>
            <w:proofErr w:type="spellStart"/>
            <w:r>
              <w:t>Kanduyi</w:t>
            </w:r>
            <w:proofErr w:type="spellEnd"/>
            <w:r>
              <w:t xml:space="preserve">, </w:t>
            </w:r>
            <w:proofErr w:type="spellStart"/>
            <w:r>
              <w:t>Kimilili</w:t>
            </w:r>
            <w:proofErr w:type="spellEnd"/>
            <w:r>
              <w:t xml:space="preserve">, Mt. Elgon, </w:t>
            </w:r>
            <w:proofErr w:type="spellStart"/>
            <w:r>
              <w:t>Sirisia</w:t>
            </w:r>
            <w:proofErr w:type="spellEnd"/>
            <w:r>
              <w:t xml:space="preserve">, </w:t>
            </w:r>
            <w:proofErr w:type="spellStart"/>
            <w:r>
              <w:t>Tongaren</w:t>
            </w:r>
            <w:proofErr w:type="spellEnd"/>
            <w:r>
              <w:t xml:space="preserve">, </w:t>
            </w:r>
            <w:proofErr w:type="spellStart"/>
            <w:r>
              <w:t>Webuye</w:t>
            </w:r>
            <w:proofErr w:type="spellEnd"/>
            <w:r>
              <w:t xml:space="preserve"> East, </w:t>
            </w:r>
            <w:proofErr w:type="spellStart"/>
            <w:r>
              <w:t>Webuye</w:t>
            </w:r>
            <w:proofErr w:type="spellEnd"/>
            <w:r>
              <w:t xml:space="preserve"> West</w:t>
            </w:r>
          </w:p>
        </w:tc>
      </w:tr>
      <w:tr w:rsidR="00D351E9" w14:paraId="7A29A80E" w14:textId="77777777" w:rsidTr="002C7DB5">
        <w:tc>
          <w:tcPr>
            <w:tcW w:w="3960" w:type="dxa"/>
          </w:tcPr>
          <w:p w14:paraId="7A29A80C" w14:textId="77777777" w:rsidR="00D351E9" w:rsidRDefault="00713959" w:rsidP="00671D36">
            <w:pPr>
              <w:pStyle w:val="Compact"/>
              <w:jc w:val="both"/>
            </w:pPr>
            <w:r>
              <w:lastRenderedPageBreak/>
              <w:t>Busia</w:t>
            </w:r>
          </w:p>
        </w:tc>
        <w:tc>
          <w:tcPr>
            <w:tcW w:w="3960" w:type="dxa"/>
          </w:tcPr>
          <w:p w14:paraId="7A29A80D" w14:textId="77777777" w:rsidR="00D351E9" w:rsidRDefault="00713959" w:rsidP="00671D36">
            <w:pPr>
              <w:pStyle w:val="Compact"/>
              <w:jc w:val="both"/>
            </w:pPr>
            <w:proofErr w:type="spellStart"/>
            <w:r>
              <w:t>Bunyala</w:t>
            </w:r>
            <w:proofErr w:type="spellEnd"/>
            <w:r>
              <w:t xml:space="preserve">, </w:t>
            </w:r>
            <w:proofErr w:type="spellStart"/>
            <w:r>
              <w:t>Butula</w:t>
            </w:r>
            <w:proofErr w:type="spellEnd"/>
            <w:r>
              <w:t xml:space="preserve">, Matayos, </w:t>
            </w:r>
            <w:proofErr w:type="spellStart"/>
            <w:r>
              <w:t>Nambale</w:t>
            </w:r>
            <w:proofErr w:type="spellEnd"/>
            <w:r>
              <w:t>, Samia, Teso Central, Teso North, Teso South</w:t>
            </w:r>
          </w:p>
        </w:tc>
      </w:tr>
      <w:tr w:rsidR="00D351E9" w14:paraId="7A29A811" w14:textId="77777777" w:rsidTr="002C7DB5">
        <w:tc>
          <w:tcPr>
            <w:tcW w:w="3960" w:type="dxa"/>
          </w:tcPr>
          <w:p w14:paraId="7A29A80F" w14:textId="77777777" w:rsidR="00D351E9" w:rsidRDefault="00713959" w:rsidP="00671D36">
            <w:pPr>
              <w:pStyle w:val="Compact"/>
              <w:jc w:val="both"/>
            </w:pPr>
            <w:r>
              <w:t>Homa Bay</w:t>
            </w:r>
          </w:p>
        </w:tc>
        <w:tc>
          <w:tcPr>
            <w:tcW w:w="3960" w:type="dxa"/>
          </w:tcPr>
          <w:p w14:paraId="7A29A810" w14:textId="77777777" w:rsidR="00D351E9" w:rsidRDefault="00713959" w:rsidP="00671D36">
            <w:pPr>
              <w:pStyle w:val="Compact"/>
              <w:jc w:val="both"/>
            </w:pPr>
            <w:proofErr w:type="spellStart"/>
            <w:r>
              <w:t>Ndhiwa</w:t>
            </w:r>
            <w:proofErr w:type="spellEnd"/>
            <w:r>
              <w:t xml:space="preserve">, Homa Bay Town, </w:t>
            </w:r>
            <w:proofErr w:type="spellStart"/>
            <w:r>
              <w:t>Rachuonyo</w:t>
            </w:r>
            <w:proofErr w:type="spellEnd"/>
            <w:r>
              <w:t xml:space="preserve"> East, </w:t>
            </w:r>
            <w:proofErr w:type="spellStart"/>
            <w:r>
              <w:t>Rachuonyo</w:t>
            </w:r>
            <w:proofErr w:type="spellEnd"/>
            <w:r>
              <w:t xml:space="preserve"> North, </w:t>
            </w:r>
            <w:proofErr w:type="spellStart"/>
            <w:r>
              <w:t>Rachuonyo</w:t>
            </w:r>
            <w:proofErr w:type="spellEnd"/>
            <w:r>
              <w:t xml:space="preserve"> South, </w:t>
            </w:r>
            <w:proofErr w:type="spellStart"/>
            <w:r>
              <w:t>Rangwe</w:t>
            </w:r>
            <w:proofErr w:type="spellEnd"/>
            <w:r>
              <w:t>, Suba South, Suba North, Suba West</w:t>
            </w:r>
          </w:p>
        </w:tc>
      </w:tr>
      <w:tr w:rsidR="00D351E9" w14:paraId="7A29A814" w14:textId="77777777" w:rsidTr="002C7DB5">
        <w:tc>
          <w:tcPr>
            <w:tcW w:w="3960" w:type="dxa"/>
          </w:tcPr>
          <w:p w14:paraId="7A29A812" w14:textId="77777777" w:rsidR="00D351E9" w:rsidRDefault="00713959" w:rsidP="00671D36">
            <w:pPr>
              <w:pStyle w:val="Compact"/>
              <w:jc w:val="both"/>
            </w:pPr>
            <w:r>
              <w:t>Kakamega</w:t>
            </w:r>
          </w:p>
        </w:tc>
        <w:tc>
          <w:tcPr>
            <w:tcW w:w="3960" w:type="dxa"/>
          </w:tcPr>
          <w:p w14:paraId="7A29A813" w14:textId="77777777" w:rsidR="00D351E9" w:rsidRDefault="00713959" w:rsidP="00671D36">
            <w:pPr>
              <w:pStyle w:val="Compact"/>
              <w:jc w:val="both"/>
            </w:pPr>
            <w:proofErr w:type="spellStart"/>
            <w:r>
              <w:t>Butere</w:t>
            </w:r>
            <w:proofErr w:type="spellEnd"/>
            <w:r>
              <w:t xml:space="preserve">, </w:t>
            </w:r>
            <w:proofErr w:type="spellStart"/>
            <w:r>
              <w:t>Ikolomani</w:t>
            </w:r>
            <w:proofErr w:type="spellEnd"/>
            <w:r>
              <w:t xml:space="preserve">, </w:t>
            </w:r>
            <w:proofErr w:type="spellStart"/>
            <w:r>
              <w:t>Khwisero</w:t>
            </w:r>
            <w:proofErr w:type="spellEnd"/>
            <w:r>
              <w:t xml:space="preserve">, </w:t>
            </w:r>
            <w:proofErr w:type="spellStart"/>
            <w:r>
              <w:t>Likuyani</w:t>
            </w:r>
            <w:proofErr w:type="spellEnd"/>
            <w:r>
              <w:t xml:space="preserve">, </w:t>
            </w:r>
            <w:proofErr w:type="spellStart"/>
            <w:r>
              <w:t>Lugari</w:t>
            </w:r>
            <w:proofErr w:type="spellEnd"/>
            <w:r>
              <w:t xml:space="preserve">, </w:t>
            </w:r>
            <w:proofErr w:type="spellStart"/>
            <w:r>
              <w:t>Lurambi</w:t>
            </w:r>
            <w:proofErr w:type="spellEnd"/>
            <w:r>
              <w:t xml:space="preserve">, </w:t>
            </w:r>
            <w:proofErr w:type="spellStart"/>
            <w:r>
              <w:t>Matungu</w:t>
            </w:r>
            <w:proofErr w:type="spellEnd"/>
            <w:r>
              <w:t xml:space="preserve">, </w:t>
            </w:r>
            <w:proofErr w:type="spellStart"/>
            <w:r>
              <w:t>Malava</w:t>
            </w:r>
            <w:proofErr w:type="spellEnd"/>
            <w:r>
              <w:t xml:space="preserve">, Mumias East, Mumias West, </w:t>
            </w:r>
            <w:proofErr w:type="spellStart"/>
            <w:r>
              <w:t>Navakholo</w:t>
            </w:r>
            <w:proofErr w:type="spellEnd"/>
            <w:r>
              <w:t xml:space="preserve">, </w:t>
            </w:r>
            <w:proofErr w:type="spellStart"/>
            <w:r>
              <w:t>Shinyalu</w:t>
            </w:r>
            <w:proofErr w:type="spellEnd"/>
          </w:p>
        </w:tc>
      </w:tr>
      <w:tr w:rsidR="00D351E9" w14:paraId="7A29A817" w14:textId="77777777" w:rsidTr="002C7DB5">
        <w:tc>
          <w:tcPr>
            <w:tcW w:w="3960" w:type="dxa"/>
          </w:tcPr>
          <w:p w14:paraId="7A29A815" w14:textId="77777777" w:rsidR="00D351E9" w:rsidRDefault="00713959" w:rsidP="00671D36">
            <w:pPr>
              <w:pStyle w:val="Compact"/>
              <w:jc w:val="both"/>
            </w:pPr>
            <w:r>
              <w:t>Kisumu</w:t>
            </w:r>
          </w:p>
        </w:tc>
        <w:tc>
          <w:tcPr>
            <w:tcW w:w="3960" w:type="dxa"/>
          </w:tcPr>
          <w:p w14:paraId="7A29A816" w14:textId="77777777" w:rsidR="00D351E9" w:rsidRDefault="00713959" w:rsidP="00671D36">
            <w:pPr>
              <w:pStyle w:val="Compact"/>
              <w:jc w:val="both"/>
            </w:pPr>
            <w:r>
              <w:t xml:space="preserve">Kisumu Central, Kisumu East, Kisumu West, </w:t>
            </w:r>
            <w:proofErr w:type="spellStart"/>
            <w:r>
              <w:t>Muhoroni</w:t>
            </w:r>
            <w:proofErr w:type="spellEnd"/>
            <w:r>
              <w:t xml:space="preserve">, </w:t>
            </w:r>
            <w:proofErr w:type="spellStart"/>
            <w:r>
              <w:t>Nyakach</w:t>
            </w:r>
            <w:proofErr w:type="spellEnd"/>
            <w:r>
              <w:t xml:space="preserve">, </w:t>
            </w:r>
            <w:proofErr w:type="spellStart"/>
            <w:r>
              <w:t>Nyando</w:t>
            </w:r>
            <w:proofErr w:type="spellEnd"/>
            <w:r>
              <w:t>, Seme</w:t>
            </w:r>
          </w:p>
        </w:tc>
      </w:tr>
      <w:tr w:rsidR="00D351E9" w14:paraId="7A29A81A" w14:textId="77777777" w:rsidTr="002C7DB5">
        <w:tc>
          <w:tcPr>
            <w:tcW w:w="3960" w:type="dxa"/>
          </w:tcPr>
          <w:p w14:paraId="7A29A818" w14:textId="77777777" w:rsidR="00D351E9" w:rsidRDefault="00713959" w:rsidP="00671D36">
            <w:pPr>
              <w:pStyle w:val="Compact"/>
              <w:jc w:val="both"/>
            </w:pPr>
            <w:r>
              <w:t>Migori</w:t>
            </w:r>
          </w:p>
        </w:tc>
        <w:tc>
          <w:tcPr>
            <w:tcW w:w="3960" w:type="dxa"/>
          </w:tcPr>
          <w:p w14:paraId="7A29A819" w14:textId="77777777" w:rsidR="00D351E9" w:rsidRDefault="00713959" w:rsidP="00671D36">
            <w:pPr>
              <w:pStyle w:val="Compact"/>
              <w:jc w:val="both"/>
            </w:pPr>
            <w:proofErr w:type="spellStart"/>
            <w:r>
              <w:t>Awendo</w:t>
            </w:r>
            <w:proofErr w:type="spellEnd"/>
            <w:r>
              <w:t xml:space="preserve">, Kuria East, Kuria West, Rongo, Suna East, Suna West, </w:t>
            </w:r>
            <w:proofErr w:type="spellStart"/>
            <w:r>
              <w:t>Nyatike</w:t>
            </w:r>
            <w:proofErr w:type="spellEnd"/>
            <w:r>
              <w:t>, Uriri</w:t>
            </w:r>
          </w:p>
        </w:tc>
      </w:tr>
      <w:tr w:rsidR="00D351E9" w14:paraId="7A29A81D" w14:textId="77777777" w:rsidTr="002C7DB5">
        <w:tc>
          <w:tcPr>
            <w:tcW w:w="3960" w:type="dxa"/>
          </w:tcPr>
          <w:p w14:paraId="7A29A81B" w14:textId="77777777" w:rsidR="00D351E9" w:rsidRDefault="00713959" w:rsidP="00671D36">
            <w:pPr>
              <w:pStyle w:val="Compact"/>
              <w:jc w:val="both"/>
            </w:pPr>
            <w:r>
              <w:t>Siaya</w:t>
            </w:r>
          </w:p>
        </w:tc>
        <w:tc>
          <w:tcPr>
            <w:tcW w:w="3960" w:type="dxa"/>
          </w:tcPr>
          <w:p w14:paraId="7A29A81C" w14:textId="77777777" w:rsidR="00D351E9" w:rsidRDefault="00713959" w:rsidP="00671D36">
            <w:pPr>
              <w:pStyle w:val="Compact"/>
              <w:jc w:val="both"/>
            </w:pPr>
            <w:proofErr w:type="spellStart"/>
            <w:r>
              <w:t>Alego</w:t>
            </w:r>
            <w:proofErr w:type="spellEnd"/>
            <w:r>
              <w:t xml:space="preserve"> Usonga, Bondo, Gem, </w:t>
            </w:r>
            <w:proofErr w:type="spellStart"/>
            <w:r>
              <w:t>Rarieda</w:t>
            </w:r>
            <w:proofErr w:type="spellEnd"/>
            <w:r>
              <w:t xml:space="preserve">, </w:t>
            </w:r>
            <w:proofErr w:type="spellStart"/>
            <w:r>
              <w:t>Ugenya</w:t>
            </w:r>
            <w:proofErr w:type="spellEnd"/>
            <w:r>
              <w:t xml:space="preserve">, </w:t>
            </w:r>
            <w:proofErr w:type="spellStart"/>
            <w:r>
              <w:t>Ugunja</w:t>
            </w:r>
            <w:proofErr w:type="spellEnd"/>
          </w:p>
        </w:tc>
      </w:tr>
      <w:tr w:rsidR="00D351E9" w14:paraId="7A29A820" w14:textId="77777777" w:rsidTr="002C7DB5">
        <w:tc>
          <w:tcPr>
            <w:tcW w:w="3960" w:type="dxa"/>
          </w:tcPr>
          <w:p w14:paraId="7A29A81E" w14:textId="77777777" w:rsidR="00D351E9" w:rsidRDefault="00713959" w:rsidP="00671D36">
            <w:pPr>
              <w:pStyle w:val="Compact"/>
              <w:jc w:val="both"/>
            </w:pPr>
            <w:proofErr w:type="spellStart"/>
            <w:r>
              <w:t>Vihiga</w:t>
            </w:r>
            <w:proofErr w:type="spellEnd"/>
          </w:p>
        </w:tc>
        <w:tc>
          <w:tcPr>
            <w:tcW w:w="3960" w:type="dxa"/>
          </w:tcPr>
          <w:p w14:paraId="7A29A81F" w14:textId="77777777" w:rsidR="00D351E9" w:rsidRDefault="00713959" w:rsidP="00671D36">
            <w:pPr>
              <w:pStyle w:val="Compact"/>
              <w:jc w:val="both"/>
            </w:pPr>
            <w:r>
              <w:t xml:space="preserve">Hamisi, </w:t>
            </w:r>
            <w:proofErr w:type="spellStart"/>
            <w:r>
              <w:t>Emuhaya</w:t>
            </w:r>
            <w:proofErr w:type="spellEnd"/>
            <w:r>
              <w:t xml:space="preserve">, </w:t>
            </w:r>
            <w:proofErr w:type="spellStart"/>
            <w:r>
              <w:t>Sabatia</w:t>
            </w:r>
            <w:proofErr w:type="spellEnd"/>
            <w:r>
              <w:t xml:space="preserve">, </w:t>
            </w:r>
            <w:proofErr w:type="spellStart"/>
            <w:r>
              <w:t>Vihiga</w:t>
            </w:r>
            <w:proofErr w:type="spellEnd"/>
            <w:r>
              <w:t>, Luanda</w:t>
            </w:r>
          </w:p>
        </w:tc>
      </w:tr>
    </w:tbl>
    <w:p w14:paraId="474C5F68" w14:textId="77777777" w:rsidR="00B03AA2" w:rsidRDefault="00B03AA2" w:rsidP="00671D36">
      <w:pPr>
        <w:pStyle w:val="Heading2"/>
        <w:jc w:val="both"/>
        <w:rPr>
          <w:color w:val="auto"/>
        </w:rPr>
      </w:pPr>
      <w:bookmarkStart w:id="3" w:name="model-structure"/>
      <w:bookmarkEnd w:id="2"/>
    </w:p>
    <w:p w14:paraId="7A29A821" w14:textId="1D50FED1" w:rsidR="00D351E9" w:rsidRPr="002C7DB5" w:rsidRDefault="00713959" w:rsidP="00671D36">
      <w:pPr>
        <w:pStyle w:val="Heading2"/>
        <w:jc w:val="both"/>
        <w:rPr>
          <w:color w:val="auto"/>
        </w:rPr>
      </w:pPr>
      <w:r w:rsidRPr="002C7DB5">
        <w:rPr>
          <w:color w:val="auto"/>
        </w:rPr>
        <w:t>Model Structure</w:t>
      </w:r>
    </w:p>
    <w:p w14:paraId="254EB0E9" w14:textId="355D3F26" w:rsidR="009E1ADD" w:rsidRDefault="00713959" w:rsidP="00671D36">
      <w:pPr>
        <w:pStyle w:val="FirstParagraph"/>
        <w:jc w:val="both"/>
      </w:pPr>
      <w:r>
        <w:t xml:space="preserve">A deterministic, age-structured compartmental transmission model was developed to represent malaria dynamics in the human population. </w:t>
      </w:r>
      <w:r w:rsidR="00AC0E68">
        <w:t>The human population is divided into different epidemiological compartments that represent various states related to malaria: susceptible, exposed, asymptomatic infected, symptomatic infected, treated, recovered, and severe malaria cases (</w:t>
      </w:r>
      <w:r w:rsidR="00AC0E68">
        <w:rPr>
          <w:b/>
          <w:bCs/>
        </w:rPr>
        <w:t>Table S2</w:t>
      </w:r>
      <w:r w:rsidR="00AC0E68">
        <w:t xml:space="preserve">). </w:t>
      </w:r>
    </w:p>
    <w:p w14:paraId="70490118" w14:textId="2EC46A87" w:rsidR="009E1ADD" w:rsidRPr="009E1ADD" w:rsidRDefault="00E927A3" w:rsidP="00671D36">
      <w:pPr>
        <w:pStyle w:val="Caption"/>
        <w:jc w:val="both"/>
      </w:pPr>
      <w:r w:rsidRPr="00B03AA2">
        <w:rPr>
          <w:b/>
          <w:bCs/>
        </w:rPr>
        <w:t>Table S</w:t>
      </w:r>
      <w:r w:rsidR="002C7DB5" w:rsidRPr="00B03AA2">
        <w:rPr>
          <w:b/>
          <w:bCs/>
        </w:rPr>
        <w:t>2</w:t>
      </w:r>
      <w:r>
        <w:t xml:space="preserve">: </w:t>
      </w:r>
      <w:r w:rsidR="00BA0B0F" w:rsidRPr="00BA0B0F">
        <w:t>Definitions of epidemiological compartments included in the age-structured malaria transmission model. Subscripts denote age groups: a (&gt;5 years), b (&lt;1 year), and c (1–5 years).</w:t>
      </w:r>
    </w:p>
    <w:tbl>
      <w:tblPr>
        <w:tblStyle w:val="TableGrid"/>
        <w:tblW w:w="0" w:type="auto"/>
        <w:tblLook w:val="04A0" w:firstRow="1" w:lastRow="0" w:firstColumn="1" w:lastColumn="0" w:noHBand="0" w:noVBand="1"/>
      </w:tblPr>
      <w:tblGrid>
        <w:gridCol w:w="3438"/>
        <w:gridCol w:w="6138"/>
      </w:tblGrid>
      <w:tr w:rsidR="00A12573" w14:paraId="37546580" w14:textId="77777777" w:rsidTr="00CC2C7A">
        <w:tc>
          <w:tcPr>
            <w:tcW w:w="3438" w:type="dxa"/>
          </w:tcPr>
          <w:p w14:paraId="6CC491FC" w14:textId="13AD43CB" w:rsidR="00A12573" w:rsidRPr="00405833" w:rsidRDefault="00A12573" w:rsidP="00671D36">
            <w:pPr>
              <w:pStyle w:val="BodyText"/>
              <w:jc w:val="both"/>
              <w:rPr>
                <w:b/>
                <w:bCs/>
              </w:rPr>
            </w:pPr>
            <w:r w:rsidRPr="00405833">
              <w:rPr>
                <w:b/>
                <w:bCs/>
              </w:rPr>
              <w:t>Compartment</w:t>
            </w:r>
          </w:p>
        </w:tc>
        <w:tc>
          <w:tcPr>
            <w:tcW w:w="6138" w:type="dxa"/>
          </w:tcPr>
          <w:p w14:paraId="4C215F5E" w14:textId="08A353BC" w:rsidR="00A12573" w:rsidRPr="00405833" w:rsidRDefault="00A12573" w:rsidP="00671D36">
            <w:pPr>
              <w:pStyle w:val="BodyText"/>
              <w:jc w:val="both"/>
              <w:rPr>
                <w:b/>
                <w:bCs/>
              </w:rPr>
            </w:pPr>
            <w:r w:rsidRPr="00405833">
              <w:rPr>
                <w:b/>
                <w:bCs/>
              </w:rPr>
              <w:t>Definition</w:t>
            </w:r>
          </w:p>
        </w:tc>
      </w:tr>
      <w:tr w:rsidR="00A12573" w14:paraId="3587BE0B" w14:textId="77777777" w:rsidTr="00CC2C7A">
        <w:tc>
          <w:tcPr>
            <w:tcW w:w="3438" w:type="dxa"/>
          </w:tcPr>
          <w:p w14:paraId="3BC6BCDC" w14:textId="4A7182E7" w:rsidR="00A12573" w:rsidRDefault="00A12573" w:rsidP="00671D36">
            <w:pPr>
              <w:pStyle w:val="BodyText"/>
              <w:jc w:val="both"/>
            </w:pPr>
            <w:r>
              <w:t>S</w:t>
            </w:r>
            <w:r w:rsidR="00452E09">
              <w:rPr>
                <w:vertAlign w:val="subscript"/>
              </w:rPr>
              <w:t>i</w:t>
            </w:r>
          </w:p>
        </w:tc>
        <w:tc>
          <w:tcPr>
            <w:tcW w:w="6138" w:type="dxa"/>
          </w:tcPr>
          <w:p w14:paraId="52482A33" w14:textId="66F74472" w:rsidR="00A12573" w:rsidRDefault="00473AC9" w:rsidP="00671D36">
            <w:pPr>
              <w:pStyle w:val="BodyText"/>
              <w:jc w:val="both"/>
            </w:pPr>
            <w:r>
              <w:t xml:space="preserve">Susceptible </w:t>
            </w:r>
          </w:p>
        </w:tc>
      </w:tr>
      <w:tr w:rsidR="00A12573" w14:paraId="7F59B726" w14:textId="77777777" w:rsidTr="00CC2C7A">
        <w:tc>
          <w:tcPr>
            <w:tcW w:w="3438" w:type="dxa"/>
          </w:tcPr>
          <w:p w14:paraId="33928BD5" w14:textId="750BD301" w:rsidR="00A12573" w:rsidRDefault="00D32FA9" w:rsidP="00671D36">
            <w:pPr>
              <w:pStyle w:val="BodyText"/>
              <w:jc w:val="both"/>
            </w:pPr>
            <w:r>
              <w:t>E</w:t>
            </w:r>
            <w:r w:rsidRPr="00F50D5C">
              <w:rPr>
                <w:vertAlign w:val="subscript"/>
              </w:rPr>
              <w:t>i</w:t>
            </w:r>
          </w:p>
        </w:tc>
        <w:tc>
          <w:tcPr>
            <w:tcW w:w="6138" w:type="dxa"/>
          </w:tcPr>
          <w:p w14:paraId="180B2A12" w14:textId="0E2FB04C" w:rsidR="00A12573" w:rsidRDefault="00473AC9" w:rsidP="00671D36">
            <w:pPr>
              <w:pStyle w:val="BodyText"/>
              <w:jc w:val="both"/>
            </w:pPr>
            <w:r>
              <w:t>Exposed</w:t>
            </w:r>
          </w:p>
        </w:tc>
      </w:tr>
      <w:tr w:rsidR="00A12573" w14:paraId="23B3ECA4" w14:textId="77777777" w:rsidTr="00CC2C7A">
        <w:tc>
          <w:tcPr>
            <w:tcW w:w="3438" w:type="dxa"/>
          </w:tcPr>
          <w:p w14:paraId="2FD41901" w14:textId="31FA93FB" w:rsidR="00A12573" w:rsidRDefault="008C2BDB" w:rsidP="00671D36">
            <w:pPr>
              <w:pStyle w:val="BodyText"/>
              <w:jc w:val="both"/>
            </w:pPr>
            <w:proofErr w:type="spellStart"/>
            <w:proofErr w:type="gramStart"/>
            <w:r>
              <w:t>V</w:t>
            </w:r>
            <w:r w:rsidRPr="00814427">
              <w:rPr>
                <w:vertAlign w:val="subscript"/>
              </w:rPr>
              <w:t>b</w:t>
            </w:r>
            <w:r>
              <w:rPr>
                <w:vertAlign w:val="subscript"/>
              </w:rPr>
              <w:t>,c</w:t>
            </w:r>
            <w:proofErr w:type="spellEnd"/>
            <w:proofErr w:type="gramEnd"/>
          </w:p>
        </w:tc>
        <w:tc>
          <w:tcPr>
            <w:tcW w:w="6138" w:type="dxa"/>
          </w:tcPr>
          <w:p w14:paraId="76CFF9ED" w14:textId="071C5D46" w:rsidR="00A12573" w:rsidRDefault="00473AC9" w:rsidP="00671D36">
            <w:pPr>
              <w:pStyle w:val="BodyText"/>
              <w:jc w:val="both"/>
            </w:pPr>
            <w:r>
              <w:t>Vaccinated population</w:t>
            </w:r>
            <w:r w:rsidR="00694846">
              <w:t xml:space="preserve"> in both the under 1 and </w:t>
            </w:r>
            <w:r w:rsidR="00E65990">
              <w:t>under 5 population</w:t>
            </w:r>
          </w:p>
        </w:tc>
      </w:tr>
      <w:tr w:rsidR="00A12573" w14:paraId="6918239E" w14:textId="77777777" w:rsidTr="00CC2C7A">
        <w:tc>
          <w:tcPr>
            <w:tcW w:w="3438" w:type="dxa"/>
          </w:tcPr>
          <w:p w14:paraId="488A06A6" w14:textId="7C25B8FC" w:rsidR="00A12573" w:rsidRDefault="00A12573" w:rsidP="00671D36">
            <w:pPr>
              <w:pStyle w:val="BodyText"/>
              <w:jc w:val="both"/>
            </w:pPr>
            <w:proofErr w:type="spellStart"/>
            <w:proofErr w:type="gramStart"/>
            <w:r>
              <w:t>E</w:t>
            </w:r>
            <w:r w:rsidRPr="00814427">
              <w:rPr>
                <w:vertAlign w:val="subscript"/>
              </w:rPr>
              <w:t>vb</w:t>
            </w:r>
            <w:r w:rsidR="00DE57B3">
              <w:rPr>
                <w:vertAlign w:val="subscript"/>
              </w:rPr>
              <w:t>,c</w:t>
            </w:r>
            <w:proofErr w:type="spellEnd"/>
            <w:proofErr w:type="gramEnd"/>
          </w:p>
        </w:tc>
        <w:tc>
          <w:tcPr>
            <w:tcW w:w="6138" w:type="dxa"/>
          </w:tcPr>
          <w:p w14:paraId="722DFB8C" w14:textId="4A64D105" w:rsidR="00A12573" w:rsidRDefault="00473AC9" w:rsidP="00671D36">
            <w:pPr>
              <w:pStyle w:val="BodyText"/>
              <w:jc w:val="both"/>
            </w:pPr>
            <w:r>
              <w:t xml:space="preserve">Exposed </w:t>
            </w:r>
            <w:r w:rsidR="0039477A">
              <w:t>and vaccinated</w:t>
            </w:r>
            <w:r w:rsidR="00E65990">
              <w:t xml:space="preserve"> in both the under 1 and under 5 </w:t>
            </w:r>
            <w:r w:rsidR="00E65990">
              <w:lastRenderedPageBreak/>
              <w:t>population</w:t>
            </w:r>
          </w:p>
        </w:tc>
      </w:tr>
      <w:tr w:rsidR="00A12573" w14:paraId="0256065F" w14:textId="77777777" w:rsidTr="00CC2C7A">
        <w:tc>
          <w:tcPr>
            <w:tcW w:w="3438" w:type="dxa"/>
          </w:tcPr>
          <w:p w14:paraId="5E1B44AE" w14:textId="1D22079B" w:rsidR="00A12573" w:rsidRDefault="00A12573" w:rsidP="00671D36">
            <w:pPr>
              <w:pStyle w:val="BodyText"/>
              <w:jc w:val="both"/>
            </w:pPr>
            <w:proofErr w:type="spellStart"/>
            <w:r>
              <w:lastRenderedPageBreak/>
              <w:t>I</w:t>
            </w:r>
            <w:r w:rsidRPr="00814427">
              <w:rPr>
                <w:vertAlign w:val="subscript"/>
              </w:rPr>
              <w:t>a</w:t>
            </w:r>
            <w:r w:rsidR="00DE57B3">
              <w:rPr>
                <w:vertAlign w:val="subscript"/>
              </w:rPr>
              <w:t>i</w:t>
            </w:r>
            <w:proofErr w:type="spellEnd"/>
          </w:p>
        </w:tc>
        <w:tc>
          <w:tcPr>
            <w:tcW w:w="6138" w:type="dxa"/>
          </w:tcPr>
          <w:p w14:paraId="5726B0B5" w14:textId="795A4542" w:rsidR="00A12573" w:rsidRDefault="0050234A" w:rsidP="00671D36">
            <w:pPr>
              <w:pStyle w:val="BodyText"/>
              <w:jc w:val="both"/>
            </w:pPr>
            <w:r>
              <w:t>Infect</w:t>
            </w:r>
            <w:r w:rsidR="008C07C5">
              <w:t>ed</w:t>
            </w:r>
            <w:r>
              <w:t xml:space="preserve"> and asymptomatic</w:t>
            </w:r>
          </w:p>
        </w:tc>
      </w:tr>
      <w:tr w:rsidR="00A12573" w14:paraId="37A4D222" w14:textId="77777777" w:rsidTr="00CC2C7A">
        <w:tc>
          <w:tcPr>
            <w:tcW w:w="3438" w:type="dxa"/>
          </w:tcPr>
          <w:p w14:paraId="6260B42A" w14:textId="08227C56" w:rsidR="00A12573" w:rsidRDefault="00A12573" w:rsidP="00671D36">
            <w:pPr>
              <w:pStyle w:val="BodyText"/>
              <w:jc w:val="both"/>
            </w:pPr>
            <w:r>
              <w:t>I</w:t>
            </w:r>
            <w:r w:rsidRPr="00814427">
              <w:rPr>
                <w:vertAlign w:val="subscript"/>
              </w:rPr>
              <w:t>un</w:t>
            </w:r>
            <w:r w:rsidR="00DE57B3">
              <w:rPr>
                <w:vertAlign w:val="subscript"/>
              </w:rPr>
              <w:t>i</w:t>
            </w:r>
          </w:p>
        </w:tc>
        <w:tc>
          <w:tcPr>
            <w:tcW w:w="6138" w:type="dxa"/>
          </w:tcPr>
          <w:p w14:paraId="32EC8B32" w14:textId="2E4E483C" w:rsidR="00A12573" w:rsidRDefault="0050234A" w:rsidP="00671D36">
            <w:pPr>
              <w:pStyle w:val="BodyText"/>
              <w:jc w:val="both"/>
            </w:pPr>
            <w:r>
              <w:t>Infect</w:t>
            </w:r>
            <w:r w:rsidR="008C07C5">
              <w:t>ed</w:t>
            </w:r>
            <w:r>
              <w:t xml:space="preserve"> </w:t>
            </w:r>
            <w:r w:rsidR="008C07C5">
              <w:t>and symptomatic</w:t>
            </w:r>
          </w:p>
        </w:tc>
      </w:tr>
      <w:tr w:rsidR="00A12573" w14:paraId="1FD0D971" w14:textId="77777777" w:rsidTr="00CC2C7A">
        <w:tc>
          <w:tcPr>
            <w:tcW w:w="3438" w:type="dxa"/>
          </w:tcPr>
          <w:p w14:paraId="491E3B71" w14:textId="1D291514" w:rsidR="00A12573" w:rsidRDefault="00A12573" w:rsidP="00671D36">
            <w:pPr>
              <w:pStyle w:val="BodyText"/>
              <w:jc w:val="both"/>
            </w:pPr>
            <w:proofErr w:type="spellStart"/>
            <w:r>
              <w:t>I</w:t>
            </w:r>
            <w:r w:rsidRPr="00814427">
              <w:rPr>
                <w:vertAlign w:val="subscript"/>
              </w:rPr>
              <w:t>sev</w:t>
            </w:r>
            <w:r w:rsidR="00DE57B3">
              <w:rPr>
                <w:vertAlign w:val="subscript"/>
              </w:rPr>
              <w:t>i</w:t>
            </w:r>
            <w:proofErr w:type="spellEnd"/>
          </w:p>
        </w:tc>
        <w:tc>
          <w:tcPr>
            <w:tcW w:w="6138" w:type="dxa"/>
          </w:tcPr>
          <w:p w14:paraId="27DB36C5" w14:textId="313B50B5" w:rsidR="00A12573" w:rsidRDefault="001E31C5" w:rsidP="00671D36">
            <w:pPr>
              <w:pStyle w:val="BodyText"/>
              <w:jc w:val="both"/>
            </w:pPr>
            <w:r>
              <w:t>I</w:t>
            </w:r>
            <w:r w:rsidR="008C07C5">
              <w:t>nfected</w:t>
            </w:r>
            <w:r>
              <w:t xml:space="preserve"> and severely symptomatic</w:t>
            </w:r>
          </w:p>
        </w:tc>
      </w:tr>
      <w:tr w:rsidR="00A12573" w14:paraId="48DD0D4E" w14:textId="77777777" w:rsidTr="00CC2C7A">
        <w:tc>
          <w:tcPr>
            <w:tcW w:w="3438" w:type="dxa"/>
          </w:tcPr>
          <w:p w14:paraId="2A328E88" w14:textId="29E307FF" w:rsidR="00A12573" w:rsidRDefault="00A12573" w:rsidP="00671D36">
            <w:pPr>
              <w:pStyle w:val="BodyText"/>
              <w:jc w:val="both"/>
            </w:pPr>
            <w:r>
              <w:t>T</w:t>
            </w:r>
            <w:r w:rsidR="00DE57B3" w:rsidRPr="00DE57B3">
              <w:rPr>
                <w:vertAlign w:val="subscript"/>
              </w:rPr>
              <w:t>i</w:t>
            </w:r>
          </w:p>
        </w:tc>
        <w:tc>
          <w:tcPr>
            <w:tcW w:w="6138" w:type="dxa"/>
          </w:tcPr>
          <w:p w14:paraId="7092C002" w14:textId="28758792" w:rsidR="00A12573" w:rsidRDefault="001E31C5" w:rsidP="00671D36">
            <w:pPr>
              <w:pStyle w:val="BodyText"/>
              <w:jc w:val="both"/>
            </w:pPr>
            <w:r>
              <w:t>Treated</w:t>
            </w:r>
          </w:p>
        </w:tc>
      </w:tr>
      <w:tr w:rsidR="00A12573" w14:paraId="3153ECD8" w14:textId="77777777" w:rsidTr="00CC2C7A">
        <w:tc>
          <w:tcPr>
            <w:tcW w:w="3438" w:type="dxa"/>
          </w:tcPr>
          <w:p w14:paraId="43B2DCB3" w14:textId="4912CD85" w:rsidR="00A12573" w:rsidRDefault="00A12573" w:rsidP="00671D36">
            <w:pPr>
              <w:pStyle w:val="BodyText"/>
              <w:jc w:val="both"/>
            </w:pPr>
            <w:r>
              <w:t>R</w:t>
            </w:r>
            <w:r w:rsidR="00DE57B3">
              <w:rPr>
                <w:vertAlign w:val="subscript"/>
              </w:rPr>
              <w:t>i</w:t>
            </w:r>
          </w:p>
        </w:tc>
        <w:tc>
          <w:tcPr>
            <w:tcW w:w="6138" w:type="dxa"/>
          </w:tcPr>
          <w:p w14:paraId="3FC9872F" w14:textId="4AF0BB71" w:rsidR="00A12573" w:rsidRDefault="001E31C5" w:rsidP="00671D36">
            <w:pPr>
              <w:pStyle w:val="BodyText"/>
              <w:jc w:val="both"/>
            </w:pPr>
            <w:r>
              <w:t>Recovered</w:t>
            </w:r>
          </w:p>
        </w:tc>
      </w:tr>
    </w:tbl>
    <w:p w14:paraId="7A29A822" w14:textId="11D807F5" w:rsidR="00D351E9" w:rsidRDefault="00713959" w:rsidP="00671D36">
      <w:pPr>
        <w:pStyle w:val="FirstParagraph"/>
        <w:jc w:val="both"/>
      </w:pPr>
      <w:r>
        <w:t xml:space="preserve">The model explicitly captures infection, disease progression, treatment, recovery, waning immunity, and vaccination in children under five years of age, with the parameters described in </w:t>
      </w:r>
      <w:r>
        <w:rPr>
          <w:b/>
          <w:bCs/>
        </w:rPr>
        <w:t>Tables S</w:t>
      </w:r>
      <w:r w:rsidR="00AC0E68">
        <w:rPr>
          <w:b/>
          <w:bCs/>
        </w:rPr>
        <w:t>3</w:t>
      </w:r>
      <w:r>
        <w:t>.</w:t>
      </w:r>
    </w:p>
    <w:p w14:paraId="337B573E" w14:textId="79D9570C" w:rsidR="00405833" w:rsidRPr="00405833" w:rsidRDefault="00FB19C6" w:rsidP="00671D36">
      <w:pPr>
        <w:pStyle w:val="Caption"/>
        <w:jc w:val="both"/>
      </w:pPr>
      <w:r>
        <w:t>Table S</w:t>
      </w:r>
      <w:r w:rsidR="00B03AA2">
        <w:t>3</w:t>
      </w:r>
      <w:r>
        <w:t>:</w:t>
      </w:r>
      <w:r w:rsidR="00B03AA2">
        <w:t xml:space="preserve"> </w:t>
      </w:r>
      <w:r w:rsidR="003C510F" w:rsidRPr="003C510F">
        <w:t>Model parameters, baseline values, uncertainty ranges, and data sources used in calibration and simulation analyses.</w:t>
      </w:r>
    </w:p>
    <w:tbl>
      <w:tblPr>
        <w:tblStyle w:val="TableGrid"/>
        <w:tblW w:w="0" w:type="auto"/>
        <w:tblLook w:val="04A0" w:firstRow="1" w:lastRow="0" w:firstColumn="1" w:lastColumn="0" w:noHBand="0" w:noVBand="1"/>
      </w:tblPr>
      <w:tblGrid>
        <w:gridCol w:w="1847"/>
        <w:gridCol w:w="3112"/>
        <w:gridCol w:w="1386"/>
        <w:gridCol w:w="1491"/>
        <w:gridCol w:w="1740"/>
      </w:tblGrid>
      <w:tr w:rsidR="00E75A80" w14:paraId="180B2C9F" w14:textId="70A81772" w:rsidTr="00EF60DC">
        <w:tc>
          <w:tcPr>
            <w:tcW w:w="1847" w:type="dxa"/>
          </w:tcPr>
          <w:p w14:paraId="44C332AD" w14:textId="0B25C13B" w:rsidR="00E75A80" w:rsidRPr="00AC0E68" w:rsidRDefault="00E75A80" w:rsidP="00671D36">
            <w:pPr>
              <w:pStyle w:val="BodyText"/>
              <w:jc w:val="both"/>
              <w:rPr>
                <w:b/>
                <w:bCs/>
              </w:rPr>
            </w:pPr>
            <w:r w:rsidRPr="00AC0E68">
              <w:rPr>
                <w:b/>
                <w:bCs/>
              </w:rPr>
              <w:t>Parameter</w:t>
            </w:r>
          </w:p>
        </w:tc>
        <w:tc>
          <w:tcPr>
            <w:tcW w:w="3112" w:type="dxa"/>
          </w:tcPr>
          <w:p w14:paraId="0F7BE766" w14:textId="67584FD1" w:rsidR="00E75A80" w:rsidRPr="00AC0E68" w:rsidRDefault="00E75A80" w:rsidP="00671D36">
            <w:pPr>
              <w:pStyle w:val="BodyText"/>
              <w:jc w:val="both"/>
              <w:rPr>
                <w:b/>
                <w:bCs/>
              </w:rPr>
            </w:pPr>
            <w:r w:rsidRPr="00AC0E68">
              <w:rPr>
                <w:b/>
                <w:bCs/>
              </w:rPr>
              <w:t>Definition</w:t>
            </w:r>
          </w:p>
        </w:tc>
        <w:tc>
          <w:tcPr>
            <w:tcW w:w="1386" w:type="dxa"/>
          </w:tcPr>
          <w:p w14:paraId="2204E6D3" w14:textId="66431241" w:rsidR="00E75A80" w:rsidRPr="00AC0E68" w:rsidRDefault="00E75A80" w:rsidP="00671D36">
            <w:pPr>
              <w:pStyle w:val="BodyText"/>
              <w:jc w:val="both"/>
              <w:rPr>
                <w:b/>
                <w:bCs/>
              </w:rPr>
            </w:pPr>
            <w:r>
              <w:rPr>
                <w:b/>
                <w:bCs/>
              </w:rPr>
              <w:t>Value</w:t>
            </w:r>
          </w:p>
        </w:tc>
        <w:tc>
          <w:tcPr>
            <w:tcW w:w="1491" w:type="dxa"/>
          </w:tcPr>
          <w:p w14:paraId="1F68F1A6" w14:textId="011D7EED" w:rsidR="00E75A80" w:rsidRPr="00AC0E68" w:rsidRDefault="00E75A80" w:rsidP="00671D36">
            <w:pPr>
              <w:pStyle w:val="BodyText"/>
              <w:jc w:val="both"/>
              <w:rPr>
                <w:b/>
                <w:bCs/>
              </w:rPr>
            </w:pPr>
            <w:r>
              <w:rPr>
                <w:b/>
                <w:bCs/>
              </w:rPr>
              <w:t>Range</w:t>
            </w:r>
          </w:p>
        </w:tc>
        <w:tc>
          <w:tcPr>
            <w:tcW w:w="1740" w:type="dxa"/>
          </w:tcPr>
          <w:p w14:paraId="7B986FF0" w14:textId="26AF6C4C" w:rsidR="00E75A80" w:rsidRPr="00AC0E68" w:rsidRDefault="00E75A80" w:rsidP="00671D36">
            <w:pPr>
              <w:pStyle w:val="BodyText"/>
              <w:jc w:val="both"/>
              <w:rPr>
                <w:b/>
                <w:bCs/>
              </w:rPr>
            </w:pPr>
            <w:r>
              <w:rPr>
                <w:b/>
                <w:bCs/>
              </w:rPr>
              <w:t>Source</w:t>
            </w:r>
          </w:p>
        </w:tc>
      </w:tr>
      <w:tr w:rsidR="00E75A80" w14:paraId="0FE25628" w14:textId="513DC083" w:rsidTr="00EF60DC">
        <w:tc>
          <w:tcPr>
            <w:tcW w:w="1847" w:type="dxa"/>
          </w:tcPr>
          <w:p w14:paraId="7FBB95E4" w14:textId="1EE6DB49" w:rsidR="00E75A80" w:rsidRDefault="00E75A80" w:rsidP="00671D36">
            <w:pPr>
              <w:pStyle w:val="BodyText"/>
              <w:jc w:val="both"/>
            </w:pPr>
            <w:r>
              <w:t>a</w:t>
            </w:r>
          </w:p>
        </w:tc>
        <w:tc>
          <w:tcPr>
            <w:tcW w:w="3112" w:type="dxa"/>
          </w:tcPr>
          <w:p w14:paraId="5A724CA1" w14:textId="0CE411D0" w:rsidR="00E75A80" w:rsidRDefault="00E75A80" w:rsidP="00671D36">
            <w:pPr>
              <w:pStyle w:val="BodyText"/>
              <w:jc w:val="both"/>
            </w:pPr>
            <w:r>
              <w:t>Human feeding rate per mosquito (per day)</w:t>
            </w:r>
          </w:p>
        </w:tc>
        <w:tc>
          <w:tcPr>
            <w:tcW w:w="1386" w:type="dxa"/>
          </w:tcPr>
          <w:p w14:paraId="1A0B7972" w14:textId="7AEC15B6" w:rsidR="00E75A80" w:rsidRPr="002D7BD3" w:rsidRDefault="00C56E88" w:rsidP="00671D36">
            <w:pPr>
              <w:pStyle w:val="BodyText"/>
              <w:jc w:val="both"/>
              <w:rPr>
                <w:highlight w:val="yellow"/>
              </w:rPr>
            </w:pPr>
            <w:r w:rsidRPr="00C56E88">
              <w:t>0.2-0.3</w:t>
            </w:r>
          </w:p>
        </w:tc>
        <w:tc>
          <w:tcPr>
            <w:tcW w:w="1491" w:type="dxa"/>
          </w:tcPr>
          <w:p w14:paraId="6DF29F9E" w14:textId="30918D19" w:rsidR="00E75A80" w:rsidRPr="00C56E88" w:rsidRDefault="00E75A80" w:rsidP="00671D36">
            <w:pPr>
              <w:pStyle w:val="BodyText"/>
              <w:jc w:val="both"/>
            </w:pPr>
            <w:r w:rsidRPr="00C56E88">
              <w:t>0.2</w:t>
            </w:r>
            <w:r w:rsidR="0012359B">
              <w:t>-</w:t>
            </w:r>
            <w:r w:rsidRPr="00C56E88">
              <w:t>0</w:t>
            </w:r>
            <w:r w:rsidR="0012359B">
              <w:t>.</w:t>
            </w:r>
            <w:r w:rsidRPr="00C56E88">
              <w:t>3</w:t>
            </w:r>
          </w:p>
        </w:tc>
        <w:tc>
          <w:tcPr>
            <w:tcW w:w="1740" w:type="dxa"/>
          </w:tcPr>
          <w:p w14:paraId="490F49AA" w14:textId="4FE88F88" w:rsidR="00E75A80" w:rsidRPr="002D7BD3" w:rsidRDefault="00E75A80" w:rsidP="00671D36">
            <w:pPr>
              <w:pStyle w:val="BodyText"/>
              <w:jc w:val="both"/>
              <w:rPr>
                <w:highlight w:val="yellow"/>
              </w:rPr>
            </w:pPr>
            <w:r w:rsidRPr="00B36687">
              <w:t>Fitted</w:t>
            </w:r>
          </w:p>
        </w:tc>
      </w:tr>
      <w:tr w:rsidR="00E75A80" w14:paraId="66959964" w14:textId="4034DB46" w:rsidTr="00EF60DC">
        <w:tc>
          <w:tcPr>
            <w:tcW w:w="1847" w:type="dxa"/>
          </w:tcPr>
          <w:p w14:paraId="790FE36A" w14:textId="000947F9" w:rsidR="00E75A80" w:rsidRDefault="00E75A80" w:rsidP="00671D36">
            <w:pPr>
              <w:pStyle w:val="BodyText"/>
              <w:jc w:val="both"/>
            </w:pPr>
            <w:r>
              <w:t>b</w:t>
            </w:r>
          </w:p>
        </w:tc>
        <w:tc>
          <w:tcPr>
            <w:tcW w:w="3112" w:type="dxa"/>
          </w:tcPr>
          <w:p w14:paraId="7194641F" w14:textId="55A0B195" w:rsidR="00E75A80" w:rsidRDefault="00E75A80" w:rsidP="00671D36">
            <w:pPr>
              <w:pStyle w:val="BodyText"/>
              <w:jc w:val="both"/>
            </w:pPr>
            <w:r>
              <w:t>Transmission efficiency from mosquito to human (per day)</w:t>
            </w:r>
          </w:p>
        </w:tc>
        <w:tc>
          <w:tcPr>
            <w:tcW w:w="1386" w:type="dxa"/>
          </w:tcPr>
          <w:p w14:paraId="713B9055" w14:textId="459B7498" w:rsidR="00E75A80" w:rsidRPr="004A0CA3" w:rsidRDefault="00012E54" w:rsidP="00671D36">
            <w:pPr>
              <w:pStyle w:val="BodyText"/>
              <w:jc w:val="both"/>
            </w:pPr>
            <w:r w:rsidRPr="00012E54">
              <w:t>0.6</w:t>
            </w:r>
            <w:r w:rsidR="002C1E27">
              <w:t>9</w:t>
            </w:r>
          </w:p>
        </w:tc>
        <w:tc>
          <w:tcPr>
            <w:tcW w:w="1491" w:type="dxa"/>
          </w:tcPr>
          <w:p w14:paraId="64D1FAF6" w14:textId="14F0B424" w:rsidR="00E75A80" w:rsidRDefault="00E75A80" w:rsidP="00671D36">
            <w:pPr>
              <w:pStyle w:val="BodyText"/>
              <w:jc w:val="both"/>
            </w:pPr>
            <w:r w:rsidRPr="004A0CA3">
              <w:t>0.51-0.74</w:t>
            </w:r>
          </w:p>
        </w:tc>
        <w:tc>
          <w:tcPr>
            <w:tcW w:w="1740" w:type="dxa"/>
          </w:tcPr>
          <w:p w14:paraId="46CCED9D" w14:textId="333D9CB2" w:rsidR="00E75A80" w:rsidRDefault="00E75A80" w:rsidP="00671D36">
            <w:pPr>
              <w:pStyle w:val="BodyText"/>
              <w:jc w:val="both"/>
            </w:pPr>
            <w:r>
              <w:t>Fitted</w:t>
            </w:r>
          </w:p>
        </w:tc>
      </w:tr>
      <w:tr w:rsidR="00E75A80" w14:paraId="5B735DAB" w14:textId="162956D2" w:rsidTr="00EF60DC">
        <w:tc>
          <w:tcPr>
            <w:tcW w:w="1847" w:type="dxa"/>
          </w:tcPr>
          <w:p w14:paraId="142A6BFF" w14:textId="7F1AD8BF" w:rsidR="00E75A80" w:rsidRDefault="00E75A80" w:rsidP="00671D36">
            <w:pPr>
              <w:pStyle w:val="BodyText"/>
              <w:jc w:val="both"/>
            </w:pPr>
            <w:r>
              <w:t>c</w:t>
            </w:r>
          </w:p>
        </w:tc>
        <w:tc>
          <w:tcPr>
            <w:tcW w:w="3112" w:type="dxa"/>
          </w:tcPr>
          <w:p w14:paraId="3A7DC0DF" w14:textId="410FAC9E" w:rsidR="00E75A80" w:rsidRDefault="00E75A80" w:rsidP="00671D36">
            <w:pPr>
              <w:pStyle w:val="BodyText"/>
              <w:jc w:val="both"/>
            </w:pPr>
            <w:r>
              <w:t>Transmission efficiency human to mosquito (per day)</w:t>
            </w:r>
          </w:p>
        </w:tc>
        <w:tc>
          <w:tcPr>
            <w:tcW w:w="1386" w:type="dxa"/>
          </w:tcPr>
          <w:p w14:paraId="5C2D0DD3" w14:textId="38EE57AF" w:rsidR="00E75A80" w:rsidRPr="00C6417E" w:rsidRDefault="00836B11" w:rsidP="00671D36">
            <w:pPr>
              <w:pStyle w:val="BodyText"/>
              <w:jc w:val="both"/>
            </w:pPr>
            <w:r w:rsidRPr="00836B11">
              <w:t>0.30</w:t>
            </w:r>
          </w:p>
        </w:tc>
        <w:tc>
          <w:tcPr>
            <w:tcW w:w="1491" w:type="dxa"/>
          </w:tcPr>
          <w:p w14:paraId="055CFD70" w14:textId="3D680FA5" w:rsidR="00E75A80" w:rsidRDefault="00E75A80" w:rsidP="00671D36">
            <w:pPr>
              <w:pStyle w:val="BodyText"/>
              <w:jc w:val="both"/>
            </w:pPr>
            <w:r w:rsidRPr="00C6417E">
              <w:t>0.3-0.46</w:t>
            </w:r>
          </w:p>
        </w:tc>
        <w:tc>
          <w:tcPr>
            <w:tcW w:w="1740" w:type="dxa"/>
          </w:tcPr>
          <w:p w14:paraId="4AF48231" w14:textId="75422DDA" w:rsidR="00E75A80" w:rsidRDefault="00E75A80" w:rsidP="00671D36">
            <w:pPr>
              <w:pStyle w:val="BodyText"/>
              <w:jc w:val="both"/>
            </w:pPr>
            <w:r>
              <w:t>Fitted</w:t>
            </w:r>
          </w:p>
        </w:tc>
      </w:tr>
      <w:tr w:rsidR="00E75A80" w14:paraId="4AAC8AF5" w14:textId="4F4E8E88" w:rsidTr="00EF60DC">
        <w:tc>
          <w:tcPr>
            <w:tcW w:w="1847" w:type="dxa"/>
          </w:tcPr>
          <w:p w14:paraId="73DD5ADC" w14:textId="1AA849C0" w:rsidR="00E75A80" w:rsidRDefault="00E75A80" w:rsidP="00671D36">
            <w:pPr>
              <w:pStyle w:val="BodyText"/>
              <w:jc w:val="both"/>
            </w:pPr>
            <w:proofErr w:type="spellStart"/>
            <w:r>
              <w:t>γ</w:t>
            </w:r>
            <w:r w:rsidRPr="00D302B6">
              <w:rPr>
                <w:vertAlign w:val="subscript"/>
              </w:rPr>
              <w:t>m</w:t>
            </w:r>
            <w:proofErr w:type="spellEnd"/>
          </w:p>
        </w:tc>
        <w:tc>
          <w:tcPr>
            <w:tcW w:w="3112" w:type="dxa"/>
          </w:tcPr>
          <w:p w14:paraId="0DF39FCA" w14:textId="6A772009" w:rsidR="00E75A80" w:rsidRDefault="00E75A80" w:rsidP="00671D36">
            <w:pPr>
              <w:pStyle w:val="BodyText"/>
              <w:jc w:val="both"/>
            </w:pPr>
            <w:r>
              <w:t>Rate of onset of infectiousness in mosquitoes (Incubation rate; per day)</w:t>
            </w:r>
          </w:p>
        </w:tc>
        <w:tc>
          <w:tcPr>
            <w:tcW w:w="1386" w:type="dxa"/>
          </w:tcPr>
          <w:p w14:paraId="6AE064AA" w14:textId="55C310F9" w:rsidR="00E75A80" w:rsidRPr="009108B5" w:rsidRDefault="00836B11" w:rsidP="00671D36">
            <w:pPr>
              <w:pStyle w:val="BodyText"/>
              <w:jc w:val="both"/>
            </w:pPr>
            <w:r w:rsidRPr="00836B11">
              <w:t>0.05</w:t>
            </w:r>
          </w:p>
        </w:tc>
        <w:tc>
          <w:tcPr>
            <w:tcW w:w="1491" w:type="dxa"/>
          </w:tcPr>
          <w:p w14:paraId="5645B138" w14:textId="7D381090" w:rsidR="00E75A80" w:rsidRDefault="00E75A80" w:rsidP="00671D36">
            <w:pPr>
              <w:pStyle w:val="BodyText"/>
              <w:jc w:val="both"/>
            </w:pPr>
            <w:r w:rsidRPr="009108B5">
              <w:t>0.05-0.07</w:t>
            </w:r>
          </w:p>
        </w:tc>
        <w:sdt>
          <w:sdtPr>
            <w:rPr>
              <w:rFonts w:ascii="Aptos" w:hAnsi="Aptos"/>
              <w:color w:val="000000"/>
              <w:vertAlign w:val="superscript"/>
            </w:rPr>
            <w:tag w:val="MENDELEY_CITATION_v3_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"/>
            <w:id w:val="-1798363760"/>
            <w:placeholder>
              <w:docPart w:val="71C0D33E06774F4FA6B15966160E1874"/>
            </w:placeholder>
          </w:sdtPr>
          <w:sdtEndPr/>
          <w:sdtContent>
            <w:tc>
              <w:tcPr>
                <w:tcW w:w="1740" w:type="dxa"/>
              </w:tcPr>
              <w:p w14:paraId="13BEC602" w14:textId="5D7E0386" w:rsidR="00E75A80" w:rsidRDefault="00C30BDC" w:rsidP="00671D36">
                <w:pPr>
                  <w:pStyle w:val="BodyText"/>
                  <w:jc w:val="both"/>
                </w:pPr>
                <w:r w:rsidRPr="00C30BDC">
                  <w:rPr>
                    <w:rFonts w:ascii="Aptos" w:hAnsi="Aptos"/>
                    <w:color w:val="000000"/>
                    <w:vertAlign w:val="superscript"/>
                  </w:rPr>
                  <w:t>1</w:t>
                </w:r>
              </w:p>
            </w:tc>
          </w:sdtContent>
        </w:sdt>
      </w:tr>
      <w:tr w:rsidR="00E75A80" w14:paraId="54AF52F6" w14:textId="48968B6A" w:rsidTr="00EF60DC">
        <w:tc>
          <w:tcPr>
            <w:tcW w:w="1847" w:type="dxa"/>
          </w:tcPr>
          <w:p w14:paraId="585BBC22" w14:textId="15B75475" w:rsidR="00E75A80" w:rsidRDefault="00E75A80" w:rsidP="00671D36">
            <w:pPr>
              <w:pStyle w:val="BodyText"/>
              <w:jc w:val="both"/>
            </w:pPr>
            <w:r>
              <w:t>µ</w:t>
            </w:r>
            <w:r w:rsidRPr="00727261">
              <w:rPr>
                <w:vertAlign w:val="subscript"/>
              </w:rPr>
              <w:t>m</w:t>
            </w:r>
          </w:p>
        </w:tc>
        <w:tc>
          <w:tcPr>
            <w:tcW w:w="3112" w:type="dxa"/>
          </w:tcPr>
          <w:p w14:paraId="524D4A1A" w14:textId="4CA8B928" w:rsidR="00E75A80" w:rsidRDefault="00E75A80" w:rsidP="00671D36">
            <w:pPr>
              <w:pStyle w:val="BodyText"/>
              <w:jc w:val="both"/>
            </w:pPr>
            <w:r w:rsidRPr="00727261">
              <w:t>Mosquito mortality rate (per day)</w:t>
            </w:r>
          </w:p>
        </w:tc>
        <w:tc>
          <w:tcPr>
            <w:tcW w:w="1386" w:type="dxa"/>
          </w:tcPr>
          <w:p w14:paraId="476EE76E" w14:textId="4BBA40CB" w:rsidR="005F5BAB" w:rsidRPr="005F5BAB" w:rsidRDefault="005F5BAB" w:rsidP="00671D36">
            <w:pPr>
              <w:pStyle w:val="BodyText"/>
              <w:jc w:val="both"/>
            </w:pPr>
            <w:r w:rsidRPr="005F5BAB">
              <w:t>0.2</w:t>
            </w:r>
            <w:r>
              <w:t>1</w:t>
            </w:r>
          </w:p>
          <w:p w14:paraId="5B4BE34B" w14:textId="77777777" w:rsidR="00E75A80" w:rsidRDefault="00E75A80" w:rsidP="00671D36">
            <w:pPr>
              <w:pStyle w:val="BodyText"/>
              <w:jc w:val="both"/>
            </w:pPr>
          </w:p>
        </w:tc>
        <w:tc>
          <w:tcPr>
            <w:tcW w:w="1491" w:type="dxa"/>
          </w:tcPr>
          <w:p w14:paraId="7A20BAE8" w14:textId="38C43C59" w:rsidR="00E75A80" w:rsidRDefault="00E75A80" w:rsidP="00671D36">
            <w:pPr>
              <w:pStyle w:val="BodyText"/>
              <w:jc w:val="both"/>
            </w:pPr>
            <w:r>
              <w:t>0.205</w:t>
            </w:r>
          </w:p>
        </w:tc>
        <w:sdt>
          <w:sdtPr>
            <w:rPr>
              <w:rFonts w:ascii="Aptos" w:hAnsi="Aptos"/>
              <w:color w:val="000000"/>
              <w:vertAlign w:val="superscript"/>
            </w:rPr>
            <w:tag w:val="MENDELEY_CITATION_v3_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"/>
            <w:id w:val="4179105"/>
            <w:placeholder>
              <w:docPart w:val="71C0D33E06774F4FA6B15966160E1874"/>
            </w:placeholder>
          </w:sdtPr>
          <w:sdtEndPr/>
          <w:sdtContent>
            <w:tc>
              <w:tcPr>
                <w:tcW w:w="1740" w:type="dxa"/>
              </w:tcPr>
              <w:p w14:paraId="526F4AEE" w14:textId="7D402B8F" w:rsidR="00E75A80" w:rsidRDefault="00C30BDC" w:rsidP="00671D36">
                <w:pPr>
                  <w:pStyle w:val="BodyText"/>
                  <w:jc w:val="both"/>
                </w:pPr>
                <w:r w:rsidRPr="00C30BDC">
                  <w:rPr>
                    <w:rFonts w:ascii="Aptos" w:hAnsi="Aptos"/>
                    <w:color w:val="000000"/>
                    <w:vertAlign w:val="superscript"/>
                  </w:rPr>
                  <w:t>2</w:t>
                </w:r>
              </w:p>
            </w:tc>
          </w:sdtContent>
        </w:sdt>
      </w:tr>
      <w:tr w:rsidR="00E75A80" w14:paraId="0D9ED1F8" w14:textId="1D131684" w:rsidTr="00EF60DC">
        <w:tc>
          <w:tcPr>
            <w:tcW w:w="1847" w:type="dxa"/>
          </w:tcPr>
          <w:p w14:paraId="19A70C60" w14:textId="10984D71" w:rsidR="00E75A80" w:rsidRDefault="00E75A80" w:rsidP="00671D36">
            <w:pPr>
              <w:pStyle w:val="BodyText"/>
              <w:jc w:val="both"/>
            </w:pPr>
            <w:r>
              <w:lastRenderedPageBreak/>
              <w:t>m</w:t>
            </w:r>
          </w:p>
        </w:tc>
        <w:tc>
          <w:tcPr>
            <w:tcW w:w="3112" w:type="dxa"/>
          </w:tcPr>
          <w:p w14:paraId="38927FC4" w14:textId="6C457C9A" w:rsidR="00E75A80" w:rsidRDefault="00E75A80" w:rsidP="00671D36">
            <w:pPr>
              <w:pStyle w:val="BodyText"/>
              <w:jc w:val="both"/>
            </w:pPr>
            <w:r w:rsidRPr="00A46835">
              <w:t>Average number of mosquitoes per human per day</w:t>
            </w:r>
          </w:p>
        </w:tc>
        <w:tc>
          <w:tcPr>
            <w:tcW w:w="1386" w:type="dxa"/>
          </w:tcPr>
          <w:p w14:paraId="5EBB941D" w14:textId="1B6AAA9E" w:rsidR="00E75A80" w:rsidRDefault="005F5BAB" w:rsidP="00671D36">
            <w:pPr>
              <w:pStyle w:val="BodyText"/>
              <w:jc w:val="both"/>
            </w:pPr>
            <w:r>
              <w:t>10</w:t>
            </w:r>
          </w:p>
        </w:tc>
        <w:tc>
          <w:tcPr>
            <w:tcW w:w="1491" w:type="dxa"/>
          </w:tcPr>
          <w:p w14:paraId="673C4137" w14:textId="1CF78525" w:rsidR="00E75A80" w:rsidRDefault="00E75A80" w:rsidP="00671D36">
            <w:pPr>
              <w:pStyle w:val="BodyText"/>
              <w:jc w:val="both"/>
            </w:pPr>
            <w:r>
              <w:t>10-12</w:t>
            </w:r>
          </w:p>
        </w:tc>
        <w:tc>
          <w:tcPr>
            <w:tcW w:w="1740" w:type="dxa"/>
          </w:tcPr>
          <w:p w14:paraId="00538E1D" w14:textId="201F8CB2" w:rsidR="00E75A80" w:rsidRDefault="00E75A80" w:rsidP="00671D36">
            <w:pPr>
              <w:pStyle w:val="BodyText"/>
              <w:jc w:val="both"/>
            </w:pPr>
            <w:r>
              <w:t>Fitted</w:t>
            </w:r>
          </w:p>
        </w:tc>
      </w:tr>
      <w:tr w:rsidR="00E75A80" w14:paraId="0B9393B9" w14:textId="5A9D1119" w:rsidTr="00EF60DC">
        <w:tc>
          <w:tcPr>
            <w:tcW w:w="1847" w:type="dxa"/>
          </w:tcPr>
          <w:p w14:paraId="5F4DAEAE" w14:textId="6F6013D7" w:rsidR="00E75A80" w:rsidRDefault="00E75A80" w:rsidP="00671D36">
            <w:pPr>
              <w:pStyle w:val="BodyText"/>
              <w:jc w:val="both"/>
            </w:pPr>
            <w:r>
              <w:t>p</w:t>
            </w:r>
            <w:r w:rsidRPr="00B36687">
              <w:rPr>
                <w:vertAlign w:val="subscript"/>
              </w:rPr>
              <w:t>a</w:t>
            </w:r>
          </w:p>
        </w:tc>
        <w:tc>
          <w:tcPr>
            <w:tcW w:w="3112" w:type="dxa"/>
          </w:tcPr>
          <w:p w14:paraId="42333E06" w14:textId="4FF53B88" w:rsidR="00E75A80" w:rsidRDefault="00E75A80" w:rsidP="00671D36">
            <w:pPr>
              <w:pStyle w:val="BodyText"/>
              <w:jc w:val="both"/>
            </w:pPr>
            <w:r>
              <w:t>Proportion of individuals expected to develop asymptomatic malaria</w:t>
            </w:r>
          </w:p>
        </w:tc>
        <w:tc>
          <w:tcPr>
            <w:tcW w:w="1386" w:type="dxa"/>
          </w:tcPr>
          <w:p w14:paraId="5C6B7737" w14:textId="3AE795E1" w:rsidR="00E75A80" w:rsidRDefault="005F5BAB" w:rsidP="00671D36">
            <w:pPr>
              <w:pStyle w:val="BodyText"/>
              <w:jc w:val="both"/>
            </w:pPr>
            <w:r w:rsidRPr="005F5BAB">
              <w:t>0.0087</w:t>
            </w:r>
          </w:p>
        </w:tc>
        <w:tc>
          <w:tcPr>
            <w:tcW w:w="1491" w:type="dxa"/>
          </w:tcPr>
          <w:p w14:paraId="42DF4CD6" w14:textId="13A92E8C" w:rsidR="00E75A80" w:rsidRDefault="00E75A80" w:rsidP="00671D36">
            <w:pPr>
              <w:pStyle w:val="BodyText"/>
              <w:jc w:val="both"/>
            </w:pPr>
            <w:r>
              <w:t>0.007-</w:t>
            </w:r>
            <w:r w:rsidRPr="003B6E5D">
              <w:t>0.11</w:t>
            </w:r>
          </w:p>
        </w:tc>
        <w:tc>
          <w:tcPr>
            <w:tcW w:w="1740" w:type="dxa"/>
          </w:tcPr>
          <w:p w14:paraId="56A5CC84" w14:textId="1FF05544" w:rsidR="00E75A80" w:rsidRDefault="00E75A80" w:rsidP="00671D36">
            <w:pPr>
              <w:pStyle w:val="BodyText"/>
              <w:jc w:val="both"/>
            </w:pPr>
            <w:r>
              <w:t>Fitted</w:t>
            </w:r>
          </w:p>
        </w:tc>
      </w:tr>
      <w:tr w:rsidR="00E75A80" w14:paraId="7B4CB52B" w14:textId="5DCA0B0D" w:rsidTr="00EF60DC">
        <w:tc>
          <w:tcPr>
            <w:tcW w:w="1847" w:type="dxa"/>
          </w:tcPr>
          <w:p w14:paraId="563B3C1E" w14:textId="7389F6A4" w:rsidR="00E75A80" w:rsidRDefault="00E75A80" w:rsidP="00671D36">
            <w:pPr>
              <w:pStyle w:val="BodyText"/>
              <w:jc w:val="both"/>
            </w:pPr>
            <w:proofErr w:type="spellStart"/>
            <w:r>
              <w:t>p</w:t>
            </w:r>
            <w:r w:rsidRPr="0050382B">
              <w:rPr>
                <w:vertAlign w:val="subscript"/>
              </w:rPr>
              <w:t>u</w:t>
            </w:r>
            <w:proofErr w:type="spellEnd"/>
          </w:p>
        </w:tc>
        <w:tc>
          <w:tcPr>
            <w:tcW w:w="3112" w:type="dxa"/>
          </w:tcPr>
          <w:p w14:paraId="397E3CCA" w14:textId="67DA103E" w:rsidR="00E75A80" w:rsidRDefault="00E75A80" w:rsidP="00671D36">
            <w:pPr>
              <w:pStyle w:val="BodyText"/>
              <w:jc w:val="both"/>
            </w:pPr>
            <w:r>
              <w:t>Proportion of individuals expected to develop clinical uncomplicated malaria</w:t>
            </w:r>
          </w:p>
        </w:tc>
        <w:tc>
          <w:tcPr>
            <w:tcW w:w="1386" w:type="dxa"/>
          </w:tcPr>
          <w:p w14:paraId="1573D3E6" w14:textId="715F1FF3" w:rsidR="00E75A80" w:rsidRDefault="0045562C" w:rsidP="00671D36">
            <w:pPr>
              <w:pStyle w:val="BodyText"/>
              <w:jc w:val="both"/>
            </w:pPr>
            <w:r w:rsidRPr="0045562C">
              <w:t>0.98</w:t>
            </w:r>
          </w:p>
        </w:tc>
        <w:tc>
          <w:tcPr>
            <w:tcW w:w="1491" w:type="dxa"/>
          </w:tcPr>
          <w:p w14:paraId="3AEEEED2" w14:textId="04AA5462" w:rsidR="00E75A80" w:rsidRDefault="00E75A80" w:rsidP="00671D36">
            <w:pPr>
              <w:pStyle w:val="BodyText"/>
              <w:jc w:val="both"/>
            </w:pPr>
            <w:r>
              <w:t>0.6-0.98</w:t>
            </w:r>
          </w:p>
        </w:tc>
        <w:tc>
          <w:tcPr>
            <w:tcW w:w="1740" w:type="dxa"/>
          </w:tcPr>
          <w:p w14:paraId="2B16E0D8" w14:textId="17F33588" w:rsidR="00E75A80" w:rsidRDefault="00E75A80" w:rsidP="00671D36">
            <w:pPr>
              <w:pStyle w:val="BodyText"/>
              <w:jc w:val="both"/>
            </w:pPr>
            <w:r>
              <w:t>Fitted</w:t>
            </w:r>
          </w:p>
        </w:tc>
      </w:tr>
      <w:tr w:rsidR="00E75A80" w14:paraId="67BC3DEA" w14:textId="2D00AF00" w:rsidTr="00EF60DC">
        <w:tc>
          <w:tcPr>
            <w:tcW w:w="1847" w:type="dxa"/>
          </w:tcPr>
          <w:p w14:paraId="5CD6127B" w14:textId="39C27B15" w:rsidR="00E75A80" w:rsidRDefault="00E75A80" w:rsidP="00671D36">
            <w:pPr>
              <w:pStyle w:val="BodyText"/>
              <w:jc w:val="both"/>
            </w:pPr>
            <w:proofErr w:type="spellStart"/>
            <w:r>
              <w:t>γ</w:t>
            </w:r>
            <w:r w:rsidRPr="00EB47D3">
              <w:rPr>
                <w:vertAlign w:val="subscript"/>
              </w:rPr>
              <w:t>h</w:t>
            </w:r>
            <w:proofErr w:type="spellEnd"/>
            <w:r>
              <w:t xml:space="preserve">  </w:t>
            </w:r>
          </w:p>
        </w:tc>
        <w:tc>
          <w:tcPr>
            <w:tcW w:w="3112" w:type="dxa"/>
          </w:tcPr>
          <w:p w14:paraId="1B8FD97E" w14:textId="4A0CA8D8" w:rsidR="00E75A80" w:rsidRDefault="00E75A80" w:rsidP="00671D36">
            <w:pPr>
              <w:pStyle w:val="BodyText"/>
              <w:jc w:val="both"/>
            </w:pPr>
            <w:r>
              <w:t>Rate of onset of infectiousness in humans (Incubation rate; per day)</w:t>
            </w:r>
          </w:p>
        </w:tc>
        <w:tc>
          <w:tcPr>
            <w:tcW w:w="1386" w:type="dxa"/>
          </w:tcPr>
          <w:p w14:paraId="7195A38F" w14:textId="2BC533F9" w:rsidR="00E75A80" w:rsidRPr="00F461DE" w:rsidRDefault="002D320E" w:rsidP="00671D36">
            <w:pPr>
              <w:pStyle w:val="BodyText"/>
              <w:jc w:val="both"/>
            </w:pPr>
            <w:r w:rsidRPr="002D320E">
              <w:t>0.0</w:t>
            </w:r>
            <w:r w:rsidR="00B71BB3">
              <w:t>8</w:t>
            </w:r>
          </w:p>
        </w:tc>
        <w:tc>
          <w:tcPr>
            <w:tcW w:w="1491" w:type="dxa"/>
          </w:tcPr>
          <w:p w14:paraId="78978452" w14:textId="6C85CAC2" w:rsidR="00E75A80" w:rsidRDefault="00E75A80" w:rsidP="00671D36">
            <w:pPr>
              <w:pStyle w:val="BodyText"/>
              <w:jc w:val="both"/>
            </w:pPr>
            <w:r w:rsidRPr="00F461DE">
              <w:t>0.06</w:t>
            </w:r>
            <w:r>
              <w:t>-</w:t>
            </w:r>
            <w:r w:rsidRPr="00F461DE">
              <w:t>0.0</w:t>
            </w:r>
            <w:r w:rsidR="00B71BB3">
              <w:t>9</w:t>
            </w:r>
          </w:p>
        </w:tc>
        <w:tc>
          <w:tcPr>
            <w:tcW w:w="1740" w:type="dxa"/>
          </w:tcPr>
          <w:p w14:paraId="0E465C0F" w14:textId="4452FADE" w:rsidR="00E75A80" w:rsidRDefault="00E75A80" w:rsidP="00671D36">
            <w:pPr>
              <w:pStyle w:val="BodyText"/>
              <w:jc w:val="both"/>
            </w:pPr>
            <w:r>
              <w:t>Fitted</w:t>
            </w:r>
          </w:p>
        </w:tc>
      </w:tr>
      <w:tr w:rsidR="00E75A80" w14:paraId="1CABE61B" w14:textId="09042662" w:rsidTr="00EF60DC">
        <w:tc>
          <w:tcPr>
            <w:tcW w:w="1847" w:type="dxa"/>
          </w:tcPr>
          <w:p w14:paraId="3BA02B3A" w14:textId="2D8D6B33" w:rsidR="00E75A80" w:rsidRDefault="00E75A80" w:rsidP="00671D36">
            <w:pPr>
              <w:pStyle w:val="BodyText"/>
              <w:jc w:val="both"/>
            </w:pPr>
            <w:r>
              <w:t>δ</w:t>
            </w:r>
          </w:p>
        </w:tc>
        <w:tc>
          <w:tcPr>
            <w:tcW w:w="3112" w:type="dxa"/>
          </w:tcPr>
          <w:p w14:paraId="0AA71528" w14:textId="33AF2F7E" w:rsidR="00E75A80" w:rsidRDefault="00E75A80" w:rsidP="00671D36">
            <w:pPr>
              <w:pStyle w:val="BodyText"/>
              <w:jc w:val="both"/>
            </w:pPr>
            <w:r w:rsidRPr="00BB0D63">
              <w:t xml:space="preserve">Natural recovery </w:t>
            </w:r>
            <w:r>
              <w:t>rate</w:t>
            </w:r>
            <w:r w:rsidRPr="00BB0D63">
              <w:t xml:space="preserve"> (per day)</w:t>
            </w:r>
          </w:p>
        </w:tc>
        <w:tc>
          <w:tcPr>
            <w:tcW w:w="1386" w:type="dxa"/>
          </w:tcPr>
          <w:p w14:paraId="7882FF89" w14:textId="33525357" w:rsidR="00E75A80" w:rsidRPr="004C2E14" w:rsidRDefault="00B71BB3" w:rsidP="00671D36">
            <w:pPr>
              <w:pStyle w:val="BodyText"/>
              <w:jc w:val="both"/>
            </w:pPr>
            <w:r w:rsidRPr="00B71BB3">
              <w:t>0.002</w:t>
            </w:r>
            <w:r>
              <w:t>9</w:t>
            </w:r>
          </w:p>
        </w:tc>
        <w:tc>
          <w:tcPr>
            <w:tcW w:w="1491" w:type="dxa"/>
          </w:tcPr>
          <w:p w14:paraId="46E36524" w14:textId="0F1A217A" w:rsidR="00E75A80" w:rsidRDefault="00E75A80" w:rsidP="00671D36">
            <w:pPr>
              <w:pStyle w:val="BodyText"/>
              <w:jc w:val="both"/>
            </w:pPr>
            <w:r w:rsidRPr="004C2E14">
              <w:t>0.0014</w:t>
            </w:r>
            <w:r>
              <w:t>-</w:t>
            </w:r>
            <w:r w:rsidRPr="004C2E14">
              <w:t>0.017</w:t>
            </w:r>
          </w:p>
        </w:tc>
        <w:sdt>
          <w:sdtPr>
            <w:rPr>
              <w:rFonts w:ascii="Aptos" w:hAnsi="Aptos"/>
              <w:color w:val="000000"/>
              <w:vertAlign w:val="superscript"/>
            </w:rPr>
            <w:tag w:val="MENDELEY_CITATION_v3_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"/>
            <w:id w:val="-1198698235"/>
            <w:placeholder>
              <w:docPart w:val="71C0D33E06774F4FA6B15966160E1874"/>
            </w:placeholder>
          </w:sdtPr>
          <w:sdtEndPr/>
          <w:sdtContent>
            <w:tc>
              <w:tcPr>
                <w:tcW w:w="1740" w:type="dxa"/>
              </w:tcPr>
              <w:p w14:paraId="7F413891" w14:textId="3B2AA9AD" w:rsidR="00E75A80" w:rsidRDefault="00C30BDC" w:rsidP="00671D36">
                <w:pPr>
                  <w:pStyle w:val="BodyText"/>
                  <w:jc w:val="both"/>
                </w:pPr>
                <w:r w:rsidRPr="00C30BDC">
                  <w:rPr>
                    <w:rFonts w:ascii="Aptos" w:hAnsi="Aptos"/>
                    <w:color w:val="000000"/>
                    <w:vertAlign w:val="superscript"/>
                  </w:rPr>
                  <w:t>3</w:t>
                </w:r>
              </w:p>
            </w:tc>
          </w:sdtContent>
        </w:sdt>
      </w:tr>
      <w:tr w:rsidR="00E75A80" w14:paraId="4CCC854A" w14:textId="6E1BE502" w:rsidTr="00EF60DC">
        <w:tc>
          <w:tcPr>
            <w:tcW w:w="1847" w:type="dxa"/>
          </w:tcPr>
          <w:p w14:paraId="09A74CFD" w14:textId="71CFFCF5" w:rsidR="00E75A80" w:rsidRDefault="00E75A80" w:rsidP="00671D36">
            <w:pPr>
              <w:pStyle w:val="BodyText"/>
              <w:jc w:val="both"/>
            </w:pPr>
            <w:r>
              <w:t>r</w:t>
            </w:r>
          </w:p>
        </w:tc>
        <w:tc>
          <w:tcPr>
            <w:tcW w:w="3112" w:type="dxa"/>
          </w:tcPr>
          <w:p w14:paraId="72413BB5" w14:textId="75A58257" w:rsidR="00E75A80" w:rsidRDefault="00E75A80" w:rsidP="00671D36">
            <w:pPr>
              <w:pStyle w:val="BodyText"/>
              <w:jc w:val="both"/>
            </w:pPr>
            <w:r>
              <w:t>Recovery rate after antimalarial treatment (AL; per day)</w:t>
            </w:r>
          </w:p>
        </w:tc>
        <w:tc>
          <w:tcPr>
            <w:tcW w:w="1386" w:type="dxa"/>
          </w:tcPr>
          <w:p w14:paraId="29673875" w14:textId="556D82E7" w:rsidR="00E75A80" w:rsidRPr="00532411" w:rsidRDefault="00330877" w:rsidP="00671D36">
            <w:pPr>
              <w:pStyle w:val="BodyText"/>
              <w:jc w:val="both"/>
            </w:pPr>
            <w:r w:rsidRPr="00330877">
              <w:t>0.062</w:t>
            </w:r>
          </w:p>
        </w:tc>
        <w:tc>
          <w:tcPr>
            <w:tcW w:w="1491" w:type="dxa"/>
          </w:tcPr>
          <w:p w14:paraId="4B9C78A1" w14:textId="4C13A9D5" w:rsidR="00E75A80" w:rsidRDefault="00E75A80" w:rsidP="00671D36">
            <w:pPr>
              <w:pStyle w:val="BodyText"/>
              <w:jc w:val="both"/>
            </w:pPr>
            <w:r w:rsidRPr="00532411">
              <w:t>0.06-0.18</w:t>
            </w:r>
          </w:p>
        </w:tc>
        <w:sdt>
          <w:sdtPr>
            <w:rPr>
              <w:rFonts w:ascii="Aptos" w:hAnsi="Aptos"/>
              <w:color w:val="000000"/>
              <w:vertAlign w:val="superscript"/>
            </w:rPr>
            <w:tag w:val="MENDELEY_CITATION_v3_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"/>
            <w:id w:val="1841036709"/>
            <w:placeholder>
              <w:docPart w:val="71C0D33E06774F4FA6B15966160E1874"/>
            </w:placeholder>
          </w:sdtPr>
          <w:sdtEndPr/>
          <w:sdtContent>
            <w:tc>
              <w:tcPr>
                <w:tcW w:w="1740" w:type="dxa"/>
              </w:tcPr>
              <w:p w14:paraId="3F2D60DB" w14:textId="6B9DC76E" w:rsidR="00E75A80" w:rsidRDefault="00C30BDC" w:rsidP="00671D36">
                <w:pPr>
                  <w:pStyle w:val="BodyText"/>
                  <w:jc w:val="both"/>
                </w:pPr>
                <w:r w:rsidRPr="00C30BDC">
                  <w:rPr>
                    <w:rFonts w:ascii="Aptos" w:hAnsi="Aptos"/>
                    <w:color w:val="000000"/>
                    <w:vertAlign w:val="superscript"/>
                  </w:rPr>
                  <w:t>4</w:t>
                </w:r>
              </w:p>
            </w:tc>
          </w:sdtContent>
        </w:sdt>
      </w:tr>
      <w:tr w:rsidR="00E75A80" w14:paraId="4F81DB70" w14:textId="7E397C76" w:rsidTr="00EF60DC">
        <w:tc>
          <w:tcPr>
            <w:tcW w:w="1847" w:type="dxa"/>
          </w:tcPr>
          <w:p w14:paraId="75652F11" w14:textId="15C7F90E" w:rsidR="00E75A80" w:rsidRDefault="00E75A80" w:rsidP="00671D36">
            <w:pPr>
              <w:pStyle w:val="BodyText"/>
              <w:jc w:val="both"/>
            </w:pPr>
            <w:proofErr w:type="spellStart"/>
            <w:r>
              <w:t>r</w:t>
            </w:r>
            <w:r w:rsidRPr="00656D35">
              <w:rPr>
                <w:vertAlign w:val="subscript"/>
              </w:rPr>
              <w:t>s</w:t>
            </w:r>
            <w:proofErr w:type="spellEnd"/>
          </w:p>
        </w:tc>
        <w:tc>
          <w:tcPr>
            <w:tcW w:w="3112" w:type="dxa"/>
          </w:tcPr>
          <w:p w14:paraId="45CBA320" w14:textId="2AAF2C7B" w:rsidR="00E75A80" w:rsidRDefault="00E75A80" w:rsidP="00671D36">
            <w:pPr>
              <w:pStyle w:val="BodyText"/>
              <w:jc w:val="both"/>
            </w:pPr>
            <w:r>
              <w:t>Recovery rate after antimalarial treatment from severe malaria (per day)</w:t>
            </w:r>
          </w:p>
        </w:tc>
        <w:tc>
          <w:tcPr>
            <w:tcW w:w="1386" w:type="dxa"/>
          </w:tcPr>
          <w:p w14:paraId="7DED0678" w14:textId="09FF8834" w:rsidR="00E75A80" w:rsidRPr="00E3407D" w:rsidRDefault="00867B43" w:rsidP="00671D36">
            <w:pPr>
              <w:pStyle w:val="BodyText"/>
              <w:jc w:val="both"/>
            </w:pPr>
            <w:r>
              <w:t>0.3</w:t>
            </w:r>
          </w:p>
        </w:tc>
        <w:tc>
          <w:tcPr>
            <w:tcW w:w="1491" w:type="dxa"/>
          </w:tcPr>
          <w:p w14:paraId="303DD785" w14:textId="1CF8554C" w:rsidR="00E75A80" w:rsidRDefault="00E75A80" w:rsidP="00671D36">
            <w:pPr>
              <w:pStyle w:val="BodyText"/>
              <w:jc w:val="both"/>
            </w:pPr>
            <w:r w:rsidRPr="00E3407D">
              <w:t>0.2-0.35</w:t>
            </w:r>
          </w:p>
        </w:tc>
        <w:sdt>
          <w:sdtPr>
            <w:rPr>
              <w:rFonts w:ascii="Aptos" w:hAnsi="Aptos"/>
              <w:color w:val="000000"/>
              <w:vertAlign w:val="superscript"/>
            </w:rPr>
            <w:tag w:val="MENDELEY_CITATION_v3_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"/>
            <w:id w:val="1557821226"/>
            <w:placeholder>
              <w:docPart w:val="71C0D33E06774F4FA6B15966160E1874"/>
            </w:placeholder>
          </w:sdtPr>
          <w:sdtEndPr/>
          <w:sdtContent>
            <w:tc>
              <w:tcPr>
                <w:tcW w:w="1740" w:type="dxa"/>
              </w:tcPr>
              <w:p w14:paraId="7E68C51B" w14:textId="6D7D537D" w:rsidR="00E75A80" w:rsidRDefault="00C30BDC" w:rsidP="00671D36">
                <w:pPr>
                  <w:pStyle w:val="BodyText"/>
                  <w:jc w:val="both"/>
                </w:pPr>
                <w:r w:rsidRPr="00C30BDC">
                  <w:rPr>
                    <w:rFonts w:ascii="Aptos" w:hAnsi="Aptos"/>
                    <w:color w:val="000000"/>
                    <w:vertAlign w:val="superscript"/>
                  </w:rPr>
                  <w:t>5</w:t>
                </w:r>
              </w:p>
            </w:tc>
          </w:sdtContent>
        </w:sdt>
      </w:tr>
      <w:tr w:rsidR="00E75A80" w14:paraId="5A0D3359" w14:textId="507037E2" w:rsidTr="00EF60DC">
        <w:tc>
          <w:tcPr>
            <w:tcW w:w="1847" w:type="dxa"/>
          </w:tcPr>
          <w:p w14:paraId="43CC3486" w14:textId="68C1E3DD" w:rsidR="00E75A80" w:rsidRDefault="00E75A80" w:rsidP="00671D36">
            <w:pPr>
              <w:pStyle w:val="BodyText"/>
              <w:jc w:val="both"/>
            </w:pPr>
            <w:r>
              <w:t>ρ</w:t>
            </w:r>
          </w:p>
        </w:tc>
        <w:tc>
          <w:tcPr>
            <w:tcW w:w="3112" w:type="dxa"/>
          </w:tcPr>
          <w:p w14:paraId="0C07D48C" w14:textId="1B509691" w:rsidR="00E75A80" w:rsidRDefault="00E75A80" w:rsidP="00671D36">
            <w:pPr>
              <w:pStyle w:val="BodyText"/>
              <w:jc w:val="both"/>
            </w:pPr>
            <w:r w:rsidRPr="005C4FBC">
              <w:t>Loss of immunity (per day)</w:t>
            </w:r>
          </w:p>
        </w:tc>
        <w:tc>
          <w:tcPr>
            <w:tcW w:w="1386" w:type="dxa"/>
          </w:tcPr>
          <w:p w14:paraId="398A0D4A" w14:textId="2F2A67D3" w:rsidR="00E75A80" w:rsidRPr="00DC68D5" w:rsidRDefault="00867B43" w:rsidP="00671D36">
            <w:pPr>
              <w:pStyle w:val="BodyText"/>
              <w:jc w:val="both"/>
            </w:pPr>
            <w:r>
              <w:t>0.007</w:t>
            </w:r>
          </w:p>
        </w:tc>
        <w:tc>
          <w:tcPr>
            <w:tcW w:w="1491" w:type="dxa"/>
          </w:tcPr>
          <w:p w14:paraId="2371A680" w14:textId="69032AB3" w:rsidR="00E75A80" w:rsidRDefault="00E75A80" w:rsidP="00671D36">
            <w:pPr>
              <w:pStyle w:val="BodyText"/>
              <w:jc w:val="both"/>
            </w:pPr>
            <w:r w:rsidRPr="00DC68D5">
              <w:t>0.000055</w:t>
            </w:r>
            <w:r>
              <w:t>-</w:t>
            </w:r>
            <w:r w:rsidRPr="00DC68D5">
              <w:t>0.011</w:t>
            </w:r>
          </w:p>
        </w:tc>
        <w:sdt>
          <w:sdtPr>
            <w:rPr>
              <w:rFonts w:ascii="Aptos" w:hAnsi="Aptos"/>
              <w:color w:val="000000"/>
              <w:vertAlign w:val="superscript"/>
            </w:rPr>
            <w:tag w:val="MENDELEY_CITATION_v3_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"/>
            <w:id w:val="-1005748598"/>
            <w:placeholder>
              <w:docPart w:val="71C0D33E06774F4FA6B15966160E1874"/>
            </w:placeholder>
          </w:sdtPr>
          <w:sdtEndPr/>
          <w:sdtContent>
            <w:tc>
              <w:tcPr>
                <w:tcW w:w="1740" w:type="dxa"/>
              </w:tcPr>
              <w:p w14:paraId="7C1CBBEE" w14:textId="52A70C34" w:rsidR="00E75A80" w:rsidRDefault="00C30BDC" w:rsidP="00671D36">
                <w:pPr>
                  <w:pStyle w:val="BodyText"/>
                  <w:jc w:val="both"/>
                </w:pPr>
                <w:r w:rsidRPr="00C30BDC">
                  <w:rPr>
                    <w:rFonts w:ascii="Aptos" w:hAnsi="Aptos"/>
                    <w:color w:val="000000"/>
                    <w:vertAlign w:val="superscript"/>
                  </w:rPr>
                  <w:t>6</w:t>
                </w:r>
              </w:p>
            </w:tc>
          </w:sdtContent>
        </w:sdt>
      </w:tr>
      <w:tr w:rsidR="00E75A80" w14:paraId="09EBEB68" w14:textId="02F75A76" w:rsidTr="00EF60DC">
        <w:tc>
          <w:tcPr>
            <w:tcW w:w="1847" w:type="dxa"/>
          </w:tcPr>
          <w:p w14:paraId="4777B5AC" w14:textId="385692E1" w:rsidR="00E75A80" w:rsidRDefault="00E75A80" w:rsidP="00671D36">
            <w:pPr>
              <w:pStyle w:val="BodyText"/>
              <w:jc w:val="both"/>
            </w:pPr>
            <w:proofErr w:type="spellStart"/>
            <w:r>
              <w:t>ζ</w:t>
            </w:r>
            <w:r w:rsidRPr="00587002">
              <w:rPr>
                <w:vertAlign w:val="subscript"/>
              </w:rPr>
              <w:t>a</w:t>
            </w:r>
            <w:proofErr w:type="spellEnd"/>
          </w:p>
        </w:tc>
        <w:tc>
          <w:tcPr>
            <w:tcW w:w="3112" w:type="dxa"/>
          </w:tcPr>
          <w:p w14:paraId="5681673E" w14:textId="014EA45D" w:rsidR="00E75A80" w:rsidRDefault="00E75A80" w:rsidP="00671D36">
            <w:pPr>
              <w:pStyle w:val="BodyText"/>
              <w:jc w:val="both"/>
            </w:pPr>
            <w:r>
              <w:t>Relative infectiousness of asymptomatic infection compared to clinical infections</w:t>
            </w:r>
          </w:p>
        </w:tc>
        <w:tc>
          <w:tcPr>
            <w:tcW w:w="1386" w:type="dxa"/>
          </w:tcPr>
          <w:p w14:paraId="36E14224" w14:textId="71106138" w:rsidR="00E75A80" w:rsidRPr="00940A33" w:rsidRDefault="00974F9C" w:rsidP="00671D36">
            <w:pPr>
              <w:pStyle w:val="BodyText"/>
              <w:jc w:val="both"/>
            </w:pPr>
            <w:r>
              <w:t>0.04</w:t>
            </w:r>
          </w:p>
        </w:tc>
        <w:tc>
          <w:tcPr>
            <w:tcW w:w="1491" w:type="dxa"/>
          </w:tcPr>
          <w:p w14:paraId="3D62949C" w14:textId="6ACE5547" w:rsidR="00E75A80" w:rsidRDefault="00E75A80" w:rsidP="00671D36">
            <w:pPr>
              <w:pStyle w:val="BodyText"/>
              <w:jc w:val="both"/>
            </w:pPr>
            <w:r w:rsidRPr="00940A33">
              <w:t>0.0</w:t>
            </w:r>
            <w:r w:rsidR="00974F9C">
              <w:t>35</w:t>
            </w:r>
            <w:r w:rsidRPr="00940A33">
              <w:t>-0.05</w:t>
            </w:r>
          </w:p>
        </w:tc>
        <w:sdt>
          <w:sdtPr>
            <w:rPr>
              <w:rFonts w:ascii="Aptos" w:hAnsi="Aptos"/>
              <w:color w:val="000000"/>
              <w:vertAlign w:val="superscript"/>
            </w:rPr>
            <w:tag w:val="MENDELEY_CITATION_v3_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"/>
            <w:id w:val="696890964"/>
            <w:placeholder>
              <w:docPart w:val="71C0D33E06774F4FA6B15966160E1874"/>
            </w:placeholder>
          </w:sdtPr>
          <w:sdtEndPr/>
          <w:sdtContent>
            <w:tc>
              <w:tcPr>
                <w:tcW w:w="1740" w:type="dxa"/>
              </w:tcPr>
              <w:p w14:paraId="66560462" w14:textId="66E30F13" w:rsidR="00E75A80" w:rsidRDefault="00C30BDC" w:rsidP="00671D36">
                <w:pPr>
                  <w:pStyle w:val="BodyText"/>
                  <w:jc w:val="both"/>
                </w:pPr>
                <w:r w:rsidRPr="00C30BDC">
                  <w:rPr>
                    <w:rFonts w:ascii="Aptos" w:hAnsi="Aptos"/>
                    <w:color w:val="000000"/>
                    <w:vertAlign w:val="superscript"/>
                  </w:rPr>
                  <w:t>7</w:t>
                </w:r>
              </w:p>
            </w:tc>
          </w:sdtContent>
        </w:sdt>
      </w:tr>
      <w:tr w:rsidR="00E75A80" w14:paraId="79058C09" w14:textId="3F3C1E6D" w:rsidTr="00EF60DC">
        <w:tc>
          <w:tcPr>
            <w:tcW w:w="1847" w:type="dxa"/>
          </w:tcPr>
          <w:p w14:paraId="6D0F45A0" w14:textId="5BAFEB7B" w:rsidR="00E75A80" w:rsidRDefault="00E75A80" w:rsidP="00671D36">
            <w:pPr>
              <w:pStyle w:val="BodyText"/>
              <w:jc w:val="both"/>
            </w:pPr>
            <w:proofErr w:type="spellStart"/>
            <w:r>
              <w:t>ζ</w:t>
            </w:r>
            <w:r>
              <w:rPr>
                <w:vertAlign w:val="subscript"/>
              </w:rPr>
              <w:t>t</w:t>
            </w:r>
            <w:proofErr w:type="spellEnd"/>
          </w:p>
        </w:tc>
        <w:tc>
          <w:tcPr>
            <w:tcW w:w="3112" w:type="dxa"/>
          </w:tcPr>
          <w:p w14:paraId="7DEF0302" w14:textId="167BEC84" w:rsidR="00E75A80" w:rsidRDefault="00E75A80" w:rsidP="00671D36">
            <w:pPr>
              <w:pStyle w:val="BodyText"/>
              <w:jc w:val="both"/>
            </w:pPr>
            <w:r>
              <w:t>Relative infectiousness of outpatient-treated individuals compared to clinical infection</w:t>
            </w:r>
          </w:p>
        </w:tc>
        <w:tc>
          <w:tcPr>
            <w:tcW w:w="1386" w:type="dxa"/>
          </w:tcPr>
          <w:p w14:paraId="087C26AE" w14:textId="26690695" w:rsidR="00E75A80" w:rsidRDefault="00974F9C" w:rsidP="00671D36">
            <w:pPr>
              <w:pStyle w:val="BodyText"/>
              <w:jc w:val="both"/>
            </w:pPr>
            <w:r>
              <w:t>0.08</w:t>
            </w:r>
          </w:p>
        </w:tc>
        <w:tc>
          <w:tcPr>
            <w:tcW w:w="1491" w:type="dxa"/>
          </w:tcPr>
          <w:p w14:paraId="5553558B" w14:textId="240FAD68" w:rsidR="00E75A80" w:rsidRDefault="00E75A80" w:rsidP="00671D36">
            <w:pPr>
              <w:pStyle w:val="BodyText"/>
              <w:jc w:val="both"/>
            </w:pPr>
            <w:r>
              <w:t>0.07</w:t>
            </w:r>
            <w:r w:rsidRPr="006F5828">
              <w:t>-0.21</w:t>
            </w:r>
          </w:p>
        </w:tc>
        <w:tc>
          <w:tcPr>
            <w:tcW w:w="1740" w:type="dxa"/>
          </w:tcPr>
          <w:p w14:paraId="00681D62" w14:textId="658469DF" w:rsidR="00E75A80" w:rsidRDefault="00E75A80" w:rsidP="00671D36">
            <w:pPr>
              <w:pStyle w:val="BodyText"/>
              <w:jc w:val="both"/>
            </w:pPr>
            <w:r>
              <w:t>Fitted</w:t>
            </w:r>
          </w:p>
        </w:tc>
      </w:tr>
      <w:tr w:rsidR="00E75A80" w14:paraId="0931BD75" w14:textId="71DE6AAA" w:rsidTr="00EF60DC">
        <w:tc>
          <w:tcPr>
            <w:tcW w:w="1847" w:type="dxa"/>
          </w:tcPr>
          <w:p w14:paraId="64DA2D9A" w14:textId="320464CF" w:rsidR="00E75A80" w:rsidRDefault="00E75A80" w:rsidP="00671D36">
            <w:pPr>
              <w:pStyle w:val="BodyText"/>
              <w:jc w:val="both"/>
            </w:pPr>
            <w:r>
              <w:lastRenderedPageBreak/>
              <w:t>ω</w:t>
            </w:r>
          </w:p>
        </w:tc>
        <w:tc>
          <w:tcPr>
            <w:tcW w:w="3112" w:type="dxa"/>
          </w:tcPr>
          <w:p w14:paraId="2114625C" w14:textId="05619ED3" w:rsidR="00E75A80" w:rsidRDefault="00E75A80" w:rsidP="00671D36">
            <w:pPr>
              <w:pStyle w:val="BodyText"/>
              <w:jc w:val="both"/>
            </w:pPr>
            <w:r>
              <w:t>Transition rate from uncomplicated malaria to the asymptomatic class</w:t>
            </w:r>
          </w:p>
        </w:tc>
        <w:tc>
          <w:tcPr>
            <w:tcW w:w="1386" w:type="dxa"/>
          </w:tcPr>
          <w:p w14:paraId="1FC6775B" w14:textId="24D10753" w:rsidR="00E75A80" w:rsidRPr="006D3EDA" w:rsidRDefault="007E7B52" w:rsidP="00671D36">
            <w:pPr>
              <w:pStyle w:val="BodyText"/>
              <w:jc w:val="both"/>
            </w:pPr>
            <w:r>
              <w:t>0.02</w:t>
            </w:r>
          </w:p>
        </w:tc>
        <w:tc>
          <w:tcPr>
            <w:tcW w:w="1491" w:type="dxa"/>
          </w:tcPr>
          <w:p w14:paraId="260E2F1A" w14:textId="27486889" w:rsidR="00E75A80" w:rsidRDefault="00E75A80" w:rsidP="00671D36">
            <w:pPr>
              <w:pStyle w:val="BodyText"/>
              <w:jc w:val="both"/>
            </w:pPr>
            <w:r w:rsidRPr="006D3EDA">
              <w:t>0.01-0.0</w:t>
            </w:r>
            <w:r w:rsidR="007E7B52">
              <w:t>3</w:t>
            </w:r>
          </w:p>
        </w:tc>
        <w:tc>
          <w:tcPr>
            <w:tcW w:w="1740" w:type="dxa"/>
          </w:tcPr>
          <w:p w14:paraId="7CAEF36A" w14:textId="4D8B60F8" w:rsidR="00E75A80" w:rsidRDefault="00E75A80" w:rsidP="00671D36">
            <w:pPr>
              <w:pStyle w:val="BodyText"/>
              <w:jc w:val="both"/>
            </w:pPr>
            <w:r>
              <w:t>Fitted</w:t>
            </w:r>
          </w:p>
        </w:tc>
      </w:tr>
      <w:tr w:rsidR="00E75A80" w14:paraId="40927AB7" w14:textId="247FEA0E" w:rsidTr="00EF60DC">
        <w:tc>
          <w:tcPr>
            <w:tcW w:w="1847" w:type="dxa"/>
          </w:tcPr>
          <w:p w14:paraId="543DF025" w14:textId="5A3898ED" w:rsidR="00E75A80" w:rsidRDefault="00E75A80" w:rsidP="00671D36">
            <w:pPr>
              <w:pStyle w:val="BodyText"/>
              <w:jc w:val="both"/>
            </w:pPr>
            <w:r>
              <w:t>τ</w:t>
            </w:r>
          </w:p>
        </w:tc>
        <w:tc>
          <w:tcPr>
            <w:tcW w:w="3112" w:type="dxa"/>
          </w:tcPr>
          <w:p w14:paraId="67328F95" w14:textId="146EE3F1" w:rsidR="00E75A80" w:rsidRDefault="00E75A80" w:rsidP="00671D36">
            <w:pPr>
              <w:pStyle w:val="BodyText"/>
              <w:jc w:val="both"/>
            </w:pPr>
            <w:r w:rsidRPr="00FB0124">
              <w:t>Admission rate to hospital for uncomplicated malaria</w:t>
            </w:r>
          </w:p>
        </w:tc>
        <w:tc>
          <w:tcPr>
            <w:tcW w:w="1386" w:type="dxa"/>
          </w:tcPr>
          <w:p w14:paraId="055EF602" w14:textId="2747DFB4" w:rsidR="00E75A80" w:rsidRPr="005029B1" w:rsidRDefault="000A0129" w:rsidP="00671D36">
            <w:pPr>
              <w:pStyle w:val="BodyText"/>
              <w:jc w:val="both"/>
            </w:pPr>
            <w:r>
              <w:t>0.19</w:t>
            </w:r>
          </w:p>
        </w:tc>
        <w:tc>
          <w:tcPr>
            <w:tcW w:w="1491" w:type="dxa"/>
          </w:tcPr>
          <w:p w14:paraId="19BB46A9" w14:textId="5A4E3548" w:rsidR="00E75A80" w:rsidRDefault="00E75A80" w:rsidP="00671D36">
            <w:pPr>
              <w:pStyle w:val="BodyText"/>
              <w:jc w:val="both"/>
            </w:pPr>
            <w:r w:rsidRPr="005029B1">
              <w:t>0.16-0.24</w:t>
            </w:r>
          </w:p>
        </w:tc>
        <w:tc>
          <w:tcPr>
            <w:tcW w:w="1740" w:type="dxa"/>
          </w:tcPr>
          <w:p w14:paraId="5A42CE8F" w14:textId="6D73FE15" w:rsidR="00E75A80" w:rsidRDefault="00E75A80" w:rsidP="00671D36">
            <w:pPr>
              <w:pStyle w:val="BodyText"/>
              <w:jc w:val="both"/>
            </w:pPr>
            <w:r>
              <w:t>Fitted</w:t>
            </w:r>
          </w:p>
        </w:tc>
      </w:tr>
      <w:tr w:rsidR="00E75A80" w14:paraId="0AAD8E5E" w14:textId="4B8BC46A" w:rsidTr="00EF60DC">
        <w:tc>
          <w:tcPr>
            <w:tcW w:w="1847" w:type="dxa"/>
          </w:tcPr>
          <w:p w14:paraId="3C7A8A2D" w14:textId="63C342CB" w:rsidR="00E75A80" w:rsidRDefault="00E75A80" w:rsidP="00671D36">
            <w:pPr>
              <w:pStyle w:val="BodyText"/>
              <w:jc w:val="both"/>
            </w:pPr>
            <w:proofErr w:type="spellStart"/>
            <w:r>
              <w:t>τ</w:t>
            </w:r>
            <w:r w:rsidRPr="004C41BF">
              <w:rPr>
                <w:vertAlign w:val="subscript"/>
              </w:rPr>
              <w:t>c</w:t>
            </w:r>
            <w:proofErr w:type="spellEnd"/>
          </w:p>
        </w:tc>
        <w:tc>
          <w:tcPr>
            <w:tcW w:w="3112" w:type="dxa"/>
          </w:tcPr>
          <w:p w14:paraId="4413A881" w14:textId="2ABE256D" w:rsidR="00E75A80" w:rsidRDefault="00E75A80" w:rsidP="00671D36">
            <w:pPr>
              <w:pStyle w:val="BodyText"/>
              <w:jc w:val="both"/>
            </w:pPr>
            <w:r w:rsidRPr="00FB0124">
              <w:t>Admission rate to hospital for</w:t>
            </w:r>
            <w:r>
              <w:t xml:space="preserve"> the under-5 population with</w:t>
            </w:r>
            <w:r w:rsidRPr="00FB0124">
              <w:t xml:space="preserve"> uncomplicated malaria</w:t>
            </w:r>
          </w:p>
        </w:tc>
        <w:tc>
          <w:tcPr>
            <w:tcW w:w="1386" w:type="dxa"/>
          </w:tcPr>
          <w:p w14:paraId="18EED4A5" w14:textId="507D2CB3" w:rsidR="00E75A80" w:rsidRDefault="00FB19C6" w:rsidP="00671D36">
            <w:pPr>
              <w:pStyle w:val="BodyText"/>
              <w:jc w:val="both"/>
            </w:pPr>
            <w:r>
              <w:t>0.34</w:t>
            </w:r>
          </w:p>
        </w:tc>
        <w:tc>
          <w:tcPr>
            <w:tcW w:w="1491" w:type="dxa"/>
          </w:tcPr>
          <w:p w14:paraId="52BB77F9" w14:textId="32C70A9C" w:rsidR="00E75A80" w:rsidRDefault="00E75A80" w:rsidP="00671D36">
            <w:pPr>
              <w:pStyle w:val="BodyText"/>
              <w:jc w:val="both"/>
            </w:pPr>
            <w:r>
              <w:t>0.2-0.4</w:t>
            </w:r>
          </w:p>
          <w:p w14:paraId="413433A1" w14:textId="7F3D8566" w:rsidR="00E75A80" w:rsidRDefault="00E75A80" w:rsidP="00671D36">
            <w:pPr>
              <w:pStyle w:val="BodyText"/>
              <w:jc w:val="both"/>
            </w:pPr>
          </w:p>
        </w:tc>
        <w:tc>
          <w:tcPr>
            <w:tcW w:w="1740" w:type="dxa"/>
          </w:tcPr>
          <w:p w14:paraId="4BFAE243" w14:textId="6E121026" w:rsidR="00E75A80" w:rsidRDefault="00E75A80" w:rsidP="00671D36">
            <w:pPr>
              <w:pStyle w:val="BodyText"/>
              <w:jc w:val="both"/>
            </w:pPr>
            <w:r>
              <w:t>Fitted</w:t>
            </w:r>
          </w:p>
        </w:tc>
      </w:tr>
      <w:tr w:rsidR="00E75A80" w14:paraId="2ACEDC4C" w14:textId="37298F4B" w:rsidTr="00EF60DC">
        <w:tc>
          <w:tcPr>
            <w:tcW w:w="1847" w:type="dxa"/>
          </w:tcPr>
          <w:p w14:paraId="1964D88B" w14:textId="50E80B0C" w:rsidR="00E75A80" w:rsidRDefault="00E75A80" w:rsidP="00671D36">
            <w:pPr>
              <w:pStyle w:val="BodyText"/>
              <w:jc w:val="both"/>
            </w:pPr>
            <w:r>
              <w:t>α</w:t>
            </w:r>
          </w:p>
        </w:tc>
        <w:tc>
          <w:tcPr>
            <w:tcW w:w="3112" w:type="dxa"/>
          </w:tcPr>
          <w:p w14:paraId="4CD418B3" w14:textId="3F1C8136" w:rsidR="00E75A80" w:rsidRDefault="00E75A80" w:rsidP="00671D36">
            <w:pPr>
              <w:pStyle w:val="BodyText"/>
              <w:jc w:val="both"/>
            </w:pPr>
            <w:r w:rsidRPr="006E4942">
              <w:t>Amplitude of seasonal variation</w:t>
            </w:r>
          </w:p>
        </w:tc>
        <w:tc>
          <w:tcPr>
            <w:tcW w:w="1386" w:type="dxa"/>
          </w:tcPr>
          <w:p w14:paraId="77F6B4E6" w14:textId="499AC5B5" w:rsidR="00E75A80" w:rsidRDefault="00FB19C6" w:rsidP="00671D36">
            <w:pPr>
              <w:pStyle w:val="BodyText"/>
              <w:jc w:val="both"/>
            </w:pPr>
            <w:r>
              <w:t>0.6</w:t>
            </w:r>
          </w:p>
        </w:tc>
        <w:tc>
          <w:tcPr>
            <w:tcW w:w="1491" w:type="dxa"/>
          </w:tcPr>
          <w:p w14:paraId="7FC45A73" w14:textId="78C9FCDD" w:rsidR="00E75A80" w:rsidRDefault="00E75A80" w:rsidP="00671D36">
            <w:pPr>
              <w:pStyle w:val="BodyText"/>
              <w:jc w:val="both"/>
            </w:pPr>
            <w:r>
              <w:t>0 - 1</w:t>
            </w:r>
          </w:p>
        </w:tc>
        <w:tc>
          <w:tcPr>
            <w:tcW w:w="1740" w:type="dxa"/>
          </w:tcPr>
          <w:p w14:paraId="506B0CDB" w14:textId="6ACDAA57" w:rsidR="00E75A80" w:rsidRDefault="00E75A80" w:rsidP="00671D36">
            <w:pPr>
              <w:pStyle w:val="BodyText"/>
              <w:jc w:val="both"/>
            </w:pPr>
            <w:r>
              <w:t>Fitted</w:t>
            </w:r>
          </w:p>
        </w:tc>
      </w:tr>
      <w:tr w:rsidR="00E75A80" w14:paraId="00EA5ABD" w14:textId="5A4F3588" w:rsidTr="00EF60DC">
        <w:tc>
          <w:tcPr>
            <w:tcW w:w="1847" w:type="dxa"/>
          </w:tcPr>
          <w:p w14:paraId="5CE62673" w14:textId="3AFEA1BD" w:rsidR="00E75A80" w:rsidRDefault="00E75A80" w:rsidP="00671D36">
            <w:pPr>
              <w:pStyle w:val="BodyText"/>
              <w:jc w:val="both"/>
            </w:pPr>
            <w:r>
              <w:t>φ</w:t>
            </w:r>
          </w:p>
        </w:tc>
        <w:tc>
          <w:tcPr>
            <w:tcW w:w="3112" w:type="dxa"/>
          </w:tcPr>
          <w:p w14:paraId="045DF7A0" w14:textId="401A3C56" w:rsidR="00E75A80" w:rsidRDefault="00E75A80" w:rsidP="00671D36">
            <w:pPr>
              <w:pStyle w:val="BodyText"/>
              <w:jc w:val="both"/>
            </w:pPr>
            <w:r w:rsidRPr="00283777">
              <w:t>Month of peak transmission per month</w:t>
            </w:r>
          </w:p>
        </w:tc>
        <w:tc>
          <w:tcPr>
            <w:tcW w:w="1386" w:type="dxa"/>
          </w:tcPr>
          <w:p w14:paraId="23A1C456" w14:textId="010359E2" w:rsidR="00E75A80" w:rsidRDefault="00FB19C6" w:rsidP="00671D36">
            <w:pPr>
              <w:pStyle w:val="BodyText"/>
              <w:jc w:val="both"/>
            </w:pPr>
            <w:r>
              <w:t>0.25</w:t>
            </w:r>
          </w:p>
        </w:tc>
        <w:tc>
          <w:tcPr>
            <w:tcW w:w="1491" w:type="dxa"/>
          </w:tcPr>
          <w:p w14:paraId="23F1738B" w14:textId="6B3677E0" w:rsidR="00E75A80" w:rsidRDefault="00E75A80" w:rsidP="00671D36">
            <w:pPr>
              <w:pStyle w:val="BodyText"/>
              <w:jc w:val="both"/>
            </w:pPr>
            <w:r>
              <w:t>0 - 1</w:t>
            </w:r>
          </w:p>
        </w:tc>
        <w:tc>
          <w:tcPr>
            <w:tcW w:w="1740" w:type="dxa"/>
          </w:tcPr>
          <w:p w14:paraId="2BC58550" w14:textId="02D05103" w:rsidR="00E75A80" w:rsidRDefault="00E75A80" w:rsidP="00671D36">
            <w:pPr>
              <w:pStyle w:val="BodyText"/>
              <w:jc w:val="both"/>
            </w:pPr>
            <w:r>
              <w:t>Fitted</w:t>
            </w:r>
          </w:p>
        </w:tc>
      </w:tr>
      <w:tr w:rsidR="00E75A80" w14:paraId="6B60D847" w14:textId="6518C95D" w:rsidTr="00EF60DC">
        <w:tc>
          <w:tcPr>
            <w:tcW w:w="1847" w:type="dxa"/>
          </w:tcPr>
          <w:p w14:paraId="39A7C3D3" w14:textId="555C4D52" w:rsidR="00E75A80" w:rsidRDefault="0079644F" w:rsidP="00671D36">
            <w:pPr>
              <w:pStyle w:val="BodyText"/>
              <w:jc w:val="both"/>
            </w:pPr>
            <w:r>
              <w:t>ε</w:t>
            </w:r>
          </w:p>
        </w:tc>
        <w:tc>
          <w:tcPr>
            <w:tcW w:w="3112" w:type="dxa"/>
          </w:tcPr>
          <w:p w14:paraId="74105436" w14:textId="10E98674" w:rsidR="00E75A80" w:rsidRDefault="007A200C" w:rsidP="00671D36">
            <w:pPr>
              <w:pStyle w:val="BodyText"/>
              <w:jc w:val="both"/>
            </w:pPr>
            <w:r>
              <w:t>Vaccine efficacy (proportionate reduction in the risk of infection for vaccinated individuals compared to unvaccinated ones).</w:t>
            </w:r>
          </w:p>
        </w:tc>
        <w:tc>
          <w:tcPr>
            <w:tcW w:w="1386" w:type="dxa"/>
          </w:tcPr>
          <w:p w14:paraId="376BA524" w14:textId="5D39C4AB" w:rsidR="00E75A80" w:rsidRDefault="00935657" w:rsidP="00671D36">
            <w:pPr>
              <w:pStyle w:val="BodyText"/>
              <w:jc w:val="both"/>
            </w:pPr>
            <w:r>
              <w:t>0.3</w:t>
            </w:r>
          </w:p>
        </w:tc>
        <w:tc>
          <w:tcPr>
            <w:tcW w:w="1491" w:type="dxa"/>
          </w:tcPr>
          <w:p w14:paraId="317B89C3" w14:textId="53E96D01" w:rsidR="00E75A80" w:rsidRDefault="00467B06" w:rsidP="00671D36">
            <w:pPr>
              <w:pStyle w:val="BodyText"/>
              <w:jc w:val="both"/>
            </w:pPr>
            <w:r w:rsidRPr="00467B06">
              <w:t>0.29-0.36</w:t>
            </w:r>
          </w:p>
        </w:tc>
        <w:sdt>
          <w:sdtPr>
            <w:rPr>
              <w:rFonts w:ascii="Aptos" w:hAnsi="Aptos"/>
              <w:color w:val="000000"/>
              <w:vertAlign w:val="superscript"/>
            </w:rPr>
            <w:tag w:val="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"/>
            <w:id w:val="-794748149"/>
            <w:placeholder>
              <w:docPart w:val="DefaultPlaceholder_-1854013440"/>
            </w:placeholder>
          </w:sdtPr>
          <w:sdtEndPr/>
          <w:sdtContent>
            <w:tc>
              <w:tcPr>
                <w:tcW w:w="1740" w:type="dxa"/>
              </w:tcPr>
              <w:p w14:paraId="02F1E2C9" w14:textId="7FC47D3C" w:rsidR="00E75A80" w:rsidRDefault="00C30BDC" w:rsidP="00671D36">
                <w:pPr>
                  <w:pStyle w:val="BodyText"/>
                  <w:jc w:val="both"/>
                </w:pPr>
                <w:r w:rsidRPr="00C30BDC">
                  <w:rPr>
                    <w:rFonts w:ascii="Aptos" w:hAnsi="Aptos"/>
                    <w:color w:val="000000"/>
                    <w:vertAlign w:val="superscript"/>
                  </w:rPr>
                  <w:t>8</w:t>
                </w:r>
              </w:p>
            </w:tc>
          </w:sdtContent>
        </w:sdt>
      </w:tr>
      <w:tr w:rsidR="00E75A80" w14:paraId="6F81D45B" w14:textId="1363A246" w:rsidTr="00EF60DC">
        <w:tc>
          <w:tcPr>
            <w:tcW w:w="1847" w:type="dxa"/>
          </w:tcPr>
          <w:p w14:paraId="7D55FED8" w14:textId="7BDF76F8" w:rsidR="00E75A80" w:rsidRDefault="0010745F" w:rsidP="00671D36">
            <w:pPr>
              <w:pStyle w:val="BodyText"/>
              <w:jc w:val="both"/>
            </w:pPr>
            <w:r>
              <w:t>µ</w:t>
            </w:r>
            <w:r w:rsidRPr="0010745F">
              <w:rPr>
                <w:vertAlign w:val="subscript"/>
              </w:rPr>
              <w:t>h</w:t>
            </w:r>
            <w:r w:rsidR="00E75A80">
              <w:t xml:space="preserve">       </w:t>
            </w:r>
          </w:p>
        </w:tc>
        <w:tc>
          <w:tcPr>
            <w:tcW w:w="3112" w:type="dxa"/>
          </w:tcPr>
          <w:p w14:paraId="671EA9C4" w14:textId="41B93657" w:rsidR="00E75A80" w:rsidRDefault="00342FD6" w:rsidP="00671D36">
            <w:pPr>
              <w:pStyle w:val="BodyText"/>
              <w:jc w:val="both"/>
            </w:pPr>
            <w:r>
              <w:t>Human</w:t>
            </w:r>
            <w:r w:rsidRPr="00342FD6">
              <w:t xml:space="preserve"> </w:t>
            </w:r>
            <w:r>
              <w:t>birth/</w:t>
            </w:r>
            <w:r w:rsidRPr="00342FD6">
              <w:t>mortality rate (per day)</w:t>
            </w:r>
          </w:p>
        </w:tc>
        <w:tc>
          <w:tcPr>
            <w:tcW w:w="1386" w:type="dxa"/>
          </w:tcPr>
          <w:p w14:paraId="221785F0" w14:textId="2D8E2270" w:rsidR="00E75A80" w:rsidRDefault="000F640B" w:rsidP="00671D36">
            <w:pPr>
              <w:pStyle w:val="BodyText"/>
              <w:jc w:val="both"/>
            </w:pPr>
            <w:r w:rsidRPr="000F640B">
              <w:t>1</w:t>
            </w:r>
            <w:proofErr w:type="gramStart"/>
            <w:r w:rsidRPr="000F640B">
              <w:t>/(</w:t>
            </w:r>
            <w:proofErr w:type="gramEnd"/>
            <w:r w:rsidRPr="000F640B">
              <w:t>62*365)</w:t>
            </w:r>
          </w:p>
        </w:tc>
        <w:tc>
          <w:tcPr>
            <w:tcW w:w="1491" w:type="dxa"/>
          </w:tcPr>
          <w:p w14:paraId="1E63A370" w14:textId="17720688" w:rsidR="00E75A80" w:rsidRDefault="000F640B" w:rsidP="00671D36">
            <w:pPr>
              <w:pStyle w:val="BodyText"/>
              <w:jc w:val="both"/>
            </w:pPr>
            <w:r w:rsidRPr="000F640B">
              <w:t>1</w:t>
            </w:r>
            <w:proofErr w:type="gramStart"/>
            <w:r w:rsidRPr="000F640B">
              <w:t>/(</w:t>
            </w:r>
            <w:proofErr w:type="gramEnd"/>
            <w:r>
              <w:t>(</w:t>
            </w:r>
            <w:r w:rsidRPr="000F640B">
              <w:t>62</w:t>
            </w:r>
            <w:r>
              <w:t>-</w:t>
            </w:r>
            <w:proofErr w:type="gramStart"/>
            <w:r>
              <w:t>64)</w:t>
            </w:r>
            <w:r w:rsidRPr="000F640B">
              <w:t>*</w:t>
            </w:r>
            <w:proofErr w:type="gramEnd"/>
            <w:r w:rsidRPr="000F640B">
              <w:t>365)</w:t>
            </w:r>
          </w:p>
        </w:tc>
        <w:sdt>
          <w:sdtPr>
            <w:rPr>
              <w:rFonts w:ascii="Aptos" w:hAnsi="Aptos"/>
              <w:color w:val="000000"/>
              <w:vertAlign w:val="superscript"/>
            </w:rPr>
            <w:tag w:val="MENDELEY_CITATION_v3_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"/>
            <w:id w:val="253330240"/>
            <w:placeholder>
              <w:docPart w:val="DefaultPlaceholder_-1854013440"/>
            </w:placeholder>
          </w:sdtPr>
          <w:sdtEndPr/>
          <w:sdtContent>
            <w:tc>
              <w:tcPr>
                <w:tcW w:w="1740" w:type="dxa"/>
              </w:tcPr>
              <w:p w14:paraId="705525E1" w14:textId="7153757A" w:rsidR="00E75A80" w:rsidRDefault="00C30BDC" w:rsidP="00671D36">
                <w:pPr>
                  <w:pStyle w:val="BodyText"/>
                  <w:jc w:val="both"/>
                </w:pPr>
                <w:r w:rsidRPr="00C30BDC">
                  <w:rPr>
                    <w:rFonts w:ascii="Aptos" w:hAnsi="Aptos"/>
                    <w:color w:val="000000"/>
                    <w:vertAlign w:val="superscript"/>
                  </w:rPr>
                  <w:t>9</w:t>
                </w:r>
              </w:p>
            </w:tc>
          </w:sdtContent>
        </w:sdt>
      </w:tr>
      <w:tr w:rsidR="00E75A80" w14:paraId="29289458" w14:textId="78EA3ADE" w:rsidTr="00EF60DC">
        <w:tc>
          <w:tcPr>
            <w:tcW w:w="1847" w:type="dxa"/>
          </w:tcPr>
          <w:p w14:paraId="62BC8AA3" w14:textId="100E3F26" w:rsidR="00E75A80" w:rsidRDefault="001E5113" w:rsidP="00671D36">
            <w:pPr>
              <w:pStyle w:val="BodyText"/>
              <w:jc w:val="both"/>
            </w:pPr>
            <w:r>
              <w:t>ν</w:t>
            </w:r>
            <w:r w:rsidR="00E75A80" w:rsidRPr="001E5113">
              <w:rPr>
                <w:vertAlign w:val="subscript"/>
              </w:rPr>
              <w:t>u1</w:t>
            </w:r>
            <w:r w:rsidR="00E75A80">
              <w:t xml:space="preserve">        </w:t>
            </w:r>
          </w:p>
        </w:tc>
        <w:tc>
          <w:tcPr>
            <w:tcW w:w="3112" w:type="dxa"/>
          </w:tcPr>
          <w:p w14:paraId="761F787C" w14:textId="1CE8F00B" w:rsidR="00E75A80" w:rsidRDefault="00B16D61" w:rsidP="00671D36">
            <w:pPr>
              <w:pStyle w:val="BodyText"/>
              <w:jc w:val="both"/>
            </w:pPr>
            <w:r>
              <w:t>Probability that the exposed but vaccinated under</w:t>
            </w:r>
            <w:r w:rsidR="003B5B84">
              <w:t>-1 population will develop symptomatic uncomplicated malaria</w:t>
            </w:r>
          </w:p>
        </w:tc>
        <w:tc>
          <w:tcPr>
            <w:tcW w:w="1386" w:type="dxa"/>
          </w:tcPr>
          <w:p w14:paraId="345B30DF" w14:textId="21EF8A5F" w:rsidR="00E75A80" w:rsidRDefault="0020225D" w:rsidP="00671D36">
            <w:pPr>
              <w:pStyle w:val="BodyText"/>
              <w:jc w:val="both"/>
            </w:pPr>
            <w:r>
              <w:t>0.45</w:t>
            </w:r>
          </w:p>
        </w:tc>
        <w:tc>
          <w:tcPr>
            <w:tcW w:w="1491" w:type="dxa"/>
          </w:tcPr>
          <w:p w14:paraId="305E351E" w14:textId="63BD945C" w:rsidR="00E75A80" w:rsidRDefault="00773C47" w:rsidP="00671D36">
            <w:pPr>
              <w:pStyle w:val="BodyText"/>
              <w:jc w:val="both"/>
            </w:pPr>
            <w:r>
              <w:t>0.4-0.55</w:t>
            </w:r>
          </w:p>
        </w:tc>
        <w:sdt>
          <w:sdtPr>
            <w:rPr>
              <w:rFonts w:ascii="Aptos" w:hAnsi="Aptos"/>
              <w:color w:val="000000"/>
              <w:vertAlign w:val="superscript"/>
            </w:rPr>
            <w:tag w:val="MENDELEY_CITATION_v3_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"/>
            <w:id w:val="-1934898728"/>
            <w:placeholder>
              <w:docPart w:val="DefaultPlaceholder_-1854013440"/>
            </w:placeholder>
          </w:sdtPr>
          <w:sdtEndPr/>
          <w:sdtContent>
            <w:tc>
              <w:tcPr>
                <w:tcW w:w="1740" w:type="dxa"/>
              </w:tcPr>
              <w:p w14:paraId="4CE13EB9" w14:textId="56F3530B" w:rsidR="00E75A80" w:rsidRDefault="00C30BDC" w:rsidP="00671D36">
                <w:pPr>
                  <w:pStyle w:val="BodyText"/>
                  <w:jc w:val="both"/>
                </w:pPr>
                <w:r w:rsidRPr="00C30BDC">
                  <w:rPr>
                    <w:rFonts w:ascii="Aptos" w:hAnsi="Aptos"/>
                    <w:color w:val="000000"/>
                    <w:vertAlign w:val="superscript"/>
                  </w:rPr>
                  <w:t>10</w:t>
                </w:r>
              </w:p>
            </w:tc>
          </w:sdtContent>
        </w:sdt>
      </w:tr>
      <w:tr w:rsidR="00E75A80" w14:paraId="262553AF" w14:textId="7865C674" w:rsidTr="00EF60DC">
        <w:tc>
          <w:tcPr>
            <w:tcW w:w="1847" w:type="dxa"/>
          </w:tcPr>
          <w:p w14:paraId="19592B4B" w14:textId="2328AC3A" w:rsidR="00E75A80" w:rsidRDefault="001532EE" w:rsidP="00671D36">
            <w:pPr>
              <w:pStyle w:val="BodyText"/>
              <w:jc w:val="both"/>
            </w:pPr>
            <w:r>
              <w:t>ν</w:t>
            </w:r>
            <w:r w:rsidR="00E75A80" w:rsidRPr="001532EE">
              <w:rPr>
                <w:vertAlign w:val="subscript"/>
              </w:rPr>
              <w:t>s1</w:t>
            </w:r>
            <w:r w:rsidR="00E75A80">
              <w:t xml:space="preserve">        </w:t>
            </w:r>
          </w:p>
        </w:tc>
        <w:tc>
          <w:tcPr>
            <w:tcW w:w="3112" w:type="dxa"/>
          </w:tcPr>
          <w:p w14:paraId="0CDE9DBD" w14:textId="07591B8F" w:rsidR="00E75A80" w:rsidRDefault="003B5B84" w:rsidP="00671D36">
            <w:pPr>
              <w:pStyle w:val="BodyText"/>
              <w:jc w:val="both"/>
            </w:pPr>
            <w:r>
              <w:t>Probability that the exposed but vaccinated under-</w:t>
            </w:r>
            <w:r w:rsidR="00E036F7">
              <w:t>1</w:t>
            </w:r>
            <w:r>
              <w:t xml:space="preserve"> population will develop symptomatic </w:t>
            </w:r>
            <w:r w:rsidR="00E036F7">
              <w:t>severe</w:t>
            </w:r>
            <w:r>
              <w:t xml:space="preserve"> malaria</w:t>
            </w:r>
          </w:p>
        </w:tc>
        <w:tc>
          <w:tcPr>
            <w:tcW w:w="1386" w:type="dxa"/>
          </w:tcPr>
          <w:p w14:paraId="5D490BB5" w14:textId="4E80E301" w:rsidR="00E75A80" w:rsidRDefault="00773C47" w:rsidP="00671D36">
            <w:pPr>
              <w:pStyle w:val="BodyText"/>
              <w:jc w:val="both"/>
            </w:pPr>
            <w:r>
              <w:t>0.39</w:t>
            </w:r>
          </w:p>
        </w:tc>
        <w:tc>
          <w:tcPr>
            <w:tcW w:w="1491" w:type="dxa"/>
          </w:tcPr>
          <w:p w14:paraId="535605B2" w14:textId="2F59EBC1" w:rsidR="00E75A80" w:rsidRDefault="00E75A80" w:rsidP="00671D36">
            <w:pPr>
              <w:pStyle w:val="BodyText"/>
              <w:jc w:val="both"/>
            </w:pPr>
            <w:r>
              <w:t>0.</w:t>
            </w:r>
            <w:r w:rsidR="00773C47">
              <w:t>35-0.5</w:t>
            </w:r>
          </w:p>
        </w:tc>
        <w:sdt>
          <w:sdtPr>
            <w:rPr>
              <w:rFonts w:ascii="Aptos" w:hAnsi="Aptos"/>
              <w:color w:val="000000"/>
              <w:vertAlign w:val="superscript"/>
            </w:rPr>
            <w:tag w:val="MENDELEY_CITATION_v3_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"/>
            <w:id w:val="-1954778087"/>
            <w:placeholder>
              <w:docPart w:val="DefaultPlaceholder_-1854013440"/>
            </w:placeholder>
          </w:sdtPr>
          <w:sdtEndPr/>
          <w:sdtContent>
            <w:tc>
              <w:tcPr>
                <w:tcW w:w="1740" w:type="dxa"/>
              </w:tcPr>
              <w:p w14:paraId="737B580F" w14:textId="60664701" w:rsidR="00E75A80" w:rsidRDefault="00C30BDC" w:rsidP="00671D36">
                <w:pPr>
                  <w:pStyle w:val="BodyText"/>
                  <w:jc w:val="both"/>
                </w:pPr>
                <w:r w:rsidRPr="00C30BDC">
                  <w:rPr>
                    <w:rFonts w:ascii="Aptos" w:hAnsi="Aptos"/>
                    <w:color w:val="000000"/>
                    <w:vertAlign w:val="superscript"/>
                  </w:rPr>
                  <w:t>10</w:t>
                </w:r>
              </w:p>
            </w:tc>
          </w:sdtContent>
        </w:sdt>
      </w:tr>
      <w:tr w:rsidR="00E75A80" w14:paraId="419AC9B2" w14:textId="772685DA" w:rsidTr="00EF60DC">
        <w:tc>
          <w:tcPr>
            <w:tcW w:w="1847" w:type="dxa"/>
          </w:tcPr>
          <w:p w14:paraId="01082823" w14:textId="77B82BC0" w:rsidR="00E75A80" w:rsidRDefault="001532EE" w:rsidP="00671D36">
            <w:pPr>
              <w:pStyle w:val="BodyText"/>
              <w:jc w:val="both"/>
            </w:pPr>
            <w:r>
              <w:lastRenderedPageBreak/>
              <w:t>ν</w:t>
            </w:r>
            <w:r w:rsidR="00E75A80" w:rsidRPr="001532EE">
              <w:rPr>
                <w:vertAlign w:val="subscript"/>
              </w:rPr>
              <w:t>u2</w:t>
            </w:r>
            <w:r w:rsidR="00E75A80">
              <w:t xml:space="preserve">        </w:t>
            </w:r>
          </w:p>
        </w:tc>
        <w:tc>
          <w:tcPr>
            <w:tcW w:w="3112" w:type="dxa"/>
          </w:tcPr>
          <w:p w14:paraId="30F865BD" w14:textId="457A127F" w:rsidR="00E75A80" w:rsidRDefault="00E036F7" w:rsidP="00671D36">
            <w:pPr>
              <w:pStyle w:val="BodyText"/>
              <w:jc w:val="both"/>
            </w:pPr>
            <w:r>
              <w:t>Probability that the exposed but vaccinated under-5 population will develop symptomatic uncomplicated malaria</w:t>
            </w:r>
          </w:p>
        </w:tc>
        <w:tc>
          <w:tcPr>
            <w:tcW w:w="1386" w:type="dxa"/>
          </w:tcPr>
          <w:p w14:paraId="394D2AEC" w14:textId="4AF544EB" w:rsidR="00E75A80" w:rsidRDefault="00773C47" w:rsidP="00671D36">
            <w:pPr>
              <w:pStyle w:val="BodyText"/>
              <w:jc w:val="both"/>
            </w:pPr>
            <w:r>
              <w:t>0.29</w:t>
            </w:r>
          </w:p>
        </w:tc>
        <w:tc>
          <w:tcPr>
            <w:tcW w:w="1491" w:type="dxa"/>
          </w:tcPr>
          <w:p w14:paraId="4463BEC8" w14:textId="665E3260" w:rsidR="00E75A80" w:rsidRDefault="00E75A80" w:rsidP="00671D36">
            <w:pPr>
              <w:pStyle w:val="BodyText"/>
              <w:jc w:val="both"/>
            </w:pPr>
            <w:r>
              <w:t>0.</w:t>
            </w:r>
            <w:r w:rsidR="00773C47">
              <w:t>25-0.4</w:t>
            </w:r>
          </w:p>
        </w:tc>
        <w:sdt>
          <w:sdtPr>
            <w:rPr>
              <w:rFonts w:ascii="Aptos" w:hAnsi="Aptos"/>
              <w:color w:val="000000"/>
              <w:vertAlign w:val="superscript"/>
            </w:rPr>
            <w:tag w:val="MENDELEY_CITATION_v3_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"/>
            <w:id w:val="-2146582519"/>
            <w:placeholder>
              <w:docPart w:val="DefaultPlaceholder_-1854013440"/>
            </w:placeholder>
          </w:sdtPr>
          <w:sdtEndPr/>
          <w:sdtContent>
            <w:tc>
              <w:tcPr>
                <w:tcW w:w="1740" w:type="dxa"/>
              </w:tcPr>
              <w:p w14:paraId="1BE9FFD9" w14:textId="70FE2408" w:rsidR="00E75A80" w:rsidRDefault="00C30BDC" w:rsidP="00671D36">
                <w:pPr>
                  <w:pStyle w:val="BodyText"/>
                  <w:jc w:val="both"/>
                </w:pPr>
                <w:r w:rsidRPr="00C30BDC">
                  <w:rPr>
                    <w:rFonts w:ascii="Aptos" w:hAnsi="Aptos"/>
                    <w:color w:val="000000"/>
                    <w:vertAlign w:val="superscript"/>
                  </w:rPr>
                  <w:t>10</w:t>
                </w:r>
              </w:p>
            </w:tc>
          </w:sdtContent>
        </w:sdt>
      </w:tr>
      <w:tr w:rsidR="00E75A80" w14:paraId="557DD7E7" w14:textId="04FDACD0" w:rsidTr="00EF60DC">
        <w:tc>
          <w:tcPr>
            <w:tcW w:w="1847" w:type="dxa"/>
          </w:tcPr>
          <w:p w14:paraId="6A389B50" w14:textId="346D656D" w:rsidR="00E75A80" w:rsidRDefault="001532EE" w:rsidP="00671D36">
            <w:pPr>
              <w:pStyle w:val="BodyText"/>
              <w:jc w:val="both"/>
            </w:pPr>
            <w:r>
              <w:t>ν</w:t>
            </w:r>
            <w:r w:rsidR="00E75A80" w:rsidRPr="001532EE">
              <w:rPr>
                <w:vertAlign w:val="subscript"/>
              </w:rPr>
              <w:t>s2</w:t>
            </w:r>
          </w:p>
        </w:tc>
        <w:tc>
          <w:tcPr>
            <w:tcW w:w="3112" w:type="dxa"/>
          </w:tcPr>
          <w:p w14:paraId="18AB2A40" w14:textId="37C0FB4E" w:rsidR="00E75A80" w:rsidRDefault="00E036F7" w:rsidP="00671D36">
            <w:pPr>
              <w:pStyle w:val="BodyText"/>
              <w:jc w:val="both"/>
            </w:pPr>
            <w:r>
              <w:t>Probability that the exposed but vaccinated under-5 population will develop symptomatic severe malaria</w:t>
            </w:r>
          </w:p>
        </w:tc>
        <w:tc>
          <w:tcPr>
            <w:tcW w:w="1386" w:type="dxa"/>
          </w:tcPr>
          <w:p w14:paraId="655F7651" w14:textId="298A0D78" w:rsidR="00E75A80" w:rsidRDefault="008E5801" w:rsidP="00671D36">
            <w:pPr>
              <w:pStyle w:val="BodyText"/>
              <w:jc w:val="both"/>
            </w:pPr>
            <w:r>
              <w:t>0</w:t>
            </w:r>
            <w:r w:rsidR="00D630B8">
              <w:t>.065</w:t>
            </w:r>
          </w:p>
        </w:tc>
        <w:tc>
          <w:tcPr>
            <w:tcW w:w="1491" w:type="dxa"/>
          </w:tcPr>
          <w:p w14:paraId="79809916" w14:textId="23761759" w:rsidR="00E75A80" w:rsidRDefault="00E75A80" w:rsidP="00671D36">
            <w:pPr>
              <w:pStyle w:val="BodyText"/>
              <w:jc w:val="both"/>
            </w:pPr>
            <w:r>
              <w:t>0.</w:t>
            </w:r>
            <w:r w:rsidR="00D630B8">
              <w:t>05-0.3</w:t>
            </w:r>
          </w:p>
        </w:tc>
        <w:sdt>
          <w:sdtPr>
            <w:rPr>
              <w:rFonts w:ascii="Aptos" w:hAnsi="Aptos"/>
              <w:color w:val="000000"/>
              <w:vertAlign w:val="superscript"/>
            </w:rPr>
            <w:tag w:val="MENDELEY_CITATION_v3_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"/>
            <w:id w:val="-24094973"/>
            <w:placeholder>
              <w:docPart w:val="DefaultPlaceholder_-1854013440"/>
            </w:placeholder>
          </w:sdtPr>
          <w:sdtEndPr/>
          <w:sdtContent>
            <w:tc>
              <w:tcPr>
                <w:tcW w:w="1740" w:type="dxa"/>
              </w:tcPr>
              <w:p w14:paraId="12DB6B27" w14:textId="231E72AD" w:rsidR="00E75A80" w:rsidRDefault="00C30BDC" w:rsidP="00671D36">
                <w:pPr>
                  <w:pStyle w:val="BodyText"/>
                  <w:jc w:val="both"/>
                </w:pPr>
                <w:r w:rsidRPr="00C30BDC">
                  <w:rPr>
                    <w:rFonts w:ascii="Aptos" w:hAnsi="Aptos"/>
                    <w:color w:val="000000"/>
                    <w:vertAlign w:val="superscript"/>
                  </w:rPr>
                  <w:t>10</w:t>
                </w:r>
              </w:p>
            </w:tc>
          </w:sdtContent>
        </w:sdt>
      </w:tr>
      <w:tr w:rsidR="00E75A80" w14:paraId="4E58450A" w14:textId="59EB2E64" w:rsidTr="00EF60DC">
        <w:tc>
          <w:tcPr>
            <w:tcW w:w="1847" w:type="dxa"/>
          </w:tcPr>
          <w:p w14:paraId="57D09CF2" w14:textId="595A2909" w:rsidR="00E75A80" w:rsidRDefault="0055724D" w:rsidP="00671D36">
            <w:pPr>
              <w:pStyle w:val="BodyText"/>
              <w:jc w:val="both"/>
            </w:pPr>
            <w:r>
              <w:t>θ</w:t>
            </w:r>
            <w:r w:rsidR="00E75A80" w:rsidRPr="0055724D">
              <w:rPr>
                <w:vertAlign w:val="subscript"/>
              </w:rPr>
              <w:t>1</w:t>
            </w:r>
          </w:p>
        </w:tc>
        <w:tc>
          <w:tcPr>
            <w:tcW w:w="3112" w:type="dxa"/>
          </w:tcPr>
          <w:p w14:paraId="7921DC8F" w14:textId="7608D0EF" w:rsidR="00E75A80" w:rsidRDefault="00B14B6E" w:rsidP="00671D36">
            <w:pPr>
              <w:pStyle w:val="BodyText"/>
              <w:jc w:val="both"/>
            </w:pPr>
            <w:r>
              <w:t>Ageing</w:t>
            </w:r>
            <w:r w:rsidR="001F5D07">
              <w:t xml:space="preserve"> rate of the </w:t>
            </w:r>
            <w:r>
              <w:t>under-1</w:t>
            </w:r>
            <w:r w:rsidR="001F5D07">
              <w:t xml:space="preserve"> population</w:t>
            </w:r>
          </w:p>
        </w:tc>
        <w:tc>
          <w:tcPr>
            <w:tcW w:w="1386" w:type="dxa"/>
          </w:tcPr>
          <w:p w14:paraId="5E011CB8" w14:textId="371D4CA1" w:rsidR="00E75A80" w:rsidRDefault="00BD3BC6" w:rsidP="00671D36">
            <w:pPr>
              <w:pStyle w:val="BodyText"/>
              <w:jc w:val="both"/>
            </w:pPr>
            <w:r w:rsidRPr="000F640B">
              <w:t>1</w:t>
            </w:r>
            <w:proofErr w:type="gramStart"/>
            <w:r w:rsidRPr="000F640B">
              <w:t>/(</w:t>
            </w:r>
            <w:proofErr w:type="gramEnd"/>
            <w:r>
              <w:t>1</w:t>
            </w:r>
            <w:r w:rsidRPr="000F640B">
              <w:t>*365)</w:t>
            </w:r>
          </w:p>
        </w:tc>
        <w:tc>
          <w:tcPr>
            <w:tcW w:w="1491" w:type="dxa"/>
          </w:tcPr>
          <w:p w14:paraId="23174254" w14:textId="4EF66803" w:rsidR="00E75A80" w:rsidRDefault="00E75A80" w:rsidP="00671D36">
            <w:pPr>
              <w:pStyle w:val="BodyText"/>
              <w:jc w:val="both"/>
            </w:pPr>
            <w:r>
              <w:t>0.00274</w:t>
            </w:r>
          </w:p>
        </w:tc>
        <w:tc>
          <w:tcPr>
            <w:tcW w:w="1740" w:type="dxa"/>
          </w:tcPr>
          <w:p w14:paraId="2E5F8833" w14:textId="77777777" w:rsidR="00E75A80" w:rsidRDefault="00E75A80" w:rsidP="00671D36">
            <w:pPr>
              <w:pStyle w:val="BodyText"/>
              <w:jc w:val="both"/>
            </w:pPr>
          </w:p>
        </w:tc>
      </w:tr>
      <w:tr w:rsidR="00E75A80" w14:paraId="454ACA3B" w14:textId="4030F5B2" w:rsidTr="00EF60DC">
        <w:tc>
          <w:tcPr>
            <w:tcW w:w="1847" w:type="dxa"/>
          </w:tcPr>
          <w:p w14:paraId="2B5D7723" w14:textId="682BA2AB" w:rsidR="00E75A80" w:rsidRDefault="0055724D" w:rsidP="00671D36">
            <w:pPr>
              <w:pStyle w:val="BodyText"/>
              <w:jc w:val="both"/>
            </w:pPr>
            <w:r>
              <w:t>θ</w:t>
            </w:r>
            <w:r w:rsidR="00E75A80" w:rsidRPr="0055724D">
              <w:rPr>
                <w:vertAlign w:val="subscript"/>
              </w:rPr>
              <w:t>2</w:t>
            </w:r>
          </w:p>
        </w:tc>
        <w:tc>
          <w:tcPr>
            <w:tcW w:w="3112" w:type="dxa"/>
          </w:tcPr>
          <w:p w14:paraId="3BB03FC6" w14:textId="7883D189" w:rsidR="00E75A80" w:rsidRDefault="00B14B6E" w:rsidP="00671D36">
            <w:pPr>
              <w:pStyle w:val="BodyText"/>
              <w:jc w:val="both"/>
            </w:pPr>
            <w:r>
              <w:t>Ageing</w:t>
            </w:r>
            <w:r w:rsidR="001F5D07">
              <w:t xml:space="preserve"> rate of the under-5 population</w:t>
            </w:r>
          </w:p>
        </w:tc>
        <w:tc>
          <w:tcPr>
            <w:tcW w:w="1386" w:type="dxa"/>
          </w:tcPr>
          <w:p w14:paraId="64BC853F" w14:textId="59A1B8E3" w:rsidR="00E75A80" w:rsidRDefault="00BD3BC6" w:rsidP="00671D36">
            <w:pPr>
              <w:pStyle w:val="BodyText"/>
              <w:jc w:val="both"/>
            </w:pPr>
            <w:r w:rsidRPr="000F640B">
              <w:t>1</w:t>
            </w:r>
            <w:proofErr w:type="gramStart"/>
            <w:r w:rsidRPr="000F640B">
              <w:t>/(</w:t>
            </w:r>
            <w:proofErr w:type="gramEnd"/>
            <w:r w:rsidR="004044FB">
              <w:t>4</w:t>
            </w:r>
            <w:r w:rsidRPr="000F640B">
              <w:t>*365)</w:t>
            </w:r>
          </w:p>
        </w:tc>
        <w:tc>
          <w:tcPr>
            <w:tcW w:w="1491" w:type="dxa"/>
          </w:tcPr>
          <w:p w14:paraId="738B6266" w14:textId="43B72969" w:rsidR="00E75A80" w:rsidRDefault="00E75A80" w:rsidP="00671D36">
            <w:pPr>
              <w:pStyle w:val="BodyText"/>
              <w:jc w:val="both"/>
            </w:pPr>
            <w:r>
              <w:t>0.000685</w:t>
            </w:r>
          </w:p>
        </w:tc>
        <w:tc>
          <w:tcPr>
            <w:tcW w:w="1740" w:type="dxa"/>
          </w:tcPr>
          <w:p w14:paraId="314E743F" w14:textId="77777777" w:rsidR="00E75A80" w:rsidRDefault="00E75A80" w:rsidP="00671D36">
            <w:pPr>
              <w:pStyle w:val="BodyText"/>
              <w:jc w:val="both"/>
            </w:pPr>
          </w:p>
        </w:tc>
      </w:tr>
      <w:tr w:rsidR="00E75A80" w14:paraId="6A9AB89D" w14:textId="12492503" w:rsidTr="00EF60DC">
        <w:tc>
          <w:tcPr>
            <w:tcW w:w="1847" w:type="dxa"/>
          </w:tcPr>
          <w:p w14:paraId="613D17EB" w14:textId="73B0CE91" w:rsidR="00E75A80" w:rsidRDefault="00E75A80" w:rsidP="00671D36">
            <w:pPr>
              <w:pStyle w:val="BodyText"/>
              <w:jc w:val="both"/>
            </w:pPr>
            <w:proofErr w:type="spellStart"/>
            <w:r>
              <w:t>p</w:t>
            </w:r>
            <w:r w:rsidRPr="00B14B6E">
              <w:rPr>
                <w:vertAlign w:val="subscript"/>
              </w:rPr>
              <w:t>treat_c</w:t>
            </w:r>
            <w:proofErr w:type="spellEnd"/>
          </w:p>
        </w:tc>
        <w:tc>
          <w:tcPr>
            <w:tcW w:w="3112" w:type="dxa"/>
          </w:tcPr>
          <w:p w14:paraId="7FCB6E14" w14:textId="2C56CF4A" w:rsidR="00E75A80" w:rsidRDefault="00613CC6" w:rsidP="00671D36">
            <w:pPr>
              <w:pStyle w:val="BodyText"/>
              <w:jc w:val="both"/>
            </w:pPr>
            <w:r>
              <w:t>Proportion of the under-5 population who receive treatment</w:t>
            </w:r>
          </w:p>
        </w:tc>
        <w:tc>
          <w:tcPr>
            <w:tcW w:w="1386" w:type="dxa"/>
          </w:tcPr>
          <w:p w14:paraId="35DF4B02" w14:textId="0C3726AA" w:rsidR="00E75A80" w:rsidRDefault="00613CC6" w:rsidP="00671D36">
            <w:pPr>
              <w:pStyle w:val="BodyText"/>
              <w:jc w:val="both"/>
            </w:pPr>
            <w:r>
              <w:t>0.9</w:t>
            </w:r>
          </w:p>
        </w:tc>
        <w:tc>
          <w:tcPr>
            <w:tcW w:w="1491" w:type="dxa"/>
          </w:tcPr>
          <w:p w14:paraId="3A4B020E" w14:textId="410C6895" w:rsidR="00E75A80" w:rsidRDefault="00E75A80" w:rsidP="00671D36">
            <w:pPr>
              <w:pStyle w:val="BodyText"/>
              <w:jc w:val="both"/>
            </w:pPr>
            <w:r>
              <w:t>0.</w:t>
            </w:r>
            <w:r w:rsidR="00613CC6">
              <w:t>8 -1</w:t>
            </w:r>
          </w:p>
        </w:tc>
        <w:tc>
          <w:tcPr>
            <w:tcW w:w="1740" w:type="dxa"/>
          </w:tcPr>
          <w:p w14:paraId="1B1DA043" w14:textId="3FDFCDD5" w:rsidR="00E75A80" w:rsidRDefault="00613CC6" w:rsidP="00671D36">
            <w:pPr>
              <w:pStyle w:val="BodyText"/>
              <w:jc w:val="both"/>
            </w:pPr>
            <w:r>
              <w:t>Expert opinion</w:t>
            </w:r>
          </w:p>
        </w:tc>
      </w:tr>
      <w:tr w:rsidR="00E75A80" w14:paraId="3A5214C0" w14:textId="3341D0F4" w:rsidTr="00EF60DC">
        <w:tc>
          <w:tcPr>
            <w:tcW w:w="1847" w:type="dxa"/>
          </w:tcPr>
          <w:p w14:paraId="4CA93D98" w14:textId="7DAC106D" w:rsidR="00E75A80" w:rsidRDefault="00E75A80" w:rsidP="00671D36">
            <w:pPr>
              <w:pStyle w:val="BodyText"/>
              <w:jc w:val="both"/>
            </w:pPr>
            <w:proofErr w:type="spellStart"/>
            <w:r>
              <w:t>vacc</w:t>
            </w:r>
            <w:r w:rsidR="00B14B6E" w:rsidRPr="00B14B6E">
              <w:rPr>
                <w:vertAlign w:val="subscript"/>
              </w:rPr>
              <w:t>p</w:t>
            </w:r>
            <w:proofErr w:type="spellEnd"/>
          </w:p>
        </w:tc>
        <w:tc>
          <w:tcPr>
            <w:tcW w:w="3112" w:type="dxa"/>
          </w:tcPr>
          <w:p w14:paraId="13ACD2E7" w14:textId="0C8BD460" w:rsidR="00E75A80" w:rsidRDefault="000C1AE1" w:rsidP="00671D36">
            <w:pPr>
              <w:pStyle w:val="BodyText"/>
              <w:jc w:val="both"/>
            </w:pPr>
            <w:r>
              <w:t>Rate of vaccin</w:t>
            </w:r>
            <w:r w:rsidR="00DA4EE7">
              <w:t>ation</w:t>
            </w:r>
          </w:p>
        </w:tc>
        <w:tc>
          <w:tcPr>
            <w:tcW w:w="1386" w:type="dxa"/>
          </w:tcPr>
          <w:p w14:paraId="7C0A1098" w14:textId="740A3014" w:rsidR="00E75A80" w:rsidRDefault="0053299C" w:rsidP="00671D36">
            <w:pPr>
              <w:pStyle w:val="BodyText"/>
              <w:jc w:val="both"/>
            </w:pPr>
            <w:r w:rsidRPr="000F640B">
              <w:t>1</w:t>
            </w:r>
            <w:proofErr w:type="gramStart"/>
            <w:r w:rsidRPr="000F640B">
              <w:t>/(</w:t>
            </w:r>
            <w:proofErr w:type="gramEnd"/>
            <w:r>
              <w:t>0.5</w:t>
            </w:r>
            <w:r w:rsidRPr="000F640B">
              <w:t>*365)</w:t>
            </w:r>
          </w:p>
        </w:tc>
        <w:tc>
          <w:tcPr>
            <w:tcW w:w="1491" w:type="dxa"/>
          </w:tcPr>
          <w:p w14:paraId="6823A3DC" w14:textId="5C246A2C" w:rsidR="00E75A80" w:rsidRDefault="00E75A80" w:rsidP="00671D36">
            <w:pPr>
              <w:pStyle w:val="BodyText"/>
              <w:jc w:val="both"/>
            </w:pPr>
            <w:r>
              <w:t>0.00548</w:t>
            </w:r>
          </w:p>
        </w:tc>
        <w:sdt>
          <w:sdtPr>
            <w:rPr>
              <w:rFonts w:ascii="Aptos" w:hAnsi="Aptos"/>
              <w:color w:val="000000"/>
              <w:vertAlign w:val="superscript"/>
            </w:rPr>
            <w:tag w:val="MENDELEY_CITATION_v3_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"/>
            <w:id w:val="-2005505002"/>
            <w:placeholder>
              <w:docPart w:val="DefaultPlaceholder_-1854013440"/>
            </w:placeholder>
          </w:sdtPr>
          <w:sdtEndPr/>
          <w:sdtContent>
            <w:tc>
              <w:tcPr>
                <w:tcW w:w="1740" w:type="dxa"/>
              </w:tcPr>
              <w:p w14:paraId="7EF9F9E0" w14:textId="21B0A26F" w:rsidR="00E75A80" w:rsidRDefault="00C30BDC" w:rsidP="00671D36">
                <w:pPr>
                  <w:pStyle w:val="BodyText"/>
                  <w:jc w:val="both"/>
                </w:pPr>
                <w:r w:rsidRPr="00C30BDC">
                  <w:rPr>
                    <w:rFonts w:ascii="Aptos" w:hAnsi="Aptos"/>
                    <w:color w:val="000000"/>
                    <w:vertAlign w:val="superscript"/>
                  </w:rPr>
                  <w:t>11</w:t>
                </w:r>
              </w:p>
            </w:tc>
          </w:sdtContent>
        </w:sdt>
      </w:tr>
      <w:tr w:rsidR="00E75A80" w14:paraId="396F8F18" w14:textId="39C3761F" w:rsidTr="00EF60DC">
        <w:tc>
          <w:tcPr>
            <w:tcW w:w="1847" w:type="dxa"/>
          </w:tcPr>
          <w:p w14:paraId="1C7F9546" w14:textId="5EFAB3CE" w:rsidR="00E75A80" w:rsidRDefault="009A30EE" w:rsidP="00671D36">
            <w:pPr>
              <w:pStyle w:val="BodyText"/>
              <w:jc w:val="both"/>
            </w:pPr>
            <w:r>
              <w:t>c</w:t>
            </w:r>
            <w:r w:rsidR="00E75A80">
              <w:t>v</w:t>
            </w:r>
            <w:r w:rsidR="00E75A80" w:rsidRPr="009A30EE">
              <w:rPr>
                <w:vertAlign w:val="subscript"/>
              </w:rPr>
              <w:t>1</w:t>
            </w:r>
          </w:p>
        </w:tc>
        <w:tc>
          <w:tcPr>
            <w:tcW w:w="3112" w:type="dxa"/>
          </w:tcPr>
          <w:p w14:paraId="658E4FCE" w14:textId="2FAB6B95" w:rsidR="00E75A80" w:rsidRDefault="008101F7" w:rsidP="00671D36">
            <w:pPr>
              <w:pStyle w:val="BodyText"/>
              <w:jc w:val="both"/>
            </w:pPr>
            <w:r>
              <w:t>Vaccine coverage of the under-1 population</w:t>
            </w:r>
          </w:p>
        </w:tc>
        <w:tc>
          <w:tcPr>
            <w:tcW w:w="1386" w:type="dxa"/>
          </w:tcPr>
          <w:p w14:paraId="5F3E246F" w14:textId="5B216100" w:rsidR="00E75A80" w:rsidRDefault="00407980" w:rsidP="00671D36">
            <w:pPr>
              <w:pStyle w:val="BodyText"/>
              <w:jc w:val="both"/>
            </w:pPr>
            <w:r>
              <w:t>0.8-1</w:t>
            </w:r>
          </w:p>
        </w:tc>
        <w:tc>
          <w:tcPr>
            <w:tcW w:w="1491" w:type="dxa"/>
          </w:tcPr>
          <w:p w14:paraId="1F988694" w14:textId="41CC21A0" w:rsidR="00E75A80" w:rsidRDefault="00407980" w:rsidP="00671D36">
            <w:pPr>
              <w:pStyle w:val="BodyText"/>
              <w:jc w:val="both"/>
            </w:pPr>
            <w:r>
              <w:t>0.8-1</w:t>
            </w:r>
          </w:p>
        </w:tc>
        <w:tc>
          <w:tcPr>
            <w:tcW w:w="1740" w:type="dxa"/>
          </w:tcPr>
          <w:p w14:paraId="1A976319" w14:textId="7E185D19" w:rsidR="00E75A80" w:rsidRDefault="009A30EE" w:rsidP="00671D36">
            <w:pPr>
              <w:pStyle w:val="BodyText"/>
              <w:jc w:val="both"/>
            </w:pPr>
            <w:r>
              <w:t>Data informed</w:t>
            </w:r>
            <w:r w:rsidR="00407980">
              <w:t xml:space="preserve"> for each sub-county</w:t>
            </w:r>
          </w:p>
        </w:tc>
      </w:tr>
      <w:tr w:rsidR="00E75A80" w14:paraId="30888394" w14:textId="18256D55" w:rsidTr="00EF60DC">
        <w:tc>
          <w:tcPr>
            <w:tcW w:w="1847" w:type="dxa"/>
          </w:tcPr>
          <w:p w14:paraId="07D14F75" w14:textId="52D0C059" w:rsidR="00E75A80" w:rsidRDefault="009A30EE" w:rsidP="00671D36">
            <w:pPr>
              <w:pStyle w:val="BodyText"/>
              <w:jc w:val="both"/>
            </w:pPr>
            <w:r>
              <w:t>c</w:t>
            </w:r>
            <w:r w:rsidR="00E75A80">
              <w:t>v</w:t>
            </w:r>
            <w:r w:rsidR="00E75A80" w:rsidRPr="009A30EE">
              <w:rPr>
                <w:vertAlign w:val="subscript"/>
              </w:rPr>
              <w:t>2</w:t>
            </w:r>
          </w:p>
        </w:tc>
        <w:tc>
          <w:tcPr>
            <w:tcW w:w="3112" w:type="dxa"/>
          </w:tcPr>
          <w:p w14:paraId="03E1F6C7" w14:textId="1D2BB231" w:rsidR="00E75A80" w:rsidRDefault="00613CC6" w:rsidP="00671D36">
            <w:pPr>
              <w:pStyle w:val="BodyText"/>
              <w:jc w:val="both"/>
            </w:pPr>
            <w:r>
              <w:t>Vaccine coverage of the under-5 population</w:t>
            </w:r>
          </w:p>
        </w:tc>
        <w:tc>
          <w:tcPr>
            <w:tcW w:w="1386" w:type="dxa"/>
          </w:tcPr>
          <w:p w14:paraId="28E736AC" w14:textId="61BD0C92" w:rsidR="00E75A80" w:rsidRDefault="00407980" w:rsidP="00671D36">
            <w:pPr>
              <w:pStyle w:val="BodyText"/>
              <w:jc w:val="both"/>
            </w:pPr>
            <w:r>
              <w:t>0.1-0.5</w:t>
            </w:r>
          </w:p>
        </w:tc>
        <w:tc>
          <w:tcPr>
            <w:tcW w:w="1491" w:type="dxa"/>
          </w:tcPr>
          <w:p w14:paraId="0EC4D769" w14:textId="25210A25" w:rsidR="00E75A80" w:rsidRDefault="00407980" w:rsidP="00671D36">
            <w:pPr>
              <w:pStyle w:val="BodyText"/>
              <w:jc w:val="both"/>
            </w:pPr>
            <w:r>
              <w:t>0.1-0.5</w:t>
            </w:r>
          </w:p>
        </w:tc>
        <w:tc>
          <w:tcPr>
            <w:tcW w:w="1740" w:type="dxa"/>
          </w:tcPr>
          <w:p w14:paraId="6EE01471" w14:textId="2A2DA1A7" w:rsidR="00E75A80" w:rsidRDefault="009A30EE" w:rsidP="00671D36">
            <w:pPr>
              <w:pStyle w:val="BodyText"/>
              <w:jc w:val="both"/>
            </w:pPr>
            <w:r>
              <w:t>Data informed</w:t>
            </w:r>
            <w:r w:rsidR="00407980">
              <w:t xml:space="preserve"> for each sub-county</w:t>
            </w:r>
          </w:p>
        </w:tc>
      </w:tr>
      <w:tr w:rsidR="00E75A80" w14:paraId="4BE46D35" w14:textId="6A01A020" w:rsidTr="00EF60DC">
        <w:tc>
          <w:tcPr>
            <w:tcW w:w="1847" w:type="dxa"/>
          </w:tcPr>
          <w:p w14:paraId="002C9398" w14:textId="165BAFA3" w:rsidR="00E75A80" w:rsidRDefault="00E75A80" w:rsidP="00671D36">
            <w:pPr>
              <w:pStyle w:val="BodyText"/>
              <w:jc w:val="both"/>
            </w:pPr>
            <w:proofErr w:type="spellStart"/>
            <w:r>
              <w:t>p</w:t>
            </w:r>
            <w:r w:rsidRPr="00715AD3">
              <w:rPr>
                <w:vertAlign w:val="subscript"/>
              </w:rPr>
              <w:t>treat</w:t>
            </w:r>
            <w:proofErr w:type="spellEnd"/>
          </w:p>
        </w:tc>
        <w:tc>
          <w:tcPr>
            <w:tcW w:w="3112" w:type="dxa"/>
          </w:tcPr>
          <w:p w14:paraId="4926E4FE" w14:textId="551597CD" w:rsidR="00E75A80" w:rsidRDefault="00715AD3" w:rsidP="00671D36">
            <w:pPr>
              <w:pStyle w:val="BodyText"/>
              <w:jc w:val="both"/>
            </w:pPr>
            <w:r>
              <w:t>p</w:t>
            </w:r>
            <w:r w:rsidR="00E75A80" w:rsidRPr="00715AD3">
              <w:rPr>
                <w:vertAlign w:val="subscript"/>
              </w:rPr>
              <w:t>t</w:t>
            </w:r>
            <w:r w:rsidR="00E75A80">
              <w:t xml:space="preserve"> * </w:t>
            </w:r>
            <w:proofErr w:type="spellStart"/>
            <w:r w:rsidR="00E75A80">
              <w:t>p</w:t>
            </w:r>
            <w:r w:rsidR="00E75A80" w:rsidRPr="00715AD3">
              <w:rPr>
                <w:vertAlign w:val="subscript"/>
              </w:rPr>
              <w:t>s</w:t>
            </w:r>
            <w:proofErr w:type="spellEnd"/>
            <w:r w:rsidR="00620FFA">
              <w:t xml:space="preserve"> (proportion of population that receive treatment * proportion of population that seek treatment)</w:t>
            </w:r>
          </w:p>
        </w:tc>
        <w:tc>
          <w:tcPr>
            <w:tcW w:w="1386" w:type="dxa"/>
          </w:tcPr>
          <w:p w14:paraId="6AEC0717" w14:textId="38608A00" w:rsidR="00E75A80" w:rsidRDefault="005676EA" w:rsidP="00671D36">
            <w:pPr>
              <w:pStyle w:val="BodyText"/>
              <w:jc w:val="both"/>
            </w:pPr>
            <w:r>
              <w:t>0.6-0.8</w:t>
            </w:r>
          </w:p>
        </w:tc>
        <w:tc>
          <w:tcPr>
            <w:tcW w:w="1491" w:type="dxa"/>
          </w:tcPr>
          <w:p w14:paraId="742BB5A5" w14:textId="1DCC22A4" w:rsidR="00E75A80" w:rsidRDefault="005676EA" w:rsidP="00671D36">
            <w:pPr>
              <w:pStyle w:val="BodyText"/>
              <w:jc w:val="both"/>
            </w:pPr>
            <w:r>
              <w:t>0.6-0.8</w:t>
            </w:r>
          </w:p>
        </w:tc>
        <w:tc>
          <w:tcPr>
            <w:tcW w:w="1740" w:type="dxa"/>
          </w:tcPr>
          <w:p w14:paraId="5B68E562" w14:textId="578507A2" w:rsidR="00E75A80" w:rsidRDefault="005676EA" w:rsidP="00671D36">
            <w:pPr>
              <w:pStyle w:val="BodyText"/>
              <w:jc w:val="both"/>
            </w:pPr>
            <w:r>
              <w:t>Data informed</w:t>
            </w:r>
            <w:r w:rsidR="00EF60DC">
              <w:t xml:space="preserve"> from indicator surveys</w:t>
            </w:r>
          </w:p>
        </w:tc>
      </w:tr>
    </w:tbl>
    <w:p w14:paraId="3A773D17" w14:textId="2CF251C8" w:rsidR="008065DC" w:rsidRPr="008065DC" w:rsidRDefault="008065DC" w:rsidP="00671D36">
      <w:pPr>
        <w:pStyle w:val="BodyText"/>
        <w:jc w:val="both"/>
      </w:pPr>
    </w:p>
    <w:p w14:paraId="7A29A823" w14:textId="0269B3AF" w:rsidR="00D351E9" w:rsidRDefault="00713959" w:rsidP="00671D36">
      <w:pPr>
        <w:pStyle w:val="BodyText"/>
        <w:jc w:val="both"/>
      </w:pPr>
      <w:r>
        <w:lastRenderedPageBreak/>
        <w:t xml:space="preserve">Since the vaccine targets young children, the model incorporates an age structure that distinguishes the vaccine-eligible population from older age groups. Vaccinated children are </w:t>
      </w:r>
      <w:proofErr w:type="spellStart"/>
      <w:r>
        <w:t>categorised</w:t>
      </w:r>
      <w:proofErr w:type="spellEnd"/>
      <w:r>
        <w:t xml:space="preserve"> separately due to their reduced susceptibility and/or lower progression rates to clinical disease after receiving the </w:t>
      </w:r>
      <w:proofErr w:type="gramStart"/>
      <w:r>
        <w:t>RTS,S</w:t>
      </w:r>
      <w:proofErr w:type="gramEnd"/>
      <w:r>
        <w:t xml:space="preserve"> vaccine. Furthermore, the under-5 age group is split into two categories: under 1 year old and over 1 year old, to accurately reflect the coverage for the fourth dose. </w:t>
      </w:r>
      <w:r w:rsidR="00212530">
        <w:t>Transitions between age groups occur at age-specific rates.</w:t>
      </w:r>
      <w:r w:rsidR="00212530">
        <w:t xml:space="preserve"> </w:t>
      </w:r>
      <w:r>
        <w:t>The model equations are provided below.</w:t>
      </w:r>
    </w:p>
    <w:p w14:paraId="7A29A824" w14:textId="77777777" w:rsidR="00D351E9" w:rsidRPr="00541480" w:rsidRDefault="00713959" w:rsidP="00671D36">
      <w:pPr>
        <w:pStyle w:val="Heading4"/>
        <w:jc w:val="both"/>
        <w:rPr>
          <w:b/>
          <w:bCs/>
          <w:color w:val="auto"/>
        </w:rPr>
      </w:pPr>
      <w:bookmarkStart w:id="4" w:name="under-1-population-under-1"/>
      <w:r w:rsidRPr="00541480">
        <w:rPr>
          <w:b/>
          <w:bCs/>
          <w:color w:val="auto"/>
        </w:rPr>
        <w:t>Under 1 Population (Under 1)</w:t>
      </w:r>
    </w:p>
    <w:p w14:paraId="7A29A825"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S</m:t>
                  </m:r>
                </m:e>
                <m:sub>
                  <m:r>
                    <w:rPr>
                      <w:rFonts w:ascii="Cambria Math" w:hAnsi="Cambria Math"/>
                    </w:rPr>
                    <m:t>b</m:t>
                  </m:r>
                </m:sub>
              </m:sSub>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w:rPr>
              <w:rFonts w:ascii="Cambria Math" w:hAnsi="Cambria Math"/>
            </w:rPr>
            <m:t>P</m:t>
          </m:r>
          <m:r>
            <m:rPr>
              <m:sty m:val="p"/>
            </m:rPr>
            <w:rPr>
              <w:rFonts w:ascii="Cambria Math" w:hAnsi="Cambria Math"/>
            </w:rPr>
            <m:t>+</m:t>
          </m:r>
          <m:r>
            <w:rPr>
              <w:rFonts w:ascii="Cambria Math" w:hAnsi="Cambria Math"/>
            </w:rPr>
            <m:t>ρ</m:t>
          </m:r>
          <m:sSub>
            <m:sSubPr>
              <m:ctrlPr>
                <w:rPr>
                  <w:rFonts w:ascii="Cambria Math" w:hAnsi="Cambria Math"/>
                </w:rPr>
              </m:ctrlPr>
            </m:sSubPr>
            <m:e>
              <m:r>
                <w:rPr>
                  <w:rFonts w:ascii="Cambria Math" w:hAnsi="Cambria Math"/>
                </w:rPr>
                <m:t>R</m:t>
              </m:r>
            </m:e>
            <m:sub>
              <m:r>
                <w:rPr>
                  <w:rFonts w:ascii="Cambria Math" w:hAnsi="Cambria Math"/>
                </w:rPr>
                <m:t>b</m:t>
              </m:r>
            </m:sub>
          </m:sSub>
          <m:r>
            <m:rPr>
              <m:sty m:val="p"/>
            </m:rPr>
            <w:rPr>
              <w:rFonts w:ascii="Cambria Math" w:hAnsi="Cambria Math"/>
            </w:rPr>
            <m:t>-</m:t>
          </m:r>
          <m:d>
            <m:dPr>
              <m:ctrlPr>
                <w:rPr>
                  <w:rFonts w:ascii="Cambria Math" w:hAnsi="Cambria Math"/>
                </w:rPr>
              </m:ctrlPr>
            </m:dPr>
            <m:e>
              <m:r>
                <w:rPr>
                  <w:rFonts w:ascii="Cambria Math" w:hAnsi="Cambria Math"/>
                </w:rPr>
                <m:t>c</m:t>
              </m:r>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vac</m:t>
              </m:r>
              <m:sSub>
                <m:sSubPr>
                  <m:ctrlPr>
                    <w:rPr>
                      <w:rFonts w:ascii="Cambria Math" w:hAnsi="Cambria Math"/>
                    </w:rPr>
                  </m:ctrlPr>
                </m:sSubPr>
                <m:e>
                  <m:r>
                    <w:rPr>
                      <w:rFonts w:ascii="Cambria Math" w:hAnsi="Cambria Math"/>
                    </w:rPr>
                    <m:t>c</m:t>
                  </m:r>
                </m:e>
                <m:sub>
                  <m:r>
                    <w:rPr>
                      <w:rFonts w:ascii="Cambria Math" w:hAnsi="Cambria Math"/>
                    </w:rPr>
                    <m:t>p</m:t>
                  </m:r>
                </m:sub>
              </m:sSub>
              <m:r>
                <m:rPr>
                  <m:sty m:val="p"/>
                </m:rPr>
                <w:rPr>
                  <w:rFonts w:ascii="Cambria Math" w:hAnsi="Cambria Math"/>
                </w:rPr>
                <m:t>+</m:t>
              </m:r>
              <m:r>
                <w:rPr>
                  <w:rFonts w:ascii="Cambria Math" w:hAnsi="Cambria Math"/>
                </w:rPr>
                <m:t>λ</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e>
          </m:d>
          <m:sSub>
            <m:sSubPr>
              <m:ctrlPr>
                <w:rPr>
                  <w:rFonts w:ascii="Cambria Math" w:hAnsi="Cambria Math"/>
                </w:rPr>
              </m:ctrlPr>
            </m:sSubPr>
            <m:e>
              <m:r>
                <w:rPr>
                  <w:rFonts w:ascii="Cambria Math" w:hAnsi="Cambria Math"/>
                </w:rPr>
                <m:t>S</m:t>
              </m:r>
            </m:e>
            <m:sub>
              <m:r>
                <w:rPr>
                  <w:rFonts w:ascii="Cambria Math" w:hAnsi="Cambria Math"/>
                </w:rPr>
                <m:t>b</m:t>
              </m:r>
            </m:sub>
          </m:sSub>
        </m:oMath>
      </m:oMathPara>
    </w:p>
    <w:p w14:paraId="7A29A826"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V</m:t>
                  </m:r>
                </m:e>
                <m:sub>
                  <m:r>
                    <w:rPr>
                      <w:rFonts w:ascii="Cambria Math" w:hAnsi="Cambria Math"/>
                    </w:rPr>
                    <m:t>b</m:t>
                  </m:r>
                </m:sub>
              </m:sSub>
            </m:num>
            <m:den>
              <m:r>
                <w:rPr>
                  <w:rFonts w:ascii="Cambria Math" w:hAnsi="Cambria Math"/>
                </w:rPr>
                <m:t>dt</m:t>
              </m:r>
            </m:den>
          </m:f>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vac</m:t>
          </m:r>
          <m:sSub>
            <m:sSubPr>
              <m:ctrlPr>
                <w:rPr>
                  <w:rFonts w:ascii="Cambria Math" w:hAnsi="Cambria Math"/>
                </w:rPr>
              </m:ctrlPr>
            </m:sSubPr>
            <m:e>
              <m:r>
                <w:rPr>
                  <w:rFonts w:ascii="Cambria Math" w:hAnsi="Cambria Math"/>
                </w:rPr>
                <m:t>c</m:t>
              </m:r>
            </m:e>
            <m:sub>
              <m:r>
                <w:rPr>
                  <w:rFonts w:ascii="Cambria Math" w:hAnsi="Cambria Math"/>
                </w:rPr>
                <m:t>p</m:t>
              </m:r>
            </m:sub>
          </m:sSub>
          <m:sSub>
            <m:sSubPr>
              <m:ctrlPr>
                <w:rPr>
                  <w:rFonts w:ascii="Cambria Math" w:hAnsi="Cambria Math"/>
                </w:rPr>
              </m:ctrlPr>
            </m:sSubPr>
            <m:e>
              <m:r>
                <w:rPr>
                  <w:rFonts w:ascii="Cambria Math" w:hAnsi="Cambria Math"/>
                </w:rPr>
                <m:t>S</m:t>
              </m:r>
            </m:e>
            <m:sub>
              <m:r>
                <w:rPr>
                  <w:rFonts w:ascii="Cambria Math" w:hAnsi="Cambria Math"/>
                </w:rPr>
                <m:t>b</m:t>
              </m:r>
            </m:sub>
          </m:sSub>
          <m:r>
            <m:rPr>
              <m:sty m:val="p"/>
            </m:rPr>
            <w:rPr>
              <w:rFonts w:ascii="Cambria Math" w:hAnsi="Cambria Math"/>
            </w:rPr>
            <m:t>-</m:t>
          </m:r>
          <m:d>
            <m:dPr>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ϵ</m:t>
                  </m:r>
                </m:e>
              </m:d>
              <m:r>
                <w:rPr>
                  <w:rFonts w:ascii="Cambria Math" w:hAnsi="Cambria Math"/>
                </w:rPr>
                <m:t> </m:t>
              </m:r>
              <m:r>
                <w:rPr>
                  <w:rFonts w:ascii="Cambria Math" w:hAnsi="Cambria Math"/>
                </w:rPr>
                <m:t>λ</m:t>
              </m:r>
              <m:r>
                <w:rPr>
                  <w:rFonts w:ascii="Cambria Math" w:hAnsi="Cambria Math"/>
                </w:rPr>
                <m:t> </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w:rPr>
                  <w:rFonts w:ascii="Cambria Math" w:hAnsi="Cambria Math"/>
                </w:rPr>
                <m:t> </m:t>
              </m:r>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θ</m:t>
                  </m:r>
                </m:e>
                <m:sub>
                  <m:r>
                    <w:rPr>
                      <w:rFonts w:ascii="Cambria Math" w:hAnsi="Cambria Math"/>
                    </w:rPr>
                    <m:t>1</m:t>
                  </m:r>
                </m:sub>
              </m:sSub>
            </m:e>
          </m:d>
          <m:sSub>
            <m:sSubPr>
              <m:ctrlPr>
                <w:rPr>
                  <w:rFonts w:ascii="Cambria Math" w:hAnsi="Cambria Math"/>
                </w:rPr>
              </m:ctrlPr>
            </m:sSubPr>
            <m:e>
              <m:r>
                <w:rPr>
                  <w:rFonts w:ascii="Cambria Math" w:hAnsi="Cambria Math"/>
                </w:rPr>
                <m:t>V</m:t>
              </m:r>
            </m:e>
            <m:sub>
              <m:r>
                <w:rPr>
                  <w:rFonts w:ascii="Cambria Math" w:hAnsi="Cambria Math"/>
                </w:rPr>
                <m:t>b</m:t>
              </m:r>
            </m:sub>
          </m:sSub>
        </m:oMath>
      </m:oMathPara>
    </w:p>
    <w:p w14:paraId="7A29A827"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E</m:t>
                  </m:r>
                </m:e>
                <m:sub>
                  <m:r>
                    <w:rPr>
                      <w:rFonts w:ascii="Cambria Math" w:hAnsi="Cambria Math"/>
                    </w:rPr>
                    <m:t>vb</m:t>
                  </m:r>
                </m:sub>
              </m:sSub>
            </m:num>
            <m:den>
              <m:r>
                <w:rPr>
                  <w:rFonts w:ascii="Cambria Math" w:hAnsi="Cambria Math"/>
                </w:rPr>
                <m:t>dt</m:t>
              </m:r>
            </m:den>
          </m:f>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ϵ</m:t>
              </m:r>
            </m:e>
          </m:d>
          <m:r>
            <w:rPr>
              <w:rFonts w:ascii="Cambria Math" w:hAnsi="Cambria Math"/>
            </w:rPr>
            <m:t>λ</m:t>
          </m:r>
          <m:r>
            <w:rPr>
              <w:rFonts w:ascii="Cambria Math" w:hAnsi="Cambria Math"/>
            </w:rPr>
            <m:t> </m:t>
          </m:r>
          <m:sSub>
            <m:sSubPr>
              <m:ctrlPr>
                <w:rPr>
                  <w:rFonts w:ascii="Cambria Math" w:hAnsi="Cambria Math"/>
                </w:rPr>
              </m:ctrlPr>
            </m:sSubPr>
            <m:e>
              <m:r>
                <w:rPr>
                  <w:rFonts w:ascii="Cambria Math" w:hAnsi="Cambria Math"/>
                </w:rPr>
                <m:t>V</m:t>
              </m:r>
            </m:e>
            <m:sub>
              <m:r>
                <w:rPr>
                  <w:rFonts w:ascii="Cambria Math" w:hAnsi="Cambria Math"/>
                </w:rPr>
                <m:t>b</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γ</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e>
          </m:d>
          <m:sSub>
            <m:sSubPr>
              <m:ctrlPr>
                <w:rPr>
                  <w:rFonts w:ascii="Cambria Math" w:hAnsi="Cambria Math"/>
                </w:rPr>
              </m:ctrlPr>
            </m:sSubPr>
            <m:e>
              <m:r>
                <w:rPr>
                  <w:rFonts w:ascii="Cambria Math" w:hAnsi="Cambria Math"/>
                </w:rPr>
                <m:t>E</m:t>
              </m:r>
            </m:e>
            <m:sub>
              <m:r>
                <w:rPr>
                  <w:rFonts w:ascii="Cambria Math" w:hAnsi="Cambria Math"/>
                </w:rPr>
                <m:t>vb</m:t>
              </m:r>
            </m:sub>
          </m:sSub>
        </m:oMath>
      </m:oMathPara>
    </w:p>
    <w:p w14:paraId="7A29A828"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E</m:t>
                  </m:r>
                </m:e>
                <m:sub>
                  <m:r>
                    <w:rPr>
                      <w:rFonts w:ascii="Cambria Math" w:hAnsi="Cambria Math"/>
                    </w:rPr>
                    <m:t>b</m:t>
                  </m:r>
                </m:sub>
              </m:sSub>
            </m:num>
            <m:den>
              <m:r>
                <w:rPr>
                  <w:rFonts w:ascii="Cambria Math" w:hAnsi="Cambria Math"/>
                </w:rPr>
                <m:t>dt</m:t>
              </m:r>
            </m:den>
          </m:f>
          <m:r>
            <m:rPr>
              <m:sty m:val="p"/>
            </m:rPr>
            <w:rPr>
              <w:rFonts w:ascii="Cambria Math" w:hAnsi="Cambria Math"/>
            </w:rPr>
            <m:t>=</m:t>
          </m:r>
          <m:r>
            <w:rPr>
              <w:rFonts w:ascii="Cambria Math" w:hAnsi="Cambria Math"/>
            </w:rPr>
            <m:t>λ</m:t>
          </m:r>
          <m:r>
            <w:rPr>
              <w:rFonts w:ascii="Cambria Math" w:hAnsi="Cambria Math"/>
            </w:rPr>
            <m:t> </m:t>
          </m:r>
          <m:sSub>
            <m:sSubPr>
              <m:ctrlPr>
                <w:rPr>
                  <w:rFonts w:ascii="Cambria Math" w:hAnsi="Cambria Math"/>
                </w:rPr>
              </m:ctrlPr>
            </m:sSubPr>
            <m:e>
              <m:r>
                <w:rPr>
                  <w:rFonts w:ascii="Cambria Math" w:hAnsi="Cambria Math"/>
                </w:rPr>
                <m:t>S</m:t>
              </m:r>
            </m:e>
            <m:sub>
              <m:r>
                <w:rPr>
                  <w:rFonts w:ascii="Cambria Math" w:hAnsi="Cambria Math"/>
                </w:rPr>
                <m:t>b</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γ</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e>
          </m:d>
          <m:sSub>
            <m:sSubPr>
              <m:ctrlPr>
                <w:rPr>
                  <w:rFonts w:ascii="Cambria Math" w:hAnsi="Cambria Math"/>
                </w:rPr>
              </m:ctrlPr>
            </m:sSubPr>
            <m:e>
              <m:r>
                <w:rPr>
                  <w:rFonts w:ascii="Cambria Math" w:hAnsi="Cambria Math"/>
                </w:rPr>
                <m:t>E</m:t>
              </m:r>
            </m:e>
            <m:sub>
              <m:r>
                <w:rPr>
                  <w:rFonts w:ascii="Cambria Math" w:hAnsi="Cambria Math"/>
                </w:rPr>
                <m:t>b</m:t>
              </m:r>
            </m:sub>
          </m:sSub>
        </m:oMath>
      </m:oMathPara>
    </w:p>
    <w:p w14:paraId="7A29A829"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ab</m:t>
                  </m:r>
                </m:sub>
              </m:sSub>
            </m:num>
            <m:den>
              <m:r>
                <w:rPr>
                  <w:rFonts w:ascii="Cambria Math" w:hAnsi="Cambria Math"/>
                </w:rPr>
                <m:t>dt</m:t>
              </m:r>
            </m:den>
          </m:f>
          <m:r>
            <m:rPr>
              <m:sty m:val="p"/>
            </m:rPr>
            <w:rPr>
              <w:rFonts w:ascii="Cambria Math" w:hAnsi="Cambria Math"/>
            </w:rPr>
            <m:t>=</m:t>
          </m:r>
          <m:r>
            <w:rPr>
              <w:rFonts w:ascii="Cambria Math" w:hAnsi="Cambria Math"/>
            </w:rPr>
            <m:t>pa</m:t>
          </m:r>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b</m:t>
              </m:r>
            </m:sub>
          </m:sSub>
          <m:r>
            <m:rPr>
              <m:sty m:val="p"/>
            </m:rPr>
            <w:rPr>
              <w:rFonts w:ascii="Cambria Math" w:hAnsi="Cambria Math"/>
            </w:rPr>
            <m:t>+</m:t>
          </m:r>
          <m:r>
            <w:rPr>
              <w:rFonts w:ascii="Cambria Math" w:hAnsi="Cambria Math"/>
            </w:rPr>
            <m:t>pa</m:t>
          </m:r>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vb</m:t>
              </m:r>
            </m:sub>
          </m:sSub>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m:t>
                  </m:r>
                  <m:sSub>
                    <m:sSubPr>
                      <m:ctrlPr>
                        <w:rPr>
                          <w:rFonts w:ascii="Cambria Math" w:hAnsi="Cambria Math"/>
                        </w:rPr>
                      </m:ctrlPr>
                    </m:sSubPr>
                    <m:e>
                      <m:r>
                        <w:rPr>
                          <w:rFonts w:ascii="Cambria Math" w:hAnsi="Cambria Math"/>
                        </w:rPr>
                        <m:t>t</m:t>
                      </m:r>
                    </m:e>
                    <m:sub>
                      <m:r>
                        <w:rPr>
                          <w:rFonts w:ascii="Cambria Math" w:hAnsi="Cambria Math"/>
                        </w:rPr>
                        <m:t>c</m:t>
                      </m:r>
                    </m:sub>
                  </m:sSub>
                </m:sub>
              </m:sSub>
            </m:e>
          </m:d>
          <m:r>
            <w:rPr>
              <w:rFonts w:ascii="Cambria Math" w:hAnsi="Cambria Math"/>
            </w:rPr>
            <m:t> </m:t>
          </m:r>
          <m:r>
            <w:rPr>
              <w:rFonts w:ascii="Cambria Math" w:hAnsi="Cambria Math"/>
            </w:rPr>
            <m:t>ω</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unb</m:t>
              </m:r>
            </m:sub>
          </m:sSub>
          <m:r>
            <m:rPr>
              <m:sty m:val="p"/>
            </m:rPr>
            <w:rPr>
              <w:rFonts w:ascii="Cambria Math" w:hAnsi="Cambria Math"/>
            </w:rPr>
            <m:t>-</m:t>
          </m:r>
          <m:d>
            <m:dPr>
              <m:ctrlPr>
                <w:rPr>
                  <w:rFonts w:ascii="Cambria Math" w:hAnsi="Cambria Math"/>
                </w:rPr>
              </m:ctrlPr>
            </m:dPr>
            <m:e>
              <m:r>
                <w:rPr>
                  <w:rFonts w:ascii="Cambria Math" w:hAnsi="Cambria Math"/>
                </w:rPr>
                <m:t>δ</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e>
          </m:d>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ab</m:t>
              </m:r>
            </m:sub>
          </m:sSub>
          <m:r>
            <m:rPr>
              <m:sty m:val="p"/>
            </m:rPr>
            <w:rPr>
              <w:rFonts w:ascii="Cambria Math" w:hAnsi="Cambria Math"/>
            </w:rPr>
            <m:t>+</m:t>
          </m:r>
          <m:d>
            <m:dPr>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ν</m:t>
                      </m:r>
                    </m:e>
                    <m:sub>
                      <m:r>
                        <w:rPr>
                          <w:rFonts w:ascii="Cambria Math" w:hAnsi="Cambria Math"/>
                        </w:rPr>
                        <m:t>u</m:t>
                      </m:r>
                      <m:r>
                        <w:rPr>
                          <w:rFonts w:ascii="Cambria Math" w:hAnsi="Cambria Math"/>
                        </w:rPr>
                        <m:t>1</m:t>
                      </m:r>
                    </m:sub>
                  </m:sSub>
                </m:e>
              </m:d>
              <m:r>
                <w:rPr>
                  <w:rFonts w:ascii="Cambria Math" w:hAnsi="Cambria Math"/>
                </w:rPr>
                <m:t> </m:t>
              </m:r>
              <m:r>
                <w:rPr>
                  <w:rFonts w:ascii="Cambria Math" w:hAnsi="Cambria Math"/>
                </w:rPr>
                <m:t>pu</m:t>
              </m:r>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pa</m:t>
                  </m:r>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e>
          </m:d>
          <m:r>
            <m:rPr>
              <m:sty m:val="p"/>
            </m:rPr>
            <w:rPr>
              <w:rFonts w:ascii="Cambria Math" w:hAnsi="Cambria Math"/>
            </w:rPr>
            <m:t>)</m:t>
          </m:r>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vb</m:t>
              </m:r>
            </m:sub>
          </m:sSub>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ν</m:t>
                  </m:r>
                </m:e>
                <m:sub>
                  <m:r>
                    <w:rPr>
                      <w:rFonts w:ascii="Cambria Math" w:hAnsi="Cambria Math"/>
                    </w:rPr>
                    <m:t>s</m:t>
                  </m:r>
                  <m:r>
                    <w:rPr>
                      <w:rFonts w:ascii="Cambria Math" w:hAnsi="Cambria Math"/>
                    </w:rPr>
                    <m:t>1</m:t>
                  </m:r>
                </m:sub>
              </m:sSub>
            </m:e>
          </m:d>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pu</m:t>
              </m:r>
            </m:e>
          </m:d>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pa</m:t>
              </m:r>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vb</m:t>
              </m:r>
            </m:sub>
          </m:sSub>
        </m:oMath>
      </m:oMathPara>
    </w:p>
    <w:p w14:paraId="7A29A82A"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unb</m:t>
                  </m:r>
                </m:sub>
              </m:sSub>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u</m:t>
              </m:r>
            </m:sub>
          </m:sSub>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e>
          </m:d>
          <m:sSub>
            <m:sSubPr>
              <m:ctrlPr>
                <w:rPr>
                  <w:rFonts w:ascii="Cambria Math" w:hAnsi="Cambria Math"/>
                </w:rPr>
              </m:ctrlPr>
            </m:sSubPr>
            <m:e>
              <m:r>
                <w:rPr>
                  <w:rFonts w:ascii="Cambria Math" w:hAnsi="Cambria Math"/>
                </w:rPr>
                <m:t>γ</m:t>
              </m:r>
            </m:e>
            <m:sub>
              <m:r>
                <w:rPr>
                  <w:rFonts w:ascii="Cambria Math" w:hAnsi="Cambria Math"/>
                </w:rPr>
                <m:t>h</m:t>
              </m:r>
            </m:sub>
          </m:sSub>
          <m:sSub>
            <m:sSubPr>
              <m:ctrlPr>
                <w:rPr>
                  <w:rFonts w:ascii="Cambria Math" w:hAnsi="Cambria Math"/>
                </w:rPr>
              </m:ctrlPr>
            </m:sSubPr>
            <m:e>
              <m:r>
                <w:rPr>
                  <w:rFonts w:ascii="Cambria Math" w:hAnsi="Cambria Math"/>
                </w:rPr>
                <m:t>E</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ν</m:t>
              </m:r>
            </m:e>
            <m:sub>
              <m:r>
                <w:rPr>
                  <w:rFonts w:ascii="Cambria Math" w:hAnsi="Cambria Math"/>
                </w:rPr>
                <m:t>u</m:t>
              </m:r>
              <m:r>
                <w:rPr>
                  <w:rFonts w:ascii="Cambria Math" w:hAnsi="Cambria Math"/>
                </w:rPr>
                <m:t>1</m:t>
              </m:r>
            </m:sub>
          </m:sSub>
          <m:sSub>
            <m:sSubPr>
              <m:ctrlPr>
                <w:rPr>
                  <w:rFonts w:ascii="Cambria Math" w:hAnsi="Cambria Math"/>
                </w:rPr>
              </m:ctrlPr>
            </m:sSubPr>
            <m:e>
              <m:r>
                <w:rPr>
                  <w:rFonts w:ascii="Cambria Math" w:hAnsi="Cambria Math"/>
                </w:rPr>
                <m:t>p</m:t>
              </m:r>
            </m:e>
            <m:sub>
              <m:r>
                <w:rPr>
                  <w:rFonts w:ascii="Cambria Math" w:hAnsi="Cambria Math"/>
                </w:rPr>
                <m:t>u</m:t>
              </m:r>
            </m:sub>
          </m:sSub>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e>
          </m:d>
          <m:sSub>
            <m:sSubPr>
              <m:ctrlPr>
                <w:rPr>
                  <w:rFonts w:ascii="Cambria Math" w:hAnsi="Cambria Math"/>
                </w:rPr>
              </m:ctrlPr>
            </m:sSubPr>
            <m:e>
              <m:r>
                <w:rPr>
                  <w:rFonts w:ascii="Cambria Math" w:hAnsi="Cambria Math"/>
                </w:rPr>
                <m:t>γ</m:t>
              </m:r>
            </m:e>
            <m:sub>
              <m:r>
                <w:rPr>
                  <w:rFonts w:ascii="Cambria Math" w:hAnsi="Cambria Math"/>
                </w:rPr>
                <m:t>h</m:t>
              </m:r>
            </m:sub>
          </m:sSub>
          <m:sSub>
            <m:sSubPr>
              <m:ctrlPr>
                <w:rPr>
                  <w:rFonts w:ascii="Cambria Math" w:hAnsi="Cambria Math"/>
                </w:rPr>
              </m:ctrlPr>
            </m:sSubPr>
            <m:e>
              <m:r>
                <w:rPr>
                  <w:rFonts w:ascii="Cambria Math" w:hAnsi="Cambria Math"/>
                </w:rPr>
                <m:t>E</m:t>
              </m:r>
            </m:e>
            <m:sub>
              <m:r>
                <w:rPr>
                  <w:rFonts w:ascii="Cambria Math" w:hAnsi="Cambria Math"/>
                </w:rPr>
                <m:t>vb</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m:t>
              </m:r>
              <m:sSub>
                <m:sSubPr>
                  <m:ctrlPr>
                    <w:rPr>
                      <w:rFonts w:ascii="Cambria Math" w:hAnsi="Cambria Math"/>
                    </w:rPr>
                  </m:ctrlPr>
                </m:sSubPr>
                <m:e>
                  <m:r>
                    <w:rPr>
                      <w:rFonts w:ascii="Cambria Math" w:hAnsi="Cambria Math"/>
                    </w:rPr>
                    <m:t>t</m:t>
                  </m:r>
                </m:e>
                <m:sub>
                  <m:r>
                    <w:rPr>
                      <w:rFonts w:ascii="Cambria Math" w:hAnsi="Cambria Math"/>
                    </w:rPr>
                    <m:t>c</m:t>
                  </m:r>
                </m:sub>
              </m:sSub>
            </m:sub>
          </m:sSub>
          <m:sSub>
            <m:sSubPr>
              <m:ctrlPr>
                <w:rPr>
                  <w:rFonts w:ascii="Cambria Math" w:hAnsi="Cambria Math"/>
                </w:rPr>
              </m:ctrlPr>
            </m:sSubPr>
            <m:e>
              <m:r>
                <w:rPr>
                  <w:rFonts w:ascii="Cambria Math" w:hAnsi="Cambria Math"/>
                </w:rPr>
                <m:t>τ</m:t>
              </m:r>
            </m:e>
            <m:sub>
              <m:r>
                <w:rPr>
                  <w:rFonts w:ascii="Cambria Math" w:hAnsi="Cambria Math"/>
                </w:rPr>
                <m:t>c</m:t>
              </m:r>
            </m:sub>
          </m:sSub>
          <m:sSub>
            <m:sSubPr>
              <m:ctrlPr>
                <w:rPr>
                  <w:rFonts w:ascii="Cambria Math" w:hAnsi="Cambria Math"/>
                </w:rPr>
              </m:ctrlPr>
            </m:sSubPr>
            <m:e>
              <m:r>
                <w:rPr>
                  <w:rFonts w:ascii="Cambria Math" w:hAnsi="Cambria Math"/>
                </w:rPr>
                <m:t>I</m:t>
              </m:r>
            </m:e>
            <m:sub>
              <m:r>
                <w:rPr>
                  <w:rFonts w:ascii="Cambria Math" w:hAnsi="Cambria Math"/>
                </w:rPr>
                <m:t>unb</m:t>
              </m:r>
            </m:sub>
          </m:sSub>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m:t>
                  </m:r>
                  <m:sSub>
                    <m:sSubPr>
                      <m:ctrlPr>
                        <w:rPr>
                          <w:rFonts w:ascii="Cambria Math" w:hAnsi="Cambria Math"/>
                        </w:rPr>
                      </m:ctrlPr>
                    </m:sSubPr>
                    <m:e>
                      <m:r>
                        <w:rPr>
                          <w:rFonts w:ascii="Cambria Math" w:hAnsi="Cambria Math"/>
                        </w:rPr>
                        <m:t>t</m:t>
                      </m:r>
                    </m:e>
                    <m:sub>
                      <m:r>
                        <w:rPr>
                          <w:rFonts w:ascii="Cambria Math" w:hAnsi="Cambria Math"/>
                        </w:rPr>
                        <m:t>c</m:t>
                      </m:r>
                    </m:sub>
                  </m:sSub>
                </m:sub>
              </m:sSub>
            </m:e>
          </m:d>
          <m:r>
            <w:rPr>
              <w:rFonts w:ascii="Cambria Math" w:hAnsi="Cambria Math"/>
            </w:rPr>
            <m:t>ω</m:t>
          </m:r>
          <m:sSub>
            <m:sSubPr>
              <m:ctrlPr>
                <w:rPr>
                  <w:rFonts w:ascii="Cambria Math" w:hAnsi="Cambria Math"/>
                </w:rPr>
              </m:ctrlPr>
            </m:sSubPr>
            <m:e>
              <m:r>
                <w:rPr>
                  <w:rFonts w:ascii="Cambria Math" w:hAnsi="Cambria Math"/>
                </w:rPr>
                <m:t>I</m:t>
              </m:r>
            </m:e>
            <m:sub>
              <m:r>
                <w:rPr>
                  <w:rFonts w:ascii="Cambria Math" w:hAnsi="Cambria Math"/>
                </w:rPr>
                <m:t>unb</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e>
          </m:d>
          <m:sSub>
            <m:sSubPr>
              <m:ctrlPr>
                <w:rPr>
                  <w:rFonts w:ascii="Cambria Math" w:hAnsi="Cambria Math"/>
                </w:rPr>
              </m:ctrlPr>
            </m:sSubPr>
            <m:e>
              <m:r>
                <w:rPr>
                  <w:rFonts w:ascii="Cambria Math" w:hAnsi="Cambria Math"/>
                </w:rPr>
                <m:t>I</m:t>
              </m:r>
            </m:e>
            <m:sub>
              <m:r>
                <w:rPr>
                  <w:rFonts w:ascii="Cambria Math" w:hAnsi="Cambria Math"/>
                </w:rPr>
                <m:t>unb</m:t>
              </m:r>
            </m:sub>
          </m:sSub>
        </m:oMath>
      </m:oMathPara>
    </w:p>
    <w:p w14:paraId="7A29A82B"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T</m:t>
                  </m:r>
                </m:e>
                <m:sub>
                  <m:r>
                    <w:rPr>
                      <w:rFonts w:ascii="Cambria Math" w:hAnsi="Cambria Math"/>
                    </w:rPr>
                    <m:t>b</m:t>
                  </m:r>
                </m:sub>
              </m:sSub>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m:t>
              </m:r>
              <m:sSub>
                <m:sSubPr>
                  <m:ctrlPr>
                    <w:rPr>
                      <w:rFonts w:ascii="Cambria Math" w:hAnsi="Cambria Math"/>
                    </w:rPr>
                  </m:ctrlPr>
                </m:sSubPr>
                <m:e>
                  <m:r>
                    <w:rPr>
                      <w:rFonts w:ascii="Cambria Math" w:hAnsi="Cambria Math"/>
                    </w:rPr>
                    <m:t>t</m:t>
                  </m:r>
                </m:e>
                <m:sub>
                  <m:r>
                    <w:rPr>
                      <w:rFonts w:ascii="Cambria Math" w:hAnsi="Cambria Math"/>
                    </w:rPr>
                    <m:t>c</m:t>
                  </m:r>
                </m:sub>
              </m:sSub>
            </m:sub>
          </m:sSub>
          <m:r>
            <w:rPr>
              <w:rFonts w:ascii="Cambria Math" w:hAnsi="Cambria Math"/>
            </w:rPr>
            <m:t> </m:t>
          </m:r>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unb</m:t>
              </m:r>
            </m:sub>
          </m:sSub>
          <m:r>
            <m:rPr>
              <m:sty m:val="p"/>
            </m:rPr>
            <w:rPr>
              <w:rFonts w:ascii="Cambria Math" w:hAnsi="Cambria Math"/>
            </w:rPr>
            <m:t>-</m:t>
          </m:r>
          <m:d>
            <m:dPr>
              <m:ctrlPr>
                <w:rPr>
                  <w:rFonts w:ascii="Cambria Math" w:hAnsi="Cambria Math"/>
                </w:rPr>
              </m:ctrlPr>
            </m:dPr>
            <m:e>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e>
          </m:d>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b</m:t>
              </m:r>
            </m:sub>
          </m:sSub>
        </m:oMath>
      </m:oMathPara>
    </w:p>
    <w:p w14:paraId="7A29A82C"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sevb</m:t>
                  </m:r>
                </m:sub>
              </m:sSub>
            </m:num>
            <m:den>
              <m:r>
                <w:rPr>
                  <w:rFonts w:ascii="Cambria Math" w:hAnsi="Cambria Math"/>
                </w:rPr>
                <m:t>dt</m:t>
              </m:r>
            </m:den>
          </m:f>
          <m:r>
            <m:rPr>
              <m:sty m:val="p"/>
            </m:rPr>
            <w:rPr>
              <w:rFonts w:ascii="Cambria Math" w:hAnsi="Cambria Math"/>
            </w:rPr>
            <m:t>=</m:t>
          </m:r>
          <m:d>
            <m:dPr>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pu</m:t>
                  </m:r>
                </m:e>
              </m:d>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pa</m:t>
                  </m:r>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b</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ν</m:t>
                  </m:r>
                </m:e>
                <m:sub>
                  <m:r>
                    <w:rPr>
                      <w:rFonts w:ascii="Cambria Math" w:hAnsi="Cambria Math"/>
                    </w:rPr>
                    <m:t>s</m:t>
                  </m:r>
                  <m:r>
                    <w:rPr>
                      <w:rFonts w:ascii="Cambria Math" w:hAnsi="Cambria Math"/>
                    </w:rPr>
                    <m:t>1</m:t>
                  </m:r>
                </m:sub>
              </m:sSub>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pu</m:t>
                  </m:r>
                </m:e>
              </m:d>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pa</m:t>
                  </m:r>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vb</m:t>
              </m:r>
            </m:sub>
          </m:sSub>
          <m:r>
            <m:rPr>
              <m:sty m:val="p"/>
            </m:rPr>
            <w:rPr>
              <w:rFonts w:ascii="Cambria Math" w:hAnsi="Cambria Math"/>
            </w:rPr>
            <m:t>-</m:t>
          </m:r>
          <m:d>
            <m:dPr>
              <m:ctrlPr>
                <w:rPr>
                  <w:rFonts w:ascii="Cambria Math" w:hAnsi="Cambria Math"/>
                </w:rPr>
              </m:ctrlPr>
            </m:dPr>
            <m:e>
              <m:r>
                <w:rPr>
                  <w:rFonts w:ascii="Cambria Math" w:hAnsi="Cambria Math"/>
                </w:rPr>
                <m:t>rs</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e>
          </m:d>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sevb</m:t>
              </m:r>
            </m:sub>
          </m:sSub>
        </m:oMath>
      </m:oMathPara>
    </w:p>
    <w:p w14:paraId="7A29A82D"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R</m:t>
                  </m:r>
                </m:e>
                <m:sub>
                  <m:r>
                    <w:rPr>
                      <w:rFonts w:ascii="Cambria Math" w:hAnsi="Cambria Math"/>
                    </w:rPr>
                    <m:t>b</m:t>
                  </m:r>
                </m:sub>
              </m:sSub>
            </m:num>
            <m:den>
              <m:r>
                <w:rPr>
                  <w:rFonts w:ascii="Cambria Math" w:hAnsi="Cambria Math"/>
                </w:rPr>
                <m:t>dt</m:t>
              </m:r>
            </m:den>
          </m:f>
          <m:r>
            <m:rPr>
              <m:sty m:val="p"/>
            </m:rPr>
            <w:rPr>
              <w:rFonts w:ascii="Cambria Math" w:hAnsi="Cambria Math"/>
            </w:rPr>
            <m:t>=</m:t>
          </m:r>
          <m:r>
            <w:rPr>
              <w:rFonts w:ascii="Cambria Math" w:hAnsi="Cambria Math"/>
            </w:rPr>
            <m:t>δ</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ab</m:t>
              </m:r>
            </m:sub>
          </m:sSub>
          <m:r>
            <m:rPr>
              <m:sty m:val="p"/>
            </m:rPr>
            <w:rPr>
              <w:rFonts w:ascii="Cambria Math" w:hAnsi="Cambria Math"/>
            </w:rPr>
            <m:t>+</m:t>
          </m:r>
          <m:r>
            <w:rPr>
              <w:rFonts w:ascii="Cambria Math" w:hAnsi="Cambria Math"/>
            </w:rPr>
            <m:t>r</m:t>
          </m:r>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s</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sevb</m:t>
              </m:r>
            </m:sub>
          </m:sSub>
          <m:r>
            <m:rPr>
              <m:sty m:val="p"/>
            </m:rPr>
            <w:rPr>
              <w:rFonts w:ascii="Cambria Math" w:hAnsi="Cambria Math"/>
            </w:rPr>
            <m:t>-</m:t>
          </m:r>
          <m:d>
            <m:dPr>
              <m:ctrlPr>
                <w:rPr>
                  <w:rFonts w:ascii="Cambria Math" w:hAnsi="Cambria Math"/>
                </w:rPr>
              </m:ctrlPr>
            </m:dPr>
            <m:e>
              <m:r>
                <w:rPr>
                  <w:rFonts w:ascii="Cambria Math" w:hAnsi="Cambria Math"/>
                </w:rPr>
                <m:t>ρ</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e>
          </m:d>
          <m:r>
            <w:rPr>
              <w:rFonts w:ascii="Cambria Math" w:hAnsi="Cambria Math"/>
            </w:rPr>
            <m:t> </m:t>
          </m:r>
          <m:sSub>
            <m:sSubPr>
              <m:ctrlPr>
                <w:rPr>
                  <w:rFonts w:ascii="Cambria Math" w:hAnsi="Cambria Math"/>
                </w:rPr>
              </m:ctrlPr>
            </m:sSubPr>
            <m:e>
              <m:r>
                <w:rPr>
                  <w:rFonts w:ascii="Cambria Math" w:hAnsi="Cambria Math"/>
                </w:rPr>
                <m:t>R</m:t>
              </m:r>
            </m:e>
            <m:sub>
              <m:r>
                <w:rPr>
                  <w:rFonts w:ascii="Cambria Math" w:hAnsi="Cambria Math"/>
                </w:rPr>
                <m:t>b</m:t>
              </m:r>
            </m:sub>
          </m:sSub>
        </m:oMath>
      </m:oMathPara>
    </w:p>
    <w:p w14:paraId="7A29A82E" w14:textId="77777777" w:rsidR="00D351E9" w:rsidRPr="00541480" w:rsidRDefault="00713959" w:rsidP="00671D36">
      <w:pPr>
        <w:pStyle w:val="Heading4"/>
        <w:jc w:val="both"/>
        <w:rPr>
          <w:b/>
          <w:bCs/>
          <w:color w:val="auto"/>
        </w:rPr>
      </w:pPr>
      <w:bookmarkStart w:id="5" w:name="under-5-population-under-5"/>
      <w:bookmarkEnd w:id="4"/>
      <w:r w:rsidRPr="00541480">
        <w:rPr>
          <w:b/>
          <w:bCs/>
          <w:color w:val="auto"/>
        </w:rPr>
        <w:t>Under 5 Population (Under 5)</w:t>
      </w:r>
    </w:p>
    <w:p w14:paraId="7A29A82F"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S</m:t>
                  </m:r>
                </m:e>
                <m:sub>
                  <m:r>
                    <w:rPr>
                      <w:rFonts w:ascii="Cambria Math" w:hAnsi="Cambria Math"/>
                    </w:rPr>
                    <m:t>c</m:t>
                  </m:r>
                </m:sub>
              </m:sSub>
            </m:num>
            <m:den>
              <m:r>
                <w:rPr>
                  <w:rFonts w:ascii="Cambria Math" w:hAnsi="Cambria Math"/>
                </w:rPr>
                <m:t>dt</m:t>
              </m:r>
            </m:den>
          </m:f>
          <m:r>
            <m:rPr>
              <m:sty m:val="p"/>
            </m:rPr>
            <w:rPr>
              <w:rFonts w:ascii="Cambria Math" w:hAnsi="Cambria Math"/>
            </w:rPr>
            <m:t>=</m:t>
          </m:r>
          <m:r>
            <w:rPr>
              <w:rFonts w:ascii="Cambria Math" w:hAnsi="Cambria Math"/>
            </w:rPr>
            <m:t>ρ</m:t>
          </m:r>
          <m:r>
            <w:rPr>
              <w:rFonts w:ascii="Cambria Math" w:hAnsi="Cambria Math"/>
            </w:rPr>
            <m:t> </m:t>
          </m:r>
          <m:sSub>
            <m:sSubPr>
              <m:ctrlPr>
                <w:rPr>
                  <w:rFonts w:ascii="Cambria Math" w:hAnsi="Cambria Math"/>
                </w:rPr>
              </m:ctrlPr>
            </m:sSubPr>
            <m:e>
              <m:r>
                <w:rPr>
                  <w:rFonts w:ascii="Cambria Math" w:hAnsi="Cambria Math"/>
                </w:rPr>
                <m:t>R</m:t>
              </m:r>
            </m:e>
            <m:sub>
              <m:r>
                <w:rPr>
                  <w:rFonts w:ascii="Cambria Math" w:hAnsi="Cambria Math"/>
                </w:rPr>
                <m:t>c</m:t>
              </m:r>
            </m:sub>
          </m:sSub>
          <m:r>
            <m:rPr>
              <m:sty m:val="p"/>
            </m:rPr>
            <w:rPr>
              <w:rFonts w:ascii="Cambria Math" w:hAnsi="Cambria Math"/>
            </w:rPr>
            <m:t>-</m:t>
          </m:r>
          <m:r>
            <w:rPr>
              <w:rFonts w:ascii="Cambria Math" w:hAnsi="Cambria Math"/>
            </w:rPr>
            <m:t>λ</m:t>
          </m:r>
          <m:r>
            <w:rPr>
              <w:rFonts w:ascii="Cambria Math" w:hAnsi="Cambria Math"/>
            </w:rPr>
            <m:t> </m:t>
          </m:r>
          <m:sSub>
            <m:sSubPr>
              <m:ctrlPr>
                <w:rPr>
                  <w:rFonts w:ascii="Cambria Math" w:hAnsi="Cambria Math"/>
                </w:rPr>
              </m:ctrlPr>
            </m:sSubPr>
            <m:e>
              <m:r>
                <w:rPr>
                  <w:rFonts w:ascii="Cambria Math" w:hAnsi="Cambria Math"/>
                </w:rPr>
                <m:t>S</m:t>
              </m:r>
            </m:e>
            <m:sub>
              <m:r>
                <w:rPr>
                  <w:rFonts w:ascii="Cambria Math" w:hAnsi="Cambria Math"/>
                </w:rPr>
                <m:t>c</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μ</m:t>
                  </m:r>
                </m:e>
                <m:sub>
                  <m:r>
                    <w:rPr>
                      <w:rFonts w:ascii="Cambria Math" w:hAnsi="Cambria Math"/>
                    </w:rPr>
                    <m:t>h</m:t>
                  </m:r>
                </m:sub>
              </m:sSub>
              <m:r>
                <w:rPr>
                  <w:rFonts w:ascii="Cambria Math" w:hAnsi="Cambria Math"/>
                </w:rPr>
                <m:t> </m:t>
              </m:r>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e>
          </m:d>
          <m:sSub>
            <m:sSubPr>
              <m:ctrlPr>
                <w:rPr>
                  <w:rFonts w:ascii="Cambria Math" w:hAnsi="Cambria Math"/>
                </w:rPr>
              </m:ctrlPr>
            </m:sSubPr>
            <m:e>
              <m:r>
                <w:rPr>
                  <w:rFonts w:ascii="Cambria Math" w:hAnsi="Cambria Math"/>
                </w:rPr>
                <m:t>S</m:t>
              </m:r>
            </m:e>
            <m:sub>
              <m:r>
                <w:rPr>
                  <w:rFonts w:ascii="Cambria Math" w:hAnsi="Cambria Math"/>
                </w:rPr>
                <m:t>c</m:t>
              </m:r>
            </m:sub>
          </m:sSub>
          <m:r>
            <w:rPr>
              <w:rFonts w:ascii="Cambria Math" w:hAnsi="Cambria Math"/>
            </w:rPr>
            <m:t> </m:t>
          </m:r>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r>
            <w:rPr>
              <w:rFonts w:ascii="Cambria Math" w:hAnsi="Cambria Math"/>
            </w:rPr>
            <m:t> </m:t>
          </m:r>
          <m:sSub>
            <m:sSubPr>
              <m:ctrlPr>
                <w:rPr>
                  <w:rFonts w:ascii="Cambria Math" w:hAnsi="Cambria Math"/>
                </w:rPr>
              </m:ctrlPr>
            </m:sSubPr>
            <m:e>
              <m:r>
                <w:rPr>
                  <w:rFonts w:ascii="Cambria Math" w:hAnsi="Cambria Math"/>
                </w:rPr>
                <m:t>S</m:t>
              </m:r>
            </m:e>
            <m:sub>
              <m:r>
                <w:rPr>
                  <w:rFonts w:ascii="Cambria Math" w:hAnsi="Cambria Math"/>
                </w:rPr>
                <m:t>b</m:t>
              </m:r>
            </m:sub>
          </m:sSub>
          <m:r>
            <w:rPr>
              <w:rFonts w:ascii="Cambria Math" w:hAnsi="Cambria Math"/>
            </w:rPr>
            <m:t> </m:t>
          </m:r>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v</m:t>
                  </m:r>
                </m:e>
                <m:sub>
                  <m:r>
                    <w:rPr>
                      <w:rFonts w:ascii="Cambria Math" w:hAnsi="Cambria Math"/>
                    </w:rPr>
                    <m:t>2</m:t>
                  </m:r>
                </m:sub>
              </m:sSub>
            </m:e>
          </m:d>
          <m:r>
            <w:rPr>
              <w:rFonts w:ascii="Cambria Math" w:hAnsi="Cambria Math"/>
            </w:rPr>
            <m:t> </m:t>
          </m:r>
          <m:sSub>
            <m:sSubPr>
              <m:ctrlPr>
                <w:rPr>
                  <w:rFonts w:ascii="Cambria Math" w:hAnsi="Cambria Math"/>
                </w:rPr>
              </m:ctrlPr>
            </m:sSubPr>
            <m:e>
              <m:r>
                <w:rPr>
                  <w:rFonts w:ascii="Cambria Math" w:hAnsi="Cambria Math"/>
                </w:rPr>
                <m:t>θ</m:t>
              </m:r>
            </m:e>
            <m:sub>
              <m:r>
                <w:rPr>
                  <w:rFonts w:ascii="Cambria Math" w:hAnsi="Cambria Math"/>
                </w:rPr>
                <m:t>1</m:t>
              </m:r>
            </m:sub>
          </m:sSub>
          <m:r>
            <w:rPr>
              <w:rFonts w:ascii="Cambria Math" w:hAnsi="Cambria Math"/>
            </w:rPr>
            <m:t> </m:t>
          </m:r>
          <m:sSub>
            <m:sSubPr>
              <m:ctrlPr>
                <w:rPr>
                  <w:rFonts w:ascii="Cambria Math" w:hAnsi="Cambria Math"/>
                </w:rPr>
              </m:ctrlPr>
            </m:sSubPr>
            <m:e>
              <m:r>
                <w:rPr>
                  <w:rFonts w:ascii="Cambria Math" w:hAnsi="Cambria Math"/>
                </w:rPr>
                <m:t>V</m:t>
              </m:r>
            </m:e>
            <m:sub>
              <m:r>
                <w:rPr>
                  <w:rFonts w:ascii="Cambria Math" w:hAnsi="Cambria Math"/>
                </w:rPr>
                <m:t>b</m:t>
              </m:r>
            </m:sub>
          </m:sSub>
        </m:oMath>
      </m:oMathPara>
    </w:p>
    <w:p w14:paraId="7A29A830"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V</m:t>
                  </m:r>
                </m:e>
                <m:sub>
                  <m:r>
                    <w:rPr>
                      <w:rFonts w:ascii="Cambria Math" w:hAnsi="Cambria Math"/>
                    </w:rPr>
                    <m:t>c</m:t>
                  </m:r>
                </m:sub>
              </m:sSub>
            </m:num>
            <m:den>
              <m:r>
                <w:rPr>
                  <w:rFonts w:ascii="Cambria Math" w:hAnsi="Cambria Math"/>
                </w:rPr>
                <m:t>dt</m:t>
              </m:r>
            </m:den>
          </m:f>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θ</m:t>
              </m:r>
            </m:e>
            <m:sub>
              <m:r>
                <w:rPr>
                  <w:rFonts w:ascii="Cambria Math" w:hAnsi="Cambria Math"/>
                </w:rPr>
                <m:t>1</m:t>
              </m:r>
            </m:sub>
          </m:sSub>
          <m:r>
            <w:rPr>
              <w:rFonts w:ascii="Cambria Math" w:hAnsi="Cambria Math"/>
            </w:rPr>
            <m:t> </m:t>
          </m:r>
          <m:sSub>
            <m:sSubPr>
              <m:ctrlPr>
                <w:rPr>
                  <w:rFonts w:ascii="Cambria Math" w:hAnsi="Cambria Math"/>
                </w:rPr>
              </m:ctrlPr>
            </m:sSubPr>
            <m:e>
              <m:r>
                <w:rPr>
                  <w:rFonts w:ascii="Cambria Math" w:hAnsi="Cambria Math"/>
                </w:rPr>
                <m:t>V</m:t>
              </m:r>
            </m:e>
            <m:sub>
              <m:r>
                <w:rPr>
                  <w:rFonts w:ascii="Cambria Math" w:hAnsi="Cambria Math"/>
                </w:rPr>
                <m:t>b</m:t>
              </m:r>
            </m:sub>
          </m:sSub>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ϵ</m:t>
              </m:r>
            </m:e>
          </m:d>
          <m:r>
            <w:rPr>
              <w:rFonts w:ascii="Cambria Math" w:hAnsi="Cambria Math"/>
            </w:rPr>
            <m:t> </m:t>
          </m:r>
          <m:r>
            <w:rPr>
              <w:rFonts w:ascii="Cambria Math" w:hAnsi="Cambria Math"/>
            </w:rPr>
            <m:t>λ</m:t>
          </m:r>
          <m:r>
            <w:rPr>
              <w:rFonts w:ascii="Cambria Math" w:hAnsi="Cambria Math"/>
            </w:rPr>
            <m:t> </m:t>
          </m:r>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e>
          </m:d>
          <m:r>
            <w:rPr>
              <w:rFonts w:ascii="Cambria Math" w:hAnsi="Cambria Math"/>
            </w:rPr>
            <m:t>Vc</m:t>
          </m:r>
        </m:oMath>
      </m:oMathPara>
    </w:p>
    <w:p w14:paraId="7A29A831"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E</m:t>
                  </m:r>
                </m:e>
                <m:sub>
                  <m:r>
                    <w:rPr>
                      <w:rFonts w:ascii="Cambria Math" w:hAnsi="Cambria Math"/>
                    </w:rPr>
                    <m:t>vc</m:t>
                  </m:r>
                </m:sub>
              </m:sSub>
            </m:num>
            <m:den>
              <m:r>
                <w:rPr>
                  <w:rFonts w:ascii="Cambria Math" w:hAnsi="Cambria Math"/>
                </w:rPr>
                <m:t>dt</m:t>
              </m:r>
            </m:den>
          </m:f>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r>
                <w:rPr>
                  <w:rFonts w:ascii="Cambria Math" w:hAnsi="Cambria Math"/>
                </w:rPr>
                <m:t>ϵ</m:t>
              </m:r>
            </m:e>
          </m:d>
          <m:r>
            <w:rPr>
              <w:rFonts w:ascii="Cambria Math" w:hAnsi="Cambria Math"/>
            </w:rPr>
            <m:t> </m:t>
          </m:r>
          <m:r>
            <w:rPr>
              <w:rFonts w:ascii="Cambria Math" w:hAnsi="Cambria Math"/>
            </w:rPr>
            <m:t>λ</m:t>
          </m:r>
          <m:r>
            <w:rPr>
              <w:rFonts w:ascii="Cambria Math" w:hAnsi="Cambria Math"/>
            </w:rPr>
            <m:t> </m:t>
          </m:r>
          <m:sSub>
            <m:sSubPr>
              <m:ctrlPr>
                <w:rPr>
                  <w:rFonts w:ascii="Cambria Math" w:hAnsi="Cambria Math"/>
                </w:rPr>
              </m:ctrlPr>
            </m:sSubPr>
            <m:e>
              <m:r>
                <w:rPr>
                  <w:rFonts w:ascii="Cambria Math" w:hAnsi="Cambria Math"/>
                </w:rPr>
                <m:t>V</m:t>
              </m:r>
            </m:e>
            <m:sub>
              <m:r>
                <w:rPr>
                  <w:rFonts w:ascii="Cambria Math" w:hAnsi="Cambria Math"/>
                </w:rPr>
                <m:t>c</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γ</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e>
          </m:d>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vc</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vb</m:t>
              </m:r>
            </m:sub>
          </m:sSub>
        </m:oMath>
      </m:oMathPara>
    </w:p>
    <w:p w14:paraId="7A29A832"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E</m:t>
                  </m:r>
                </m:e>
                <m:sub>
                  <m:r>
                    <w:rPr>
                      <w:rFonts w:ascii="Cambria Math" w:hAnsi="Cambria Math"/>
                    </w:rPr>
                    <m:t>c</m:t>
                  </m:r>
                </m:sub>
              </m:sSub>
            </m:num>
            <m:den>
              <m:r>
                <w:rPr>
                  <w:rFonts w:ascii="Cambria Math" w:hAnsi="Cambria Math"/>
                </w:rPr>
                <m:t>dt</m:t>
              </m:r>
            </m:den>
          </m:f>
          <m:r>
            <m:rPr>
              <m:sty m:val="p"/>
            </m:rPr>
            <w:rPr>
              <w:rFonts w:ascii="Cambria Math" w:hAnsi="Cambria Math"/>
            </w:rPr>
            <m:t>=</m:t>
          </m:r>
          <m:r>
            <w:rPr>
              <w:rFonts w:ascii="Cambria Math" w:hAnsi="Cambria Math"/>
            </w:rPr>
            <m:t>λSc</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γ</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e>
          </m:d>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sSub>
            <m:sSubPr>
              <m:ctrlPr>
                <w:rPr>
                  <w:rFonts w:ascii="Cambria Math" w:hAnsi="Cambria Math"/>
                </w:rPr>
              </m:ctrlPr>
            </m:sSubPr>
            <m:e>
              <m:r>
                <w:rPr>
                  <w:rFonts w:ascii="Cambria Math" w:hAnsi="Cambria Math"/>
                </w:rPr>
                <m:t>E</m:t>
              </m:r>
            </m:e>
            <m:sub>
              <m:r>
                <w:rPr>
                  <w:rFonts w:ascii="Cambria Math" w:hAnsi="Cambria Math"/>
                </w:rPr>
                <m:t>b</m:t>
              </m:r>
            </m:sub>
          </m:sSub>
        </m:oMath>
      </m:oMathPara>
    </w:p>
    <w:p w14:paraId="7A29A833"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ac</m:t>
                  </m:r>
                </m:sub>
              </m:sSub>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vc</m:t>
              </m:r>
            </m:sub>
          </m:sSub>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m:t>
                  </m:r>
                  <m:sSub>
                    <m:sSubPr>
                      <m:ctrlPr>
                        <w:rPr>
                          <w:rFonts w:ascii="Cambria Math" w:hAnsi="Cambria Math"/>
                        </w:rPr>
                      </m:ctrlPr>
                    </m:sSubPr>
                    <m:e>
                      <m:r>
                        <w:rPr>
                          <w:rFonts w:ascii="Cambria Math" w:hAnsi="Cambria Math"/>
                        </w:rPr>
                        <m:t>t</m:t>
                      </m:r>
                    </m:e>
                    <m:sub>
                      <m:r>
                        <w:rPr>
                          <w:rFonts w:ascii="Cambria Math" w:hAnsi="Cambria Math"/>
                        </w:rPr>
                        <m:t>c</m:t>
                      </m:r>
                    </m:sub>
                  </m:sSub>
                </m:sub>
              </m:sSub>
            </m:e>
          </m:d>
          <m:r>
            <w:rPr>
              <w:rFonts w:ascii="Cambria Math" w:hAnsi="Cambria Math"/>
            </w:rPr>
            <m:t> </m:t>
          </m:r>
          <m:r>
            <w:rPr>
              <w:rFonts w:ascii="Cambria Math" w:hAnsi="Cambria Math"/>
            </w:rPr>
            <m:t>ω</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unc</m:t>
              </m:r>
            </m:sub>
          </m:sSub>
          <m:r>
            <m:rPr>
              <m:sty m:val="p"/>
            </m:rPr>
            <w:rPr>
              <w:rFonts w:ascii="Cambria Math" w:hAnsi="Cambria Math"/>
            </w:rPr>
            <m:t>-</m:t>
          </m:r>
          <m:d>
            <m:dPr>
              <m:ctrlPr>
                <w:rPr>
                  <w:rFonts w:ascii="Cambria Math" w:hAnsi="Cambria Math"/>
                </w:rPr>
              </m:ctrlPr>
            </m:dPr>
            <m:e>
              <m:r>
                <w:rPr>
                  <w:rFonts w:ascii="Cambria Math" w:hAnsi="Cambria Math"/>
                </w:rPr>
                <m:t>δ</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e>
          </m:d>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ac</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ab</m:t>
              </m:r>
            </m:sub>
          </m:sSub>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ν</m:t>
                  </m:r>
                </m:e>
                <m:sub>
                  <m:r>
                    <w:rPr>
                      <w:rFonts w:ascii="Cambria Math" w:hAnsi="Cambria Math"/>
                    </w:rPr>
                    <m:t>u</m:t>
                  </m:r>
                  <m:r>
                    <w:rPr>
                      <w:rFonts w:ascii="Cambria Math" w:hAnsi="Cambria Math"/>
                    </w:rPr>
                    <m:t>2</m:t>
                  </m:r>
                </m:sub>
              </m:sSub>
            </m:e>
          </m:d>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e>
          </m:d>
          <m:r>
            <w:rPr>
              <w:rFonts w:ascii="Cambria Math" w:hAnsi="Cambria Math"/>
            </w:rPr>
            <m:t> </m:t>
          </m:r>
          <m:sSub>
            <m:sSubPr>
              <m:ctrlPr>
                <w:rPr>
                  <w:rFonts w:ascii="Cambria Math" w:hAnsi="Cambria Math"/>
                </w:rPr>
              </m:ctrlPr>
            </m:sSubPr>
            <m:e>
              <m:r>
                <w:rPr>
                  <w:rFonts w:ascii="Cambria Math" w:hAnsi="Cambria Math"/>
                </w:rPr>
                <m:t>p</m:t>
              </m:r>
            </m:e>
            <m:sub>
              <m:r>
                <w:rPr>
                  <w:rFonts w:ascii="Cambria Math" w:hAnsi="Cambria Math"/>
                </w:rPr>
                <m:t>u</m:t>
              </m:r>
            </m:sub>
          </m:sSub>
          <m:sSub>
            <m:sSubPr>
              <m:ctrlPr>
                <w:rPr>
                  <w:rFonts w:ascii="Cambria Math" w:hAnsi="Cambria Math"/>
                </w:rPr>
              </m:ctrlPr>
            </m:sSubPr>
            <m:e>
              <m:r>
                <w:rPr>
                  <w:rFonts w:ascii="Cambria Math" w:hAnsi="Cambria Math"/>
                </w:rPr>
                <m:t>γ</m:t>
              </m:r>
            </m:e>
            <m:sub>
              <m:r>
                <w:rPr>
                  <w:rFonts w:ascii="Cambria Math" w:hAnsi="Cambria Math"/>
                </w:rPr>
                <m:t>h</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vc</m:t>
              </m:r>
            </m:sub>
          </m:sSub>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ν</m:t>
                  </m:r>
                </m:e>
                <m:sub>
                  <m:r>
                    <w:rPr>
                      <w:rFonts w:ascii="Cambria Math" w:hAnsi="Cambria Math"/>
                    </w:rPr>
                    <m:t>s</m:t>
                  </m:r>
                  <m:r>
                    <w:rPr>
                      <w:rFonts w:ascii="Cambria Math" w:hAnsi="Cambria Math"/>
                    </w:rPr>
                    <m:t>2</m:t>
                  </m:r>
                </m:sub>
              </m:sSub>
            </m:e>
          </m:d>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u</m:t>
                  </m:r>
                </m:sub>
              </m:sSub>
            </m:e>
          </m:d>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vc</m:t>
              </m:r>
            </m:sub>
          </m:sSub>
        </m:oMath>
      </m:oMathPara>
    </w:p>
    <w:p w14:paraId="7A29A834"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unc</m:t>
                  </m:r>
                </m:sub>
              </m:sSub>
            </m:num>
            <m:den>
              <m:r>
                <w:rPr>
                  <w:rFonts w:ascii="Cambria Math" w:hAnsi="Cambria Math"/>
                </w:rPr>
                <m:t>dt</m:t>
              </m:r>
            </m:den>
          </m:f>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u</m:t>
                  </m:r>
                </m:sub>
              </m:sSub>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c</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ν</m:t>
                  </m:r>
                </m:e>
                <m:sub>
                  <m:r>
                    <w:rPr>
                      <w:rFonts w:ascii="Cambria Math" w:hAnsi="Cambria Math"/>
                    </w:rPr>
                    <m:t>u</m:t>
                  </m:r>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p</m:t>
                  </m:r>
                </m:e>
                <m:sub>
                  <m:r>
                    <w:rPr>
                      <w:rFonts w:ascii="Cambria Math" w:hAnsi="Cambria Math"/>
                    </w:rPr>
                    <m:t>u</m:t>
                  </m:r>
                </m:sub>
              </m:sSub>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vc</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m:t>
              </m:r>
              <m:sSub>
                <m:sSubPr>
                  <m:ctrlPr>
                    <w:rPr>
                      <w:rFonts w:ascii="Cambria Math" w:hAnsi="Cambria Math"/>
                    </w:rPr>
                  </m:ctrlPr>
                </m:sSubPr>
                <m:e>
                  <m:r>
                    <w:rPr>
                      <w:rFonts w:ascii="Cambria Math" w:hAnsi="Cambria Math"/>
                    </w:rPr>
                    <m:t>t</m:t>
                  </m:r>
                </m:e>
                <m:sub>
                  <m:r>
                    <w:rPr>
                      <w:rFonts w:ascii="Cambria Math" w:hAnsi="Cambria Math"/>
                    </w:rPr>
                    <m:t>c</m:t>
                  </m:r>
                </m:sub>
              </m:sSub>
            </m:sub>
          </m:sSub>
          <m:r>
            <w:rPr>
              <w:rFonts w:ascii="Cambria Math" w:hAnsi="Cambria Math"/>
            </w:rPr>
            <m:t> </m:t>
          </m:r>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unc</m:t>
              </m:r>
            </m:sub>
          </m:sSub>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m:t>
                  </m:r>
                  <m:sSub>
                    <m:sSubPr>
                      <m:ctrlPr>
                        <w:rPr>
                          <w:rFonts w:ascii="Cambria Math" w:hAnsi="Cambria Math"/>
                        </w:rPr>
                      </m:ctrlPr>
                    </m:sSubPr>
                    <m:e>
                      <m:r>
                        <w:rPr>
                          <w:rFonts w:ascii="Cambria Math" w:hAnsi="Cambria Math"/>
                        </w:rPr>
                        <m:t>t</m:t>
                      </m:r>
                    </m:e>
                    <m:sub>
                      <m:r>
                        <w:rPr>
                          <w:rFonts w:ascii="Cambria Math" w:hAnsi="Cambria Math"/>
                        </w:rPr>
                        <m:t>c</m:t>
                      </m:r>
                    </m:sub>
                  </m:sSub>
                </m:sub>
              </m:sSub>
            </m:e>
          </m:d>
          <m:r>
            <w:rPr>
              <w:rFonts w:ascii="Cambria Math" w:hAnsi="Cambria Math"/>
            </w:rPr>
            <m:t> </m:t>
          </m:r>
          <m:r>
            <w:rPr>
              <w:rFonts w:ascii="Cambria Math" w:hAnsi="Cambria Math"/>
            </w:rPr>
            <m:t>ω</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unc</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e>
          </m:d>
          <m:r>
            <w:rPr>
              <w:rFonts w:ascii="Cambria Math" w:hAnsi="Cambria Math"/>
            </w:rPr>
            <m:t> </m:t>
          </m:r>
          <m:r>
            <w:rPr>
              <w:rFonts w:ascii="Cambria Math" w:hAnsi="Cambria Math"/>
            </w:rPr>
            <m:t>Iunc</m:t>
          </m:r>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unb</m:t>
              </m:r>
            </m:sub>
          </m:sSub>
        </m:oMath>
      </m:oMathPara>
    </w:p>
    <w:p w14:paraId="7A29A835"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T</m:t>
                  </m:r>
                </m:e>
                <m:sub>
                  <m:r>
                    <w:rPr>
                      <w:rFonts w:ascii="Cambria Math" w:hAnsi="Cambria Math"/>
                    </w:rPr>
                    <m:t>c</m:t>
                  </m:r>
                </m:sub>
              </m:sSub>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m:t>
              </m:r>
              <m:sSub>
                <m:sSubPr>
                  <m:ctrlPr>
                    <w:rPr>
                      <w:rFonts w:ascii="Cambria Math" w:hAnsi="Cambria Math"/>
                    </w:rPr>
                  </m:ctrlPr>
                </m:sSubPr>
                <m:e>
                  <m:r>
                    <w:rPr>
                      <w:rFonts w:ascii="Cambria Math" w:hAnsi="Cambria Math"/>
                    </w:rPr>
                    <m:t>t</m:t>
                  </m:r>
                </m:e>
                <m:sub>
                  <m:r>
                    <w:rPr>
                      <w:rFonts w:ascii="Cambria Math" w:hAnsi="Cambria Math"/>
                    </w:rPr>
                    <m:t>c</m:t>
                  </m:r>
                </m:sub>
              </m:sSub>
            </m:sub>
          </m:sSub>
          <m:r>
            <w:rPr>
              <w:rFonts w:ascii="Cambria Math" w:hAnsi="Cambria Math"/>
            </w:rPr>
            <m:t> </m:t>
          </m:r>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unc</m:t>
              </m:r>
            </m:sub>
          </m:sSub>
          <m:r>
            <m:rPr>
              <m:sty m:val="p"/>
            </m:rPr>
            <w:rPr>
              <w:rFonts w:ascii="Cambria Math" w:hAnsi="Cambria Math"/>
            </w:rPr>
            <m:t>-</m:t>
          </m:r>
          <m:d>
            <m:dPr>
              <m:ctrlPr>
                <w:rPr>
                  <w:rFonts w:ascii="Cambria Math" w:hAnsi="Cambria Math"/>
                </w:rPr>
              </m:ctrlPr>
            </m:dPr>
            <m:e>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e>
          </m:d>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b</m:t>
              </m:r>
            </m:sub>
          </m:sSub>
        </m:oMath>
      </m:oMathPara>
    </w:p>
    <w:p w14:paraId="7A29A836"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sevc</m:t>
                  </m:r>
                </m:sub>
              </m:sSub>
            </m:num>
            <m:den>
              <m:r>
                <w:rPr>
                  <w:rFonts w:ascii="Cambria Math" w:hAnsi="Cambria Math"/>
                </w:rPr>
                <m:t>dt</m:t>
              </m:r>
            </m:den>
          </m:f>
          <m:r>
            <m:rPr>
              <m:sty m:val="p"/>
            </m:rPr>
            <w:rPr>
              <w:rFonts w:ascii="Cambria Math" w:hAnsi="Cambria Math"/>
            </w:rPr>
            <m:t>=</m:t>
          </m:r>
          <m:d>
            <m:dPr>
              <m:ctrlPr>
                <w:rPr>
                  <w:rFonts w:ascii="Cambria Math" w:hAnsi="Cambria Math"/>
                </w:rPr>
              </m:ctrlPr>
            </m:dPr>
            <m:e>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u</m:t>
                      </m:r>
                    </m:sub>
                  </m:sSub>
                </m:e>
              </m:d>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c</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ν</m:t>
                  </m:r>
                </m:e>
                <m:sub>
                  <m:r>
                    <w:rPr>
                      <w:rFonts w:ascii="Cambria Math" w:hAnsi="Cambria Math"/>
                    </w:rPr>
                    <m:t>s</m:t>
                  </m:r>
                  <m:r>
                    <w:rPr>
                      <w:rFonts w:ascii="Cambria Math" w:hAnsi="Cambria Math"/>
                    </w:rPr>
                    <m:t>2</m:t>
                  </m:r>
                </m:sub>
              </m:sSub>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u</m:t>
                      </m:r>
                    </m:sub>
                  </m:sSub>
                </m:e>
              </m:d>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vc</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s</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e>
          </m:d>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sevc</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sevb</m:t>
              </m:r>
            </m:sub>
          </m:sSub>
        </m:oMath>
      </m:oMathPara>
    </w:p>
    <w:p w14:paraId="7A29A837"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R</m:t>
                  </m:r>
                </m:e>
                <m:sub>
                  <m:r>
                    <w:rPr>
                      <w:rFonts w:ascii="Cambria Math" w:hAnsi="Cambria Math"/>
                    </w:rPr>
                    <m:t>c</m:t>
                  </m:r>
                </m:sub>
              </m:sSub>
            </m:num>
            <m:den>
              <m:r>
                <w:rPr>
                  <w:rFonts w:ascii="Cambria Math" w:hAnsi="Cambria Math"/>
                </w:rPr>
                <m:t>dt</m:t>
              </m:r>
            </m:den>
          </m:f>
          <m:r>
            <m:rPr>
              <m:sty m:val="p"/>
            </m:rPr>
            <w:rPr>
              <w:rFonts w:ascii="Cambria Math" w:hAnsi="Cambria Math"/>
            </w:rPr>
            <m:t>=</m:t>
          </m:r>
          <m:r>
            <w:rPr>
              <w:rFonts w:ascii="Cambria Math" w:hAnsi="Cambria Math"/>
            </w:rPr>
            <m:t>δ</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ac</m:t>
              </m:r>
            </m:sub>
          </m:sSub>
          <m:r>
            <m:rPr>
              <m:sty m:val="p"/>
            </m:rPr>
            <w:rPr>
              <w:rFonts w:ascii="Cambria Math" w:hAnsi="Cambria Math"/>
            </w:rPr>
            <m:t>+</m:t>
          </m:r>
          <m:r>
            <w:rPr>
              <w:rFonts w:ascii="Cambria Math" w:hAnsi="Cambria Math"/>
            </w:rPr>
            <m:t>r</m:t>
          </m:r>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s</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sevc</m:t>
              </m:r>
            </m:sub>
          </m:sSub>
          <m:r>
            <m:rPr>
              <m:sty m:val="p"/>
            </m:rPr>
            <w:rPr>
              <w:rFonts w:ascii="Cambria Math" w:hAnsi="Cambria Math"/>
            </w:rPr>
            <m:t>-</m:t>
          </m:r>
          <m:d>
            <m:dPr>
              <m:ctrlPr>
                <w:rPr>
                  <w:rFonts w:ascii="Cambria Math" w:hAnsi="Cambria Math"/>
                </w:rPr>
              </m:ctrlPr>
            </m:dPr>
            <m:e>
              <m:r>
                <w:rPr>
                  <w:rFonts w:ascii="Cambria Math" w:hAnsi="Cambria Math"/>
                </w:rPr>
                <m:t>ρ</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e>
          </m:d>
          <m:r>
            <w:rPr>
              <w:rFonts w:ascii="Cambria Math" w:hAnsi="Cambria Math"/>
            </w:rPr>
            <m:t> </m:t>
          </m:r>
          <m:r>
            <w:rPr>
              <w:rFonts w:ascii="Cambria Math" w:hAnsi="Cambria Math"/>
            </w:rPr>
            <m:t>Rc</m:t>
          </m:r>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r>
            <w:rPr>
              <w:rFonts w:ascii="Cambria Math" w:hAnsi="Cambria Math"/>
            </w:rPr>
            <m:t> </m:t>
          </m:r>
          <m:sSub>
            <m:sSubPr>
              <m:ctrlPr>
                <w:rPr>
                  <w:rFonts w:ascii="Cambria Math" w:hAnsi="Cambria Math"/>
                </w:rPr>
              </m:ctrlPr>
            </m:sSubPr>
            <m:e>
              <m:r>
                <w:rPr>
                  <w:rFonts w:ascii="Cambria Math" w:hAnsi="Cambria Math"/>
                </w:rPr>
                <m:t>R</m:t>
              </m:r>
            </m:e>
            <m:sub>
              <m:r>
                <w:rPr>
                  <w:rFonts w:ascii="Cambria Math" w:hAnsi="Cambria Math"/>
                </w:rPr>
                <m:t>b</m:t>
              </m:r>
            </m:sub>
          </m:sSub>
        </m:oMath>
      </m:oMathPara>
    </w:p>
    <w:p w14:paraId="7A29A838" w14:textId="77777777" w:rsidR="00D351E9" w:rsidRPr="00541480" w:rsidRDefault="00713959" w:rsidP="00671D36">
      <w:pPr>
        <w:pStyle w:val="Heading4"/>
        <w:jc w:val="both"/>
        <w:rPr>
          <w:b/>
          <w:bCs/>
          <w:color w:val="auto"/>
        </w:rPr>
      </w:pPr>
      <w:bookmarkStart w:id="6" w:name="rest-of-the-population-over-5"/>
      <w:bookmarkEnd w:id="5"/>
      <w:r w:rsidRPr="00541480">
        <w:rPr>
          <w:b/>
          <w:bCs/>
          <w:color w:val="auto"/>
        </w:rPr>
        <w:t>Rest of the Population (Over 5)</w:t>
      </w:r>
    </w:p>
    <w:p w14:paraId="7A29A839"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S</m:t>
                  </m:r>
                </m:e>
                <m:sub>
                  <m:r>
                    <w:rPr>
                      <w:rFonts w:ascii="Cambria Math" w:hAnsi="Cambria Math"/>
                    </w:rPr>
                    <m:t>a</m:t>
                  </m:r>
                </m:sub>
              </m:sSub>
            </m:num>
            <m:den>
              <m:r>
                <w:rPr>
                  <w:rFonts w:ascii="Cambria Math" w:hAnsi="Cambria Math"/>
                </w:rPr>
                <m:t>dt</m:t>
              </m:r>
            </m:den>
          </m:f>
          <m:r>
            <m:rPr>
              <m:sty m:val="p"/>
            </m:rPr>
            <w:rPr>
              <w:rFonts w:ascii="Cambria Math" w:hAnsi="Cambria Math"/>
            </w:rPr>
            <m:t>=</m:t>
          </m:r>
          <m:r>
            <w:rPr>
              <w:rFonts w:ascii="Cambria Math" w:hAnsi="Cambria Math"/>
            </w:rPr>
            <m:t>ρ</m:t>
          </m:r>
          <m:r>
            <w:rPr>
              <w:rFonts w:ascii="Cambria Math" w:hAnsi="Cambria Math"/>
            </w:rPr>
            <m:t> </m:t>
          </m:r>
          <m:sSub>
            <m:sSubPr>
              <m:ctrlPr>
                <w:rPr>
                  <w:rFonts w:ascii="Cambria Math" w:hAnsi="Cambria Math"/>
                </w:rPr>
              </m:ctrlPr>
            </m:sSubPr>
            <m:e>
              <m:r>
                <w:rPr>
                  <w:rFonts w:ascii="Cambria Math" w:hAnsi="Cambria Math"/>
                </w:rPr>
                <m:t>R</m:t>
              </m:r>
            </m:e>
            <m:sub>
              <m:r>
                <w:rPr>
                  <w:rFonts w:ascii="Cambria Math" w:hAnsi="Cambria Math"/>
                </w:rPr>
                <m:t>a</m:t>
              </m:r>
            </m:sub>
          </m:sSub>
          <m:r>
            <m:rPr>
              <m:sty m:val="p"/>
            </m:rPr>
            <w:rPr>
              <w:rFonts w:ascii="Cambria Math" w:hAnsi="Cambria Math"/>
            </w:rPr>
            <m:t>-</m:t>
          </m:r>
          <m:d>
            <m:dPr>
              <m:ctrlPr>
                <w:rPr>
                  <w:rFonts w:ascii="Cambria Math" w:hAnsi="Cambria Math"/>
                </w:rPr>
              </m:ctrlPr>
            </m:dPr>
            <m:e>
              <m:r>
                <w:rPr>
                  <w:rFonts w:ascii="Cambria Math" w:hAnsi="Cambria Math"/>
                </w:rPr>
                <m:t>λ</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S</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S</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V</m:t>
              </m:r>
            </m:e>
            <m:sub>
              <m:r>
                <w:rPr>
                  <w:rFonts w:ascii="Cambria Math" w:hAnsi="Cambria Math"/>
                </w:rPr>
                <m:t>c</m:t>
              </m:r>
            </m:sub>
          </m:sSub>
        </m:oMath>
      </m:oMathPara>
    </w:p>
    <w:p w14:paraId="7A29A83A"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E</m:t>
                  </m:r>
                </m:e>
                <m:sub>
                  <m:r>
                    <w:rPr>
                      <w:rFonts w:ascii="Cambria Math" w:hAnsi="Cambria Math"/>
                    </w:rPr>
                    <m:t>a</m:t>
                  </m:r>
                </m:sub>
              </m:sSub>
            </m:num>
            <m:den>
              <m:r>
                <w:rPr>
                  <w:rFonts w:ascii="Cambria Math" w:hAnsi="Cambria Math"/>
                </w:rPr>
                <m:t>dt</m:t>
              </m:r>
            </m:den>
          </m:f>
          <m:r>
            <m:rPr>
              <m:sty m:val="p"/>
            </m:rPr>
            <w:rPr>
              <w:rFonts w:ascii="Cambria Math" w:hAnsi="Cambria Math"/>
            </w:rPr>
            <m:t>=</m:t>
          </m:r>
          <m:r>
            <w:rPr>
              <w:rFonts w:ascii="Cambria Math" w:hAnsi="Cambria Math"/>
            </w:rPr>
            <m:t>λ</m:t>
          </m:r>
          <m:r>
            <w:rPr>
              <w:rFonts w:ascii="Cambria Math" w:hAnsi="Cambria Math"/>
            </w:rPr>
            <m:t> </m:t>
          </m:r>
          <m:sSub>
            <m:sSubPr>
              <m:ctrlPr>
                <w:rPr>
                  <w:rFonts w:ascii="Cambria Math" w:hAnsi="Cambria Math"/>
                </w:rPr>
              </m:ctrlPr>
            </m:sSubPr>
            <m:e>
              <m:r>
                <w:rPr>
                  <w:rFonts w:ascii="Cambria Math" w:hAnsi="Cambria Math"/>
                </w:rPr>
                <m:t>S</m:t>
              </m:r>
            </m:e>
            <m:sub>
              <m:r>
                <w:rPr>
                  <w:rFonts w:ascii="Cambria Math" w:hAnsi="Cambria Math"/>
                </w:rPr>
                <m:t>a</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γ</m:t>
                  </m:r>
                </m:e>
                <m:sub>
                  <m:r>
                    <w:rPr>
                      <w:rFonts w:ascii="Cambria Math" w:hAnsi="Cambria Math"/>
                    </w:rPr>
                    <m:t>h</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c</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vc</m:t>
              </m:r>
            </m:sub>
          </m:sSub>
        </m:oMath>
      </m:oMathPara>
    </w:p>
    <w:p w14:paraId="7A29A83B"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aa</m:t>
                  </m:r>
                </m:sub>
              </m:sSub>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a</m:t>
              </m:r>
            </m:sub>
          </m:sSub>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treat</m:t>
                  </m:r>
                </m:sub>
              </m:sSub>
            </m:e>
          </m:d>
          <m:r>
            <w:rPr>
              <w:rFonts w:ascii="Cambria Math" w:hAnsi="Cambria Math"/>
            </w:rPr>
            <m:t> </m:t>
          </m:r>
          <m:r>
            <w:rPr>
              <w:rFonts w:ascii="Cambria Math" w:hAnsi="Cambria Math"/>
            </w:rPr>
            <m:t>ω</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una</m:t>
              </m:r>
            </m:sub>
          </m:sSub>
          <m:r>
            <m:rPr>
              <m:sty m:val="p"/>
            </m:rPr>
            <w:rPr>
              <w:rFonts w:ascii="Cambria Math" w:hAnsi="Cambria Math"/>
            </w:rPr>
            <m:t>-</m:t>
          </m:r>
          <m:d>
            <m:dPr>
              <m:ctrlPr>
                <w:rPr>
                  <w:rFonts w:ascii="Cambria Math" w:hAnsi="Cambria Math"/>
                </w:rPr>
              </m:ctrlPr>
            </m:dPr>
            <m:e>
              <m:r>
                <w:rPr>
                  <w:rFonts w:ascii="Cambria Math" w:hAnsi="Cambria Math"/>
                </w:rPr>
                <m:t>δ</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aa</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ac</m:t>
              </m:r>
            </m:sub>
          </m:sSub>
        </m:oMath>
      </m:oMathPara>
    </w:p>
    <w:p w14:paraId="7A29A83C"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una</m:t>
                  </m:r>
                </m:sub>
              </m:sSub>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u</m:t>
              </m:r>
            </m:sub>
          </m:sSub>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treat</m:t>
              </m:r>
            </m:sub>
          </m:sSub>
          <m:r>
            <w:rPr>
              <w:rFonts w:ascii="Cambria Math" w:hAnsi="Cambria Math"/>
            </w:rPr>
            <m:t> </m:t>
          </m:r>
          <m:r>
            <w:rPr>
              <w:rFonts w:ascii="Cambria Math" w:hAnsi="Cambria Math"/>
            </w:rPr>
            <m:t>τ</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una</m:t>
              </m:r>
            </m:sub>
          </m:sSub>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treat</m:t>
                  </m:r>
                </m:sub>
              </m:sSub>
            </m:e>
          </m:d>
          <m:r>
            <w:rPr>
              <w:rFonts w:ascii="Cambria Math" w:hAnsi="Cambria Math"/>
            </w:rPr>
            <m:t> </m:t>
          </m:r>
          <m:r>
            <w:rPr>
              <w:rFonts w:ascii="Cambria Math" w:hAnsi="Cambria Math"/>
            </w:rPr>
            <m:t>ω</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una</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una</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unc</m:t>
              </m:r>
            </m:sub>
          </m:sSub>
        </m:oMath>
      </m:oMathPara>
    </w:p>
    <w:p w14:paraId="7A29A83D"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T</m:t>
                  </m:r>
                </m:e>
                <m:sub>
                  <m:r>
                    <w:rPr>
                      <w:rFonts w:ascii="Cambria Math" w:hAnsi="Cambria Math"/>
                    </w:rPr>
                    <m:t>a</m:t>
                  </m:r>
                </m:sub>
              </m:sSub>
            </m:num>
            <m:den>
              <m:r>
                <w:rPr>
                  <w:rFonts w:ascii="Cambria Math" w:hAnsi="Cambria Math"/>
                </w:rPr>
                <m:t>dt</m:t>
              </m:r>
            </m:den>
          </m:f>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treat</m:t>
              </m:r>
            </m:sub>
          </m:sSub>
          <m:r>
            <w:rPr>
              <w:rFonts w:ascii="Cambria Math" w:hAnsi="Cambria Math"/>
            </w:rPr>
            <m:t> </m:t>
          </m:r>
          <m:r>
            <w:rPr>
              <w:rFonts w:ascii="Cambria Math" w:hAnsi="Cambria Math"/>
            </w:rPr>
            <m:t>τ</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una</m:t>
              </m:r>
            </m:sub>
          </m:sSub>
          <m:r>
            <m:rPr>
              <m:sty m:val="p"/>
            </m:rPr>
            <w:rPr>
              <w:rFonts w:ascii="Cambria Math" w:hAnsi="Cambria Math"/>
            </w:rPr>
            <m:t>-</m:t>
          </m:r>
          <m:d>
            <m:dPr>
              <m:ctrlPr>
                <w:rPr>
                  <w:rFonts w:ascii="Cambria Math" w:hAnsi="Cambria Math"/>
                </w:rPr>
              </m:ctrlPr>
            </m:dPr>
            <m:e>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c</m:t>
              </m:r>
            </m:sub>
          </m:sSub>
        </m:oMath>
      </m:oMathPara>
    </w:p>
    <w:p w14:paraId="7A29A83E"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seva</m:t>
                  </m:r>
                </m:sub>
              </m:sSub>
            </m:num>
            <m:den>
              <m:r>
                <w:rPr>
                  <w:rFonts w:ascii="Cambria Math" w:hAnsi="Cambria Math"/>
                </w:rPr>
                <m:t>dt</m:t>
              </m:r>
            </m:den>
          </m:f>
          <m:r>
            <m:rPr>
              <m:sty m:val="p"/>
            </m:rPr>
            <w:rPr>
              <w:rFonts w:ascii="Cambria Math" w:hAnsi="Cambria Math"/>
            </w:rPr>
            <m:t>=</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u</m:t>
                  </m:r>
                </m:sub>
              </m:sSub>
            </m:e>
          </m:d>
          <m:r>
            <w:rPr>
              <w:rFonts w:ascii="Cambria Math" w:hAnsi="Cambria Math"/>
            </w:rPr>
            <m:t> </m:t>
          </m:r>
          <m:d>
            <m:dPr>
              <m:ctrlPr>
                <w:rPr>
                  <w:rFonts w:ascii="Cambria Math" w:hAnsi="Cambria Math"/>
                </w:rPr>
              </m:ctrlPr>
            </m:dPr>
            <m:e>
              <m:r>
                <w:rPr>
                  <w:rFonts w:ascii="Cambria Math" w:hAnsi="Cambria Math"/>
                </w:rPr>
                <m:t>1</m:t>
              </m:r>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a</m:t>
                  </m:r>
                </m:sub>
              </m:sSub>
            </m:e>
          </m:d>
          <m:r>
            <w:rPr>
              <w:rFonts w:ascii="Cambria Math" w:hAnsi="Cambria Math"/>
            </w:rPr>
            <m:t> </m:t>
          </m:r>
          <m:sSub>
            <m:sSubPr>
              <m:ctrlPr>
                <w:rPr>
                  <w:rFonts w:ascii="Cambria Math" w:hAnsi="Cambria Math"/>
                </w:rPr>
              </m:ctrlPr>
            </m:sSubPr>
            <m:e>
              <m:r>
                <w:rPr>
                  <w:rFonts w:ascii="Cambria Math" w:hAnsi="Cambria Math"/>
                </w:rPr>
                <m:t>γ</m:t>
              </m:r>
            </m:e>
            <m:sub>
              <m:r>
                <w:rPr>
                  <w:rFonts w:ascii="Cambria Math" w:hAnsi="Cambria Math"/>
                </w:rPr>
                <m:t>h</m:t>
              </m:r>
            </m:sub>
          </m:sSub>
          <m:r>
            <w:rPr>
              <w:rFonts w:ascii="Cambria Math" w:hAnsi="Cambria Math"/>
            </w:rPr>
            <m:t> </m:t>
          </m:r>
          <m:sSub>
            <m:sSubPr>
              <m:ctrlPr>
                <w:rPr>
                  <w:rFonts w:ascii="Cambria Math" w:hAnsi="Cambria Math"/>
                </w:rPr>
              </m:ctrlPr>
            </m:sSubPr>
            <m:e>
              <m:r>
                <w:rPr>
                  <w:rFonts w:ascii="Cambria Math" w:hAnsi="Cambria Math"/>
                </w:rPr>
                <m:t>E</m:t>
              </m:r>
            </m:e>
            <m:sub>
              <m:r>
                <w:rPr>
                  <w:rFonts w:ascii="Cambria Math" w:hAnsi="Cambria Math"/>
                </w:rPr>
                <m:t>a</m:t>
              </m:r>
            </m:sub>
          </m:sSub>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s</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seva</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sevc</m:t>
              </m:r>
            </m:sub>
          </m:sSub>
        </m:oMath>
      </m:oMathPara>
    </w:p>
    <w:p w14:paraId="7A29A83F" w14:textId="77777777" w:rsidR="00D351E9" w:rsidRPr="002A6C4D" w:rsidRDefault="00550EDB" w:rsidP="00671D36">
      <w:pPr>
        <w:pStyle w:val="FirstParagraph"/>
        <w:jc w:val="both"/>
      </w:pPr>
      <m:oMathPara>
        <m:oMathParaPr>
          <m:jc m:val="left"/>
        </m:oMathParaPr>
        <m:oMath>
          <m:f>
            <m:fPr>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R</m:t>
                  </m:r>
                </m:e>
                <m:sub>
                  <m:r>
                    <w:rPr>
                      <w:rFonts w:ascii="Cambria Math" w:hAnsi="Cambria Math"/>
                    </w:rPr>
                    <m:t>a</m:t>
                  </m:r>
                </m:sub>
              </m:sSub>
            </m:num>
            <m:den>
              <m:r>
                <w:rPr>
                  <w:rFonts w:ascii="Cambria Math" w:hAnsi="Cambria Math"/>
                </w:rPr>
                <m:t>dt</m:t>
              </m:r>
            </m:den>
          </m:f>
          <m:r>
            <m:rPr>
              <m:sty m:val="p"/>
            </m:rPr>
            <w:rPr>
              <w:rFonts w:ascii="Cambria Math" w:hAnsi="Cambria Math"/>
            </w:rPr>
            <m:t>=</m:t>
          </m:r>
          <m:r>
            <w:rPr>
              <w:rFonts w:ascii="Cambria Math" w:hAnsi="Cambria Math"/>
            </w:rPr>
            <m:t>δ</m:t>
          </m:r>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aa</m:t>
              </m:r>
            </m:sub>
          </m:sSub>
          <m:r>
            <m:rPr>
              <m:sty m:val="p"/>
            </m:rPr>
            <w:rPr>
              <w:rFonts w:ascii="Cambria Math" w:hAnsi="Cambria Math"/>
            </w:rPr>
            <m:t>+</m:t>
          </m:r>
          <m:r>
            <w:rPr>
              <w:rFonts w:ascii="Cambria Math" w:hAnsi="Cambria Math"/>
            </w:rPr>
            <m:t>r</m:t>
          </m:r>
          <m:r>
            <w:rPr>
              <w:rFonts w:ascii="Cambria Math" w:hAnsi="Cambria Math"/>
            </w:rPr>
            <m:t> </m:t>
          </m:r>
          <m:sSub>
            <m:sSubPr>
              <m:ctrlPr>
                <w:rPr>
                  <w:rFonts w:ascii="Cambria Math" w:hAnsi="Cambria Math"/>
                </w:rPr>
              </m:ctrlPr>
            </m:sSubPr>
            <m:e>
              <m:r>
                <w:rPr>
                  <w:rFonts w:ascii="Cambria Math" w:hAnsi="Cambria Math"/>
                </w:rPr>
                <m:t>T</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s</m:t>
              </m:r>
            </m:sub>
          </m:sSub>
          <m:r>
            <w:rPr>
              <w:rFonts w:ascii="Cambria Math" w:hAnsi="Cambria Math"/>
            </w:rPr>
            <m:t> </m:t>
          </m:r>
          <m:sSub>
            <m:sSubPr>
              <m:ctrlPr>
                <w:rPr>
                  <w:rFonts w:ascii="Cambria Math" w:hAnsi="Cambria Math"/>
                </w:rPr>
              </m:ctrlPr>
            </m:sSubPr>
            <m:e>
              <m:r>
                <w:rPr>
                  <w:rFonts w:ascii="Cambria Math" w:hAnsi="Cambria Math"/>
                </w:rPr>
                <m:t>I</m:t>
              </m:r>
            </m:e>
            <m:sub>
              <m:r>
                <w:rPr>
                  <w:rFonts w:ascii="Cambria Math" w:hAnsi="Cambria Math"/>
                </w:rPr>
                <m:t>seva</m:t>
              </m:r>
            </m:sub>
          </m:sSub>
          <m:r>
            <m:rPr>
              <m:sty m:val="p"/>
            </m:rPr>
            <w:rPr>
              <w:rFonts w:ascii="Cambria Math" w:hAnsi="Cambria Math"/>
            </w:rPr>
            <m:t>-</m:t>
          </m:r>
          <m:d>
            <m:dPr>
              <m:ctrlPr>
                <w:rPr>
                  <w:rFonts w:ascii="Cambria Math" w:hAnsi="Cambria Math"/>
                </w:rPr>
              </m:ctrlPr>
            </m:dPr>
            <m:e>
              <m:r>
                <w:rPr>
                  <w:rFonts w:ascii="Cambria Math" w:hAnsi="Cambria Math"/>
                </w:rPr>
                <m:t>ρ</m:t>
              </m:r>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h</m:t>
                  </m:r>
                </m:sub>
              </m:sSub>
            </m:e>
          </m:d>
          <m:r>
            <w:rPr>
              <w:rFonts w:ascii="Cambria Math" w:hAnsi="Cambria Math"/>
            </w:rPr>
            <m:t> </m:t>
          </m:r>
          <m:sSub>
            <m:sSubPr>
              <m:ctrlPr>
                <w:rPr>
                  <w:rFonts w:ascii="Cambria Math" w:hAnsi="Cambria Math"/>
                </w:rPr>
              </m:ctrlPr>
            </m:sSubPr>
            <m:e>
              <m:r>
                <w:rPr>
                  <w:rFonts w:ascii="Cambria Math" w:hAnsi="Cambria Math"/>
                </w:rPr>
                <m:t>R</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r>
            <w:rPr>
              <w:rFonts w:ascii="Cambria Math" w:hAnsi="Cambria Math"/>
            </w:rPr>
            <m:t> </m:t>
          </m:r>
          <m:sSub>
            <m:sSubPr>
              <m:ctrlPr>
                <w:rPr>
                  <w:rFonts w:ascii="Cambria Math" w:hAnsi="Cambria Math"/>
                </w:rPr>
              </m:ctrlPr>
            </m:sSubPr>
            <m:e>
              <m:r>
                <w:rPr>
                  <w:rFonts w:ascii="Cambria Math" w:hAnsi="Cambria Math"/>
                </w:rPr>
                <m:t>R</m:t>
              </m:r>
            </m:e>
            <m:sub>
              <m:r>
                <w:rPr>
                  <w:rFonts w:ascii="Cambria Math" w:hAnsi="Cambria Math"/>
                </w:rPr>
                <m:t>c</m:t>
              </m:r>
            </m:sub>
          </m:sSub>
        </m:oMath>
      </m:oMathPara>
    </w:p>
    <w:p w14:paraId="7A29A840" w14:textId="4ABAB4C3" w:rsidR="00D351E9" w:rsidRPr="009B6287" w:rsidRDefault="00713959" w:rsidP="00671D36">
      <w:pPr>
        <w:pStyle w:val="Heading2"/>
        <w:jc w:val="both"/>
        <w:rPr>
          <w:color w:val="auto"/>
        </w:rPr>
      </w:pPr>
      <w:bookmarkStart w:id="7" w:name="vector-dynamnics-and-force-of-infection"/>
      <w:bookmarkEnd w:id="3"/>
      <w:bookmarkEnd w:id="6"/>
      <w:r w:rsidRPr="009B6287">
        <w:rPr>
          <w:color w:val="auto"/>
        </w:rPr>
        <w:t xml:space="preserve">Vector </w:t>
      </w:r>
      <w:r w:rsidR="00BB3793" w:rsidRPr="009B6287">
        <w:rPr>
          <w:color w:val="auto"/>
        </w:rPr>
        <w:t>Dynamic</w:t>
      </w:r>
      <w:r w:rsidR="00C30BDC" w:rsidRPr="009B6287">
        <w:rPr>
          <w:color w:val="auto"/>
        </w:rPr>
        <w:t xml:space="preserve">s </w:t>
      </w:r>
      <w:r w:rsidRPr="009B6287">
        <w:rPr>
          <w:color w:val="auto"/>
        </w:rPr>
        <w:t>and Force of Infection</w:t>
      </w:r>
    </w:p>
    <w:p w14:paraId="7A29A841" w14:textId="38A82B78" w:rsidR="00D351E9" w:rsidRDefault="00713959" w:rsidP="00671D36">
      <w:pPr>
        <w:pStyle w:val="FirstParagraph"/>
        <w:jc w:val="both"/>
      </w:pPr>
      <w:r>
        <w:t xml:space="preserve">Vector dynamics were not modelled explicitly as a full dynamic system. Instead, the model assumes that mosquito populations have relatively short generation times and respond rapidly to changes in infection prevalence in the human population. Under this assumption, mosquito dynamics can be treated as being at quasi-equilibrium with respect to changes in the human population, allowing transmission to be represented through a </w:t>
      </w:r>
      <w:r>
        <w:lastRenderedPageBreak/>
        <w:t>single force of infection term rather than a full host-vector system. This simplification reduces model complexity while retaining the ability to represent variation in transmission intensity across sub-counties and over time. The resulting formulation makes it possible to evaluate changes in malaria burden under different intervention scenarios by modifying the force of infection directly. The force of infection, denoted by λ, determines the rate at which susceptible individuals acquire infection. The baseline force of infection was formulated to reflect local transmission intensity in each sub-county and was modified to account for intervention effects.</w:t>
      </w:r>
      <w:sdt>
        <w:sdtPr>
          <w:rPr>
            <w:rFonts w:ascii="Aptos" w:hAnsi="Aptos"/>
            <w:color w:val="000000"/>
            <w:vertAlign w:val="superscript"/>
          </w:rPr>
          <w:tag w:val="MENDELEY_CITATION_v3_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"/>
          <w:id w:val="-2008437936"/>
          <w:placeholder>
            <w:docPart w:val="DefaultPlaceholder_-1854013440"/>
          </w:placeholder>
        </w:sdtPr>
        <w:sdtEndPr/>
        <w:sdtContent>
          <w:r w:rsidR="00C30BDC" w:rsidRPr="00C30BDC">
            <w:rPr>
              <w:rFonts w:ascii="Aptos" w:hAnsi="Aptos"/>
              <w:color w:val="000000"/>
              <w:vertAlign w:val="superscript"/>
            </w:rPr>
            <w:t>12</w:t>
          </w:r>
        </w:sdtContent>
      </w:sdt>
      <w:r>
        <w:t xml:space="preserve"> In the model, the force of infection is influenced by:</w:t>
      </w:r>
    </w:p>
    <w:p w14:paraId="7A29A842" w14:textId="77777777" w:rsidR="00D351E9" w:rsidRDefault="00713959" w:rsidP="00671D36">
      <w:pPr>
        <w:numPr>
          <w:ilvl w:val="0"/>
          <w:numId w:val="3"/>
        </w:numPr>
        <w:jc w:val="both"/>
      </w:pPr>
      <w:r>
        <w:t>Baseline transmission intensity in each sub-county,</w:t>
      </w:r>
    </w:p>
    <w:p w14:paraId="7A29A843" w14:textId="77777777" w:rsidR="00D351E9" w:rsidRDefault="00713959" w:rsidP="00671D36">
      <w:pPr>
        <w:numPr>
          <w:ilvl w:val="0"/>
          <w:numId w:val="3"/>
        </w:numPr>
        <w:jc w:val="both"/>
      </w:pPr>
      <w:r>
        <w:t>Seasonality,</w:t>
      </w:r>
    </w:p>
    <w:p w14:paraId="7A29A844" w14:textId="77777777" w:rsidR="00D351E9" w:rsidRDefault="00713959" w:rsidP="00671D36">
      <w:pPr>
        <w:numPr>
          <w:ilvl w:val="0"/>
          <w:numId w:val="3"/>
        </w:numPr>
        <w:jc w:val="both"/>
      </w:pPr>
      <w:r>
        <w:t>Effective coverage of insecticide-treated nets,</w:t>
      </w:r>
    </w:p>
    <w:p w14:paraId="7A29A845" w14:textId="77777777" w:rsidR="00D351E9" w:rsidRDefault="00713959" w:rsidP="00671D36">
      <w:pPr>
        <w:numPr>
          <w:ilvl w:val="0"/>
          <w:numId w:val="3"/>
        </w:numPr>
        <w:jc w:val="both"/>
      </w:pPr>
      <w:r>
        <w:t>Indoor residual spraying where applicable,</w:t>
      </w:r>
    </w:p>
    <w:p w14:paraId="7A29A846" w14:textId="77777777" w:rsidR="00D351E9" w:rsidRDefault="00713959" w:rsidP="00671D36">
      <w:pPr>
        <w:numPr>
          <w:ilvl w:val="0"/>
          <w:numId w:val="3"/>
        </w:numPr>
        <w:jc w:val="both"/>
      </w:pPr>
      <w:r>
        <w:t>Vaccination effects in vaccine-eligible children.</w:t>
      </w:r>
    </w:p>
    <w:p w14:paraId="7A29A847" w14:textId="77777777" w:rsidR="00D351E9" w:rsidRDefault="00713959" w:rsidP="00671D36">
      <w:pPr>
        <w:pStyle w:val="FirstParagraph"/>
        <w:jc w:val="both"/>
      </w:pPr>
      <w:r>
        <w:t>The complete derivation of the force of infection may be presented here as:</w:t>
      </w:r>
    </w:p>
    <w:p w14:paraId="7A29A848" w14:textId="77777777" w:rsidR="00D351E9" w:rsidRDefault="00713959" w:rsidP="00671D36">
      <w:pPr>
        <w:pStyle w:val="BodyText"/>
        <w:jc w:val="both"/>
      </w:pPr>
      <m:oMathPara>
        <m:oMathParaPr>
          <m:jc m:val="center"/>
        </m:oMathParaPr>
        <m:oMath>
          <m:r>
            <w:rPr>
              <w:rFonts w:ascii="Cambria Math" w:hAnsi="Cambria Math"/>
            </w:rPr>
            <m:t>λ</m:t>
          </m:r>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 b c m </m:t>
              </m:r>
              <m:r>
                <m:rPr>
                  <m:nor/>
                </m:rPr>
                <m:t>Infectious Compartments</m:t>
              </m:r>
              <m:r>
                <w:rPr>
                  <w:rFonts w:ascii="Cambria Math" w:hAnsi="Cambria Math"/>
                </w:rPr>
                <m:t> </m:t>
              </m:r>
            </m:num>
            <m:den>
              <m:sSub>
                <m:sSubPr>
                  <m:ctrlPr>
                    <w:rPr>
                      <w:rFonts w:ascii="Cambria Math" w:hAnsi="Cambria Math"/>
                    </w:rPr>
                  </m:ctrlPr>
                </m:sSubPr>
                <m:e>
                  <m:r>
                    <w:rPr>
                      <w:rFonts w:ascii="Cambria Math" w:hAnsi="Cambria Math"/>
                    </w:rPr>
                    <m:t>μ</m:t>
                  </m:r>
                </m:e>
                <m:sub>
                  <m:r>
                    <w:rPr>
                      <w:rFonts w:ascii="Cambria Math" w:hAnsi="Cambria Math"/>
                    </w:rPr>
                    <m:t>m</m:t>
                  </m:r>
                </m:sub>
              </m:sSub>
              <m:r>
                <w:rPr>
                  <w:rFonts w:ascii="Cambria Math" w:hAnsi="Cambria Math"/>
                </w:rPr>
                <m:t> </m:t>
              </m:r>
              <m:r>
                <m:rPr>
                  <m:sty m:val="p"/>
                </m:rPr>
                <w:rPr>
                  <w:rFonts w:ascii="Cambria Math" w:hAnsi="Cambria Math"/>
                </w:rPr>
                <m:t>+</m:t>
              </m:r>
              <m:r>
                <w:rPr>
                  <w:rFonts w:ascii="Cambria Math" w:hAnsi="Cambria Math"/>
                </w:rPr>
                <m:t> a c </m:t>
              </m:r>
              <m:r>
                <m:rPr>
                  <m:nor/>
                </m:rPr>
                <m:t>Infectious Compartments</m:t>
              </m:r>
              <m:r>
                <w:rPr>
                  <w:rFonts w:ascii="Cambria Math" w:hAnsi="Cambria Math"/>
                </w:rPr>
                <m:t> </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γ</m:t>
                  </m:r>
                </m:e>
                <m:sub>
                  <m:r>
                    <w:rPr>
                      <w:rFonts w:ascii="Cambria Math" w:hAnsi="Cambria Math"/>
                    </w:rPr>
                    <m:t>m</m:t>
                  </m:r>
                </m:sub>
              </m:sSub>
            </m:num>
            <m:den>
              <m:sSub>
                <m:sSubPr>
                  <m:ctrlPr>
                    <w:rPr>
                      <w:rFonts w:ascii="Cambria Math" w:hAnsi="Cambria Math"/>
                    </w:rPr>
                  </m:ctrlPr>
                </m:sSubPr>
                <m:e>
                  <m:r>
                    <w:rPr>
                      <w:rFonts w:ascii="Cambria Math" w:hAnsi="Cambria Math"/>
                    </w:rPr>
                    <m:t>γ</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μ</m:t>
                  </m:r>
                </m:e>
                <m:sub>
                  <m:r>
                    <w:rPr>
                      <w:rFonts w:ascii="Cambria Math" w:hAnsi="Cambria Math"/>
                    </w:rPr>
                    <m:t>m</m:t>
                  </m:r>
                </m:sub>
              </m:sSub>
            </m:den>
          </m:f>
        </m:oMath>
      </m:oMathPara>
    </w:p>
    <w:p w14:paraId="7A29A849" w14:textId="77777777" w:rsidR="00D351E9" w:rsidRPr="009B6287" w:rsidRDefault="00713959" w:rsidP="00671D36">
      <w:pPr>
        <w:pStyle w:val="Heading2"/>
        <w:jc w:val="both"/>
        <w:rPr>
          <w:color w:val="auto"/>
        </w:rPr>
      </w:pPr>
      <w:bookmarkStart w:id="8" w:name="incorporation-of-seasonality"/>
      <w:bookmarkEnd w:id="7"/>
      <w:r w:rsidRPr="009B6287">
        <w:rPr>
          <w:color w:val="auto"/>
        </w:rPr>
        <w:t>Incorporation of Seasonality</w:t>
      </w:r>
    </w:p>
    <w:p w14:paraId="7A29A84A" w14:textId="4D26B355" w:rsidR="00D351E9" w:rsidRDefault="00713959" w:rsidP="00671D36">
      <w:pPr>
        <w:pStyle w:val="FirstParagraph"/>
        <w:jc w:val="both"/>
      </w:pPr>
      <w:r>
        <w:t>Seasonality was incorporated by applying a seasonal forcing function to the force of infection. This allowed transmission to vary over time in line with rainfall-driven malaria patterns. A seasonal function based on rainfall data was used to mimic temporal fluctuations in malaria transmission across the study region. Rainfall data from the Climate Hazards Group InfraRed Precipitation with Station (CHIRPS) dataset were used to inform the seasonal component of the model, consistent with your earlier methods text.</w:t>
      </w:r>
      <w:sdt>
        <w:sdtPr>
          <w:rPr>
            <w:rFonts w:ascii="Aptos" w:hAnsi="Aptos"/>
            <w:color w:val="000000"/>
            <w:vertAlign w:val="superscript"/>
          </w:rPr>
          <w:tag w:val="MENDELEY_CITATION_v3_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"/>
          <w:id w:val="-1574423031"/>
          <w:placeholder>
            <w:docPart w:val="DefaultPlaceholder_-1854013440"/>
          </w:placeholder>
        </w:sdtPr>
        <w:sdtEndPr/>
        <w:sdtContent>
          <w:r w:rsidR="00C30BDC" w:rsidRPr="00C30BDC">
            <w:rPr>
              <w:rFonts w:ascii="Aptos" w:hAnsi="Aptos"/>
              <w:color w:val="000000"/>
              <w:vertAlign w:val="superscript"/>
            </w:rPr>
            <w:t>12</w:t>
          </w:r>
        </w:sdtContent>
      </w:sdt>
      <w:r>
        <w:t xml:space="preserve"> The seasonality function was denoted as:</w:t>
      </w:r>
    </w:p>
    <w:p w14:paraId="7A29A84B" w14:textId="77777777" w:rsidR="00D351E9" w:rsidRDefault="00713959" w:rsidP="00671D36">
      <w:pPr>
        <w:pStyle w:val="BodyText"/>
        <w:jc w:val="both"/>
      </w:pPr>
      <m:oMathPara>
        <m:oMathParaPr>
          <m:jc m:val="center"/>
        </m:oMathParaPr>
        <m:oMath>
          <m:r>
            <w:rPr>
              <w:rFonts w:ascii="Cambria Math" w:hAnsi="Cambria Math"/>
            </w:rPr>
            <m:t>sea</m:t>
          </m:r>
          <m:d>
            <m:dPr>
              <m:ctrlPr>
                <w:rPr>
                  <w:rFonts w:ascii="Cambria Math" w:hAnsi="Cambria Math"/>
                </w:rPr>
              </m:ctrlPr>
            </m:dPr>
            <m:e>
              <m:r>
                <w:rPr>
                  <w:rFonts w:ascii="Cambria Math" w:hAnsi="Cambria Math"/>
                </w:rPr>
                <m:t>t</m:t>
              </m:r>
            </m:e>
          </m:d>
          <m:r>
            <m:rPr>
              <m:sty m:val="p"/>
            </m:rPr>
            <w:rPr>
              <w:rFonts w:ascii="Cambria Math" w:hAnsi="Cambria Math"/>
            </w:rPr>
            <m:t>=</m:t>
          </m:r>
          <m:r>
            <w:rPr>
              <w:rFonts w:ascii="Cambria Math" w:hAnsi="Cambria Math"/>
            </w:rPr>
            <m:t>1</m:t>
          </m:r>
          <m:r>
            <m:rPr>
              <m:sty m:val="p"/>
            </m:rPr>
            <w:rPr>
              <w:rFonts w:ascii="Cambria Math" w:hAnsi="Cambria Math"/>
            </w:rPr>
            <m:t>+</m:t>
          </m:r>
          <m:r>
            <w:rPr>
              <w:rFonts w:ascii="Cambria Math" w:hAnsi="Cambria Math"/>
            </w:rPr>
            <m:t>rain</m:t>
          </m:r>
          <m:r>
            <m:rPr>
              <m:sty m:val="p"/>
            </m:rPr>
            <w:rPr>
              <w:rFonts w:ascii="Cambria Math" w:hAnsi="Cambria Math"/>
            </w:rPr>
            <m:t>⋅</m:t>
          </m:r>
          <m:r>
            <w:rPr>
              <w:rFonts w:ascii="Cambria Math" w:hAnsi="Cambria Math"/>
            </w:rPr>
            <m:t>a</m:t>
          </m:r>
          <m:r>
            <m:rPr>
              <m:sty m:val="p"/>
            </m:rPr>
            <w:rPr>
              <w:rFonts w:ascii="Cambria Math" w:hAnsi="Cambria Math"/>
            </w:rPr>
            <m:t>⋅cos</m:t>
          </m:r>
          <m:d>
            <m:dPr>
              <m:ctrlPr>
                <w:rPr>
                  <w:rFonts w:ascii="Cambria Math" w:hAnsi="Cambria Math"/>
                </w:rPr>
              </m:ctrlPr>
            </m:dPr>
            <m:e>
              <m:r>
                <w:rPr>
                  <w:rFonts w:ascii="Cambria Math" w:hAnsi="Cambria Math"/>
                </w:rPr>
                <m:t>2π</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ϕ</m:t>
                  </m:r>
                </m:e>
              </m:d>
            </m:e>
          </m:d>
        </m:oMath>
      </m:oMathPara>
    </w:p>
    <w:p w14:paraId="7A29A84C" w14:textId="77777777" w:rsidR="00D351E9" w:rsidRPr="009B6287" w:rsidRDefault="00713959" w:rsidP="00671D36">
      <w:pPr>
        <w:pStyle w:val="Heading2"/>
        <w:jc w:val="both"/>
        <w:rPr>
          <w:color w:val="auto"/>
        </w:rPr>
      </w:pPr>
      <w:bookmarkStart w:id="9" w:name="model-fitting"/>
      <w:bookmarkEnd w:id="8"/>
      <w:r w:rsidRPr="009B6287">
        <w:rPr>
          <w:color w:val="auto"/>
        </w:rPr>
        <w:t>Model Fitting</w:t>
      </w:r>
    </w:p>
    <w:p w14:paraId="3DD86851" w14:textId="3E39CF28" w:rsidR="00770A8D" w:rsidRDefault="00713959" w:rsidP="00671D36">
      <w:pPr>
        <w:pStyle w:val="FirstParagraph"/>
        <w:jc w:val="both"/>
      </w:pPr>
      <w:r>
        <w:t xml:space="preserve">The model was fitted at the sub-county level to reflect local variation in malaria transmission across the lake-endemic region. For each of the 65 sub-counties, transmission parameters were calibrated to ensure that model outputs reproduced the observed malaria burden as closely as possible. This calibration process allowed each sub-county to retain the same overarching model structure while differing in local transmission intensity and intervention exposure. The fitting procedure was designed to </w:t>
      </w:r>
      <w:proofErr w:type="spellStart"/>
      <w:r>
        <w:t>minimise</w:t>
      </w:r>
      <w:proofErr w:type="spellEnd"/>
      <w:r>
        <w:t xml:space="preserve"> discrepancies between model predictions and observed data using the least squares method.</w:t>
      </w:r>
      <w:r w:rsidR="00770A8D">
        <w:t xml:space="preserve"> </w:t>
      </w:r>
      <w:r w:rsidR="00770A8D" w:rsidRPr="00770A8D">
        <w:t xml:space="preserve">To assess parameter uncertainty, a global sensitivity analysis was conducted across all model parameters over their plausible ranges. Model projections </w:t>
      </w:r>
      <w:r w:rsidR="00770A8D" w:rsidRPr="00770A8D">
        <w:lastRenderedPageBreak/>
        <w:t>remained robust, with vaccine efficacy, treatment coverage, and transmission intensity identified as the strongest determinants of intervention impact.</w:t>
      </w:r>
      <w:r>
        <w:t xml:space="preserve"> </w:t>
      </w:r>
    </w:p>
    <w:p w14:paraId="7A29A84D" w14:textId="4BD1A9B1" w:rsidR="00D351E9" w:rsidRDefault="00713959" w:rsidP="00671D36">
      <w:pPr>
        <w:pStyle w:val="FirstParagraph"/>
        <w:jc w:val="both"/>
      </w:pPr>
      <w:r>
        <w:t xml:space="preserve">Fitting at the sub-county level enabled the model to capture substantial heterogeneity that would have been obscured in county-level or region-wide analyses. </w:t>
      </w:r>
      <w:r w:rsidR="00574506" w:rsidRPr="00574506">
        <w:t>After calibration, simulated cumulative malaria incidence closely matched observed</w:t>
      </w:r>
      <w:r w:rsidR="00461CD4" w:rsidRPr="00461CD4">
        <w:t xml:space="preserve"> surveillance data across all </w:t>
      </w:r>
      <w:r w:rsidR="00461CD4">
        <w:t xml:space="preserve">65 </w:t>
      </w:r>
      <w:r w:rsidR="00461CD4" w:rsidRPr="00461CD4">
        <w:t>sub-counties, with model predictions reproducing both the magnitude and temporal patterns of malaria incidence.</w:t>
      </w:r>
      <w:r>
        <w:t xml:space="preserve"> </w:t>
      </w:r>
      <w:r w:rsidRPr="000A14CD">
        <w:rPr>
          <w:b/>
          <w:bCs/>
        </w:rPr>
        <w:t>Figure</w:t>
      </w:r>
      <w:r w:rsidR="00F27236" w:rsidRPr="000A14CD">
        <w:rPr>
          <w:b/>
          <w:bCs/>
        </w:rPr>
        <w:t xml:space="preserve"> 1</w:t>
      </w:r>
      <w:r w:rsidR="00DC4FFC">
        <w:t xml:space="preserve"> </w:t>
      </w:r>
      <w:r w:rsidR="00F27236">
        <w:t xml:space="preserve">shows </w:t>
      </w:r>
      <w:proofErr w:type="spellStart"/>
      <w:r w:rsidR="00F27236">
        <w:t>Khwisero</w:t>
      </w:r>
      <w:proofErr w:type="spellEnd"/>
      <w:r w:rsidR="00F27236">
        <w:t xml:space="preserve"> sub</w:t>
      </w:r>
      <w:r w:rsidR="00DC4FFC">
        <w:t>-</w:t>
      </w:r>
      <w:r w:rsidR="00F27236">
        <w:t>county fitting figures</w:t>
      </w:r>
      <w:r w:rsidR="00DC4FFC">
        <w:t xml:space="preserve"> that</w:t>
      </w:r>
      <w:r>
        <w:t xml:space="preserve"> were selected to represent the </w:t>
      </w:r>
      <w:r w:rsidR="00DC4FFC">
        <w:t xml:space="preserve">65 </w:t>
      </w:r>
      <w:r>
        <w:t>sub-counties.</w:t>
      </w:r>
      <w:bookmarkEnd w:id="9"/>
    </w:p>
    <w:p w14:paraId="3E710659" w14:textId="0271A310" w:rsidR="00CD3995" w:rsidRPr="00CD3995" w:rsidRDefault="00550EDB" w:rsidP="00671D36">
      <w:pPr>
        <w:pStyle w:val="BodyText"/>
        <w:jc w:val="both"/>
      </w:pPr>
      <w:r>
        <w:rPr>
          <w:noProof/>
        </w:rPr>
        <w:lastRenderedPageBreak/>
        <w:pict w14:anchorId="06509BA8">
          <v:shapetype id="_x0000_t202" coordsize="21600,21600" o:spt="202" path="m,l,21600r21600,l21600,xe">
            <v:stroke joinstyle="miter"/>
            <v:path gradientshapeok="t" o:connecttype="rect"/>
          </v:shapetype>
          <v:shape id="_x0000_s1027" type="#_x0000_t202" style="position:absolute;left:0;text-align:left;margin-left:-30.5pt;margin-top:260.5pt;width:40.5pt;height:30pt;z-index:251659264" strokecolor="white [3212]">
            <v:textbox>
              <w:txbxContent>
                <w:p w14:paraId="3F5871C5" w14:textId="79B9CC6A" w:rsidR="008E6EDC" w:rsidRPr="00222805" w:rsidRDefault="00C62B8C" w:rsidP="008E6EDC">
                  <w:pPr>
                    <w:rPr>
                      <w:b/>
                      <w:bCs/>
                    </w:rPr>
                  </w:pPr>
                  <w:r>
                    <w:rPr>
                      <w:b/>
                      <w:bCs/>
                    </w:rPr>
                    <w:t>B</w:t>
                  </w:r>
                  <w:r w:rsidR="008E6EDC" w:rsidRPr="00222805">
                    <w:rPr>
                      <w:b/>
                      <w:bCs/>
                    </w:rPr>
                    <w:t>.</w:t>
                  </w:r>
                </w:p>
              </w:txbxContent>
            </v:textbox>
          </v:shape>
        </w:pict>
      </w:r>
      <w:r>
        <w:rPr>
          <w:noProof/>
        </w:rPr>
        <w:pict w14:anchorId="06509BA8">
          <v:shape id="_x0000_s1026" type="#_x0000_t202" style="position:absolute;left:0;text-align:left;margin-left:-35pt;margin-top:10.5pt;width:40.5pt;height:30pt;z-index:251658240" strokecolor="white [3212]">
            <v:textbox>
              <w:txbxContent>
                <w:p w14:paraId="63FE19B4" w14:textId="1C5F7103" w:rsidR="00222805" w:rsidRPr="00222805" w:rsidRDefault="00222805">
                  <w:pPr>
                    <w:rPr>
                      <w:b/>
                      <w:bCs/>
                    </w:rPr>
                  </w:pPr>
                  <w:r w:rsidRPr="00222805">
                    <w:rPr>
                      <w:b/>
                      <w:bCs/>
                    </w:rPr>
                    <w:t>A.</w:t>
                  </w:r>
                </w:p>
              </w:txbxContent>
            </v:textbox>
          </v:shape>
        </w:pict>
      </w:r>
      <w:r w:rsidR="000A14CD">
        <w:rPr>
          <w:noProof/>
        </w:rPr>
        <w:drawing>
          <wp:inline distT="0" distB="0" distL="0" distR="0" wp14:anchorId="4B5D6A0A" wp14:editId="508EEFD7">
            <wp:extent cx="5943600" cy="2918460"/>
            <wp:effectExtent l="0" t="0" r="0" b="0"/>
            <wp:docPr id="21338483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48352" name="Graphic 2133848352"/>
                    <pic:cNvPicPr/>
                  </pic:nvPicPr>
                  <pic:blipFill>
                    <a:blip r:embed="rId6">
                      <a:extLst>
                        <a:ext uri="{96DAC541-7B7A-43D3-8B79-37D633B846F1}">
                          <asvg:svgBlip xmlns:asvg="http://schemas.microsoft.com/office/drawing/2016/SVG/main" r:embed="rId7"/>
                        </a:ext>
                      </a:extLst>
                    </a:blip>
                    <a:stretch>
                      <a:fillRect/>
                    </a:stretch>
                  </pic:blipFill>
                  <pic:spPr>
                    <a:xfrm>
                      <a:off x="0" y="0"/>
                      <a:ext cx="5943600" cy="2918460"/>
                    </a:xfrm>
                    <a:prstGeom prst="rect">
                      <a:avLst/>
                    </a:prstGeom>
                  </pic:spPr>
                </pic:pic>
              </a:graphicData>
            </a:graphic>
          </wp:inline>
        </w:drawing>
      </w:r>
      <w:r w:rsidR="000A14CD">
        <w:rPr>
          <w:noProof/>
        </w:rPr>
        <w:drawing>
          <wp:inline distT="0" distB="0" distL="0" distR="0" wp14:anchorId="54AE6703" wp14:editId="7A4BFF52">
            <wp:extent cx="5324475" cy="4419600"/>
            <wp:effectExtent l="0" t="0" r="0" b="0"/>
            <wp:docPr id="213977602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76028" name="Graphic 2139776028"/>
                    <pic:cNvPicPr/>
                  </pic:nvPicPr>
                  <pic:blipFill>
                    <a:blip r:embed="rId8">
                      <a:extLst>
                        <a:ext uri="{96DAC541-7B7A-43D3-8B79-37D633B846F1}">
                          <asvg:svgBlip xmlns:asvg="http://schemas.microsoft.com/office/drawing/2016/SVG/main" r:embed="rId9"/>
                        </a:ext>
                      </a:extLst>
                    </a:blip>
                    <a:stretch>
                      <a:fillRect/>
                    </a:stretch>
                  </pic:blipFill>
                  <pic:spPr>
                    <a:xfrm>
                      <a:off x="0" y="0"/>
                      <a:ext cx="5324475" cy="4419600"/>
                    </a:xfrm>
                    <a:prstGeom prst="rect">
                      <a:avLst/>
                    </a:prstGeom>
                  </pic:spPr>
                </pic:pic>
              </a:graphicData>
            </a:graphic>
          </wp:inline>
        </w:drawing>
      </w:r>
    </w:p>
    <w:p w14:paraId="3594DA80" w14:textId="763664C1" w:rsidR="00C62B8C" w:rsidRPr="0065390F" w:rsidRDefault="0065390F" w:rsidP="00671D36">
      <w:pPr>
        <w:pStyle w:val="BodyText"/>
        <w:jc w:val="both"/>
        <w:rPr>
          <w:rFonts w:asciiTheme="majorHAnsi" w:hAnsiTheme="majorHAnsi"/>
        </w:rPr>
      </w:pPr>
      <w:r w:rsidRPr="0065390F">
        <w:rPr>
          <w:rFonts w:asciiTheme="majorHAnsi" w:hAnsiTheme="majorHAnsi"/>
          <w:b/>
          <w:bCs/>
        </w:rPr>
        <w:t>Figure S1.</w:t>
      </w:r>
      <w:r w:rsidRPr="0065390F">
        <w:rPr>
          <w:rFonts w:asciiTheme="majorHAnsi" w:hAnsiTheme="majorHAnsi"/>
        </w:rPr>
        <w:t xml:space="preserve"> Representative model fit for </w:t>
      </w:r>
      <w:proofErr w:type="spellStart"/>
      <w:r w:rsidRPr="0065390F">
        <w:rPr>
          <w:rFonts w:asciiTheme="majorHAnsi" w:hAnsiTheme="majorHAnsi"/>
        </w:rPr>
        <w:t>Khwisero</w:t>
      </w:r>
      <w:proofErr w:type="spellEnd"/>
      <w:r w:rsidRPr="0065390F">
        <w:rPr>
          <w:rFonts w:asciiTheme="majorHAnsi" w:hAnsiTheme="majorHAnsi"/>
        </w:rPr>
        <w:t xml:space="preserve"> sub-county. (</w:t>
      </w:r>
      <w:r w:rsidRPr="001A155C">
        <w:rPr>
          <w:rFonts w:asciiTheme="majorHAnsi" w:hAnsiTheme="majorHAnsi"/>
          <w:b/>
          <w:bCs/>
        </w:rPr>
        <w:t>A</w:t>
      </w:r>
      <w:r w:rsidRPr="0065390F">
        <w:rPr>
          <w:rFonts w:asciiTheme="majorHAnsi" w:hAnsiTheme="majorHAnsi"/>
        </w:rPr>
        <w:t>) Observed monthly malaria incidence and fitted model output from 2017–2024. (</w:t>
      </w:r>
      <w:r w:rsidRPr="001A155C">
        <w:rPr>
          <w:rFonts w:asciiTheme="majorHAnsi" w:hAnsiTheme="majorHAnsi"/>
          <w:b/>
          <w:bCs/>
        </w:rPr>
        <w:t>B</w:t>
      </w:r>
      <w:r w:rsidRPr="0065390F">
        <w:rPr>
          <w:rFonts w:asciiTheme="majorHAnsi" w:hAnsiTheme="majorHAnsi"/>
        </w:rPr>
        <w:t xml:space="preserve">) Observed and simulated cumulative malaria cases over the fitting period. </w:t>
      </w:r>
      <w:proofErr w:type="spellStart"/>
      <w:r w:rsidRPr="0065390F">
        <w:rPr>
          <w:rFonts w:asciiTheme="majorHAnsi" w:hAnsiTheme="majorHAnsi"/>
        </w:rPr>
        <w:t>Khwisero</w:t>
      </w:r>
      <w:proofErr w:type="spellEnd"/>
      <w:r w:rsidRPr="0065390F">
        <w:rPr>
          <w:rFonts w:asciiTheme="majorHAnsi" w:hAnsiTheme="majorHAnsi"/>
        </w:rPr>
        <w:t xml:space="preserve"> is presented as an illustrative example; equivalent fitting procedures were applied to all sub-counties.</w:t>
      </w:r>
    </w:p>
    <w:p w14:paraId="72D99522" w14:textId="7F3F2C56" w:rsidR="00C30BDC" w:rsidRPr="009B6287" w:rsidRDefault="00C30BDC" w:rsidP="00671D36">
      <w:pPr>
        <w:pStyle w:val="BodyText"/>
        <w:jc w:val="both"/>
        <w:rPr>
          <w:rFonts w:asciiTheme="majorHAnsi" w:hAnsiTheme="majorHAnsi"/>
          <w:sz w:val="32"/>
          <w:szCs w:val="32"/>
        </w:rPr>
      </w:pPr>
      <w:r w:rsidRPr="009B6287">
        <w:rPr>
          <w:rFonts w:asciiTheme="majorHAnsi" w:hAnsiTheme="majorHAnsi"/>
          <w:sz w:val="32"/>
          <w:szCs w:val="32"/>
        </w:rPr>
        <w:lastRenderedPageBreak/>
        <w:t>References</w:t>
      </w:r>
    </w:p>
    <w:sdt>
      <w:sdtPr>
        <w:rPr>
          <w:rFonts w:ascii="Aptos" w:hAnsi="Aptos"/>
          <w:color w:val="000000"/>
        </w:rPr>
        <w:tag w:val="MENDELEY_BIBLIOGRAPHY"/>
        <w:id w:val="542335869"/>
        <w:placeholder>
          <w:docPart w:val="DefaultPlaceholder_-1854013440"/>
        </w:placeholder>
      </w:sdtPr>
      <w:sdtEndPr/>
      <w:sdtContent>
        <w:p w14:paraId="6BB3439A" w14:textId="77777777" w:rsidR="00464598" w:rsidRPr="00464598" w:rsidRDefault="00464598" w:rsidP="00671D36">
          <w:pPr>
            <w:autoSpaceDE w:val="0"/>
            <w:autoSpaceDN w:val="0"/>
            <w:ind w:hanging="640"/>
            <w:jc w:val="both"/>
            <w:divId w:val="624968105"/>
            <w:rPr>
              <w:rFonts w:ascii="Aptos" w:eastAsia="Times New Roman" w:hAnsi="Aptos"/>
              <w:color w:val="000000"/>
            </w:rPr>
          </w:pPr>
          <w:r w:rsidRPr="00464598">
            <w:rPr>
              <w:rFonts w:ascii="Aptos" w:eastAsia="Times New Roman" w:hAnsi="Aptos"/>
              <w:color w:val="000000"/>
            </w:rPr>
            <w:t>(1)</w:t>
          </w:r>
          <w:r w:rsidRPr="00464598">
            <w:rPr>
              <w:rFonts w:ascii="Aptos" w:eastAsia="Times New Roman" w:hAnsi="Aptos"/>
              <w:color w:val="000000"/>
            </w:rPr>
            <w:tab/>
          </w:r>
          <w:proofErr w:type="spellStart"/>
          <w:r w:rsidRPr="00464598">
            <w:rPr>
              <w:rFonts w:ascii="Aptos" w:eastAsia="Times New Roman" w:hAnsi="Aptos"/>
              <w:color w:val="000000"/>
            </w:rPr>
            <w:t>Chamchod</w:t>
          </w:r>
          <w:proofErr w:type="spellEnd"/>
          <w:r w:rsidRPr="00464598">
            <w:rPr>
              <w:rFonts w:ascii="Aptos" w:eastAsia="Times New Roman" w:hAnsi="Aptos"/>
              <w:color w:val="000000"/>
            </w:rPr>
            <w:t xml:space="preserve">, F.; Beier, J. C. Modeling Plasmodium Vivax: Relapses, Treatment, Seasonality, and G6PD Deficiency. </w:t>
          </w:r>
          <w:r w:rsidRPr="00464598">
            <w:rPr>
              <w:rFonts w:ascii="Aptos" w:eastAsia="Times New Roman" w:hAnsi="Aptos"/>
              <w:i/>
              <w:iCs/>
              <w:color w:val="000000"/>
            </w:rPr>
            <w:t>J. Theor. Biol.</w:t>
          </w:r>
          <w:r w:rsidRPr="00464598">
            <w:rPr>
              <w:rFonts w:ascii="Aptos" w:eastAsia="Times New Roman" w:hAnsi="Aptos"/>
              <w:color w:val="000000"/>
            </w:rPr>
            <w:t xml:space="preserve"> </w:t>
          </w:r>
          <w:r w:rsidRPr="00464598">
            <w:rPr>
              <w:rFonts w:ascii="Aptos" w:eastAsia="Times New Roman" w:hAnsi="Aptos"/>
              <w:b/>
              <w:bCs/>
              <w:color w:val="000000"/>
            </w:rPr>
            <w:t>2013</w:t>
          </w:r>
          <w:r w:rsidRPr="00464598">
            <w:rPr>
              <w:rFonts w:ascii="Aptos" w:eastAsia="Times New Roman" w:hAnsi="Aptos"/>
              <w:color w:val="000000"/>
            </w:rPr>
            <w:t xml:space="preserve">, </w:t>
          </w:r>
          <w:r w:rsidRPr="00464598">
            <w:rPr>
              <w:rFonts w:ascii="Aptos" w:eastAsia="Times New Roman" w:hAnsi="Aptos"/>
              <w:i/>
              <w:iCs/>
              <w:color w:val="000000"/>
            </w:rPr>
            <w:t>316</w:t>
          </w:r>
          <w:r w:rsidRPr="00464598">
            <w:rPr>
              <w:rFonts w:ascii="Aptos" w:eastAsia="Times New Roman" w:hAnsi="Aptos"/>
              <w:color w:val="000000"/>
            </w:rPr>
            <w:t>, 25–34. https://doi.org/10.1016/j.jtbi.2012.08.024.</w:t>
          </w:r>
        </w:p>
        <w:p w14:paraId="57355904" w14:textId="77777777" w:rsidR="00464598" w:rsidRPr="00464598" w:rsidRDefault="00464598" w:rsidP="00671D36">
          <w:pPr>
            <w:autoSpaceDE w:val="0"/>
            <w:autoSpaceDN w:val="0"/>
            <w:ind w:hanging="640"/>
            <w:jc w:val="both"/>
            <w:divId w:val="2109083759"/>
            <w:rPr>
              <w:rFonts w:ascii="Aptos" w:eastAsia="Times New Roman" w:hAnsi="Aptos"/>
              <w:color w:val="000000"/>
            </w:rPr>
          </w:pPr>
          <w:r w:rsidRPr="00464598">
            <w:rPr>
              <w:rFonts w:ascii="Aptos" w:eastAsia="Times New Roman" w:hAnsi="Aptos"/>
              <w:color w:val="000000"/>
            </w:rPr>
            <w:t>(2)</w:t>
          </w:r>
          <w:r w:rsidRPr="00464598">
            <w:rPr>
              <w:rFonts w:ascii="Aptos" w:eastAsia="Times New Roman" w:hAnsi="Aptos"/>
              <w:color w:val="000000"/>
            </w:rPr>
            <w:tab/>
          </w:r>
          <w:proofErr w:type="spellStart"/>
          <w:r w:rsidRPr="00464598">
            <w:rPr>
              <w:rFonts w:ascii="Aptos" w:eastAsia="Times New Roman" w:hAnsi="Aptos"/>
              <w:color w:val="000000"/>
            </w:rPr>
            <w:t>Silal</w:t>
          </w:r>
          <w:proofErr w:type="spellEnd"/>
          <w:r w:rsidRPr="00464598">
            <w:rPr>
              <w:rFonts w:ascii="Aptos" w:eastAsia="Times New Roman" w:hAnsi="Aptos"/>
              <w:color w:val="000000"/>
            </w:rPr>
            <w:t xml:space="preserve">, S. P.; Little, F.; Barnes, K. I.; White, L. J. Sensitivity to Model Structure: A Comparison of Compartmental Models in Epidemiology. </w:t>
          </w:r>
          <w:r w:rsidRPr="00464598">
            <w:rPr>
              <w:rFonts w:ascii="Aptos" w:eastAsia="Times New Roman" w:hAnsi="Aptos"/>
              <w:i/>
              <w:iCs/>
              <w:color w:val="000000"/>
            </w:rPr>
            <w:t>Health Systems</w:t>
          </w:r>
          <w:r w:rsidRPr="00464598">
            <w:rPr>
              <w:rFonts w:ascii="Aptos" w:eastAsia="Times New Roman" w:hAnsi="Aptos"/>
              <w:color w:val="000000"/>
            </w:rPr>
            <w:t xml:space="preserve"> </w:t>
          </w:r>
          <w:r w:rsidRPr="00464598">
            <w:rPr>
              <w:rFonts w:ascii="Aptos" w:eastAsia="Times New Roman" w:hAnsi="Aptos"/>
              <w:b/>
              <w:bCs/>
              <w:color w:val="000000"/>
            </w:rPr>
            <w:t>2016</w:t>
          </w:r>
          <w:r w:rsidRPr="00464598">
            <w:rPr>
              <w:rFonts w:ascii="Aptos" w:eastAsia="Times New Roman" w:hAnsi="Aptos"/>
              <w:color w:val="000000"/>
            </w:rPr>
            <w:t xml:space="preserve">, </w:t>
          </w:r>
          <w:r w:rsidRPr="00464598">
            <w:rPr>
              <w:rFonts w:ascii="Aptos" w:eastAsia="Times New Roman" w:hAnsi="Aptos"/>
              <w:i/>
              <w:iCs/>
              <w:color w:val="000000"/>
            </w:rPr>
            <w:t>5</w:t>
          </w:r>
          <w:r w:rsidRPr="00464598">
            <w:rPr>
              <w:rFonts w:ascii="Aptos" w:eastAsia="Times New Roman" w:hAnsi="Aptos"/>
              <w:color w:val="000000"/>
            </w:rPr>
            <w:t xml:space="preserve"> (3), 178–191. https://doi.org/10.1057/hs.2015.2.</w:t>
          </w:r>
        </w:p>
        <w:p w14:paraId="34A4C1D9" w14:textId="77777777" w:rsidR="00464598" w:rsidRPr="00464598" w:rsidRDefault="00464598" w:rsidP="00671D36">
          <w:pPr>
            <w:autoSpaceDE w:val="0"/>
            <w:autoSpaceDN w:val="0"/>
            <w:ind w:hanging="640"/>
            <w:jc w:val="both"/>
            <w:divId w:val="366953952"/>
            <w:rPr>
              <w:rFonts w:ascii="Aptos" w:eastAsia="Times New Roman" w:hAnsi="Aptos"/>
              <w:color w:val="000000"/>
            </w:rPr>
          </w:pPr>
          <w:r w:rsidRPr="00464598">
            <w:rPr>
              <w:rFonts w:ascii="Aptos" w:eastAsia="Times New Roman" w:hAnsi="Aptos"/>
              <w:color w:val="000000"/>
            </w:rPr>
            <w:t>(3)</w:t>
          </w:r>
          <w:r w:rsidRPr="00464598">
            <w:rPr>
              <w:rFonts w:ascii="Aptos" w:eastAsia="Times New Roman" w:hAnsi="Aptos"/>
              <w:color w:val="000000"/>
            </w:rPr>
            <w:tab/>
          </w:r>
          <w:proofErr w:type="spellStart"/>
          <w:r w:rsidRPr="00464598">
            <w:rPr>
              <w:rFonts w:ascii="Aptos" w:eastAsia="Times New Roman" w:hAnsi="Aptos"/>
              <w:color w:val="000000"/>
            </w:rPr>
            <w:t>Koella</w:t>
          </w:r>
          <w:proofErr w:type="spellEnd"/>
          <w:r w:rsidRPr="00464598">
            <w:rPr>
              <w:rFonts w:ascii="Aptos" w:eastAsia="Times New Roman" w:hAnsi="Aptos"/>
              <w:color w:val="000000"/>
            </w:rPr>
            <w:t xml:space="preserve">, J. C.; Antia, R. </w:t>
          </w:r>
          <w:r w:rsidRPr="00464598">
            <w:rPr>
              <w:rFonts w:ascii="Aptos" w:eastAsia="Times New Roman" w:hAnsi="Aptos"/>
              <w:i/>
              <w:iCs/>
              <w:color w:val="000000"/>
            </w:rPr>
            <w:t>Malaria Journal Epidemiological Models for the Spread of Anti-Malarial Resistance</w:t>
          </w:r>
          <w:r w:rsidRPr="00464598">
            <w:rPr>
              <w:rFonts w:ascii="Aptos" w:eastAsia="Times New Roman" w:hAnsi="Aptos"/>
              <w:color w:val="000000"/>
            </w:rPr>
            <w:t>; 2003. http://www.malariajournal.com/content/2/1/3.</w:t>
          </w:r>
        </w:p>
        <w:p w14:paraId="2FAD820B" w14:textId="77777777" w:rsidR="00464598" w:rsidRPr="00464598" w:rsidRDefault="00464598" w:rsidP="00671D36">
          <w:pPr>
            <w:autoSpaceDE w:val="0"/>
            <w:autoSpaceDN w:val="0"/>
            <w:ind w:hanging="640"/>
            <w:jc w:val="both"/>
            <w:divId w:val="1865440126"/>
            <w:rPr>
              <w:rFonts w:ascii="Aptos" w:eastAsia="Times New Roman" w:hAnsi="Aptos"/>
              <w:color w:val="000000"/>
            </w:rPr>
          </w:pPr>
          <w:r w:rsidRPr="00464598">
            <w:rPr>
              <w:rFonts w:ascii="Aptos" w:eastAsia="Times New Roman" w:hAnsi="Aptos"/>
              <w:color w:val="000000"/>
            </w:rPr>
            <w:t>(4)</w:t>
          </w:r>
          <w:r w:rsidRPr="00464598">
            <w:rPr>
              <w:rFonts w:ascii="Aptos" w:eastAsia="Times New Roman" w:hAnsi="Aptos"/>
              <w:color w:val="000000"/>
            </w:rPr>
            <w:tab/>
          </w:r>
          <w:proofErr w:type="spellStart"/>
          <w:r w:rsidRPr="00464598">
            <w:rPr>
              <w:rFonts w:ascii="Aptos" w:eastAsia="Times New Roman" w:hAnsi="Aptos"/>
              <w:color w:val="000000"/>
            </w:rPr>
            <w:t>Makanga</w:t>
          </w:r>
          <w:proofErr w:type="spellEnd"/>
          <w:r w:rsidRPr="00464598">
            <w:rPr>
              <w:rFonts w:ascii="Aptos" w:eastAsia="Times New Roman" w:hAnsi="Aptos"/>
              <w:color w:val="000000"/>
            </w:rPr>
            <w:t xml:space="preserve">, M.; </w:t>
          </w:r>
          <w:proofErr w:type="spellStart"/>
          <w:r w:rsidRPr="00464598">
            <w:rPr>
              <w:rFonts w:ascii="Aptos" w:eastAsia="Times New Roman" w:hAnsi="Aptos"/>
              <w:color w:val="000000"/>
            </w:rPr>
            <w:t>Krudsood</w:t>
          </w:r>
          <w:proofErr w:type="spellEnd"/>
          <w:r w:rsidRPr="00464598">
            <w:rPr>
              <w:rFonts w:ascii="Aptos" w:eastAsia="Times New Roman" w:hAnsi="Aptos"/>
              <w:color w:val="000000"/>
            </w:rPr>
            <w:t>, S. The Clinical Efficacy of Artemether/Lumefantrine (</w:t>
          </w:r>
          <w:proofErr w:type="spellStart"/>
          <w:r w:rsidRPr="00464598">
            <w:rPr>
              <w:rFonts w:ascii="Aptos" w:eastAsia="Times New Roman" w:hAnsi="Aptos"/>
              <w:color w:val="000000"/>
            </w:rPr>
            <w:t>Coartem</w:t>
          </w:r>
          <w:proofErr w:type="spellEnd"/>
          <w:r w:rsidRPr="00464598">
            <w:rPr>
              <w:rFonts w:ascii="Aptos" w:eastAsia="Times New Roman" w:hAnsi="Aptos"/>
              <w:color w:val="000000"/>
            </w:rPr>
            <w:t xml:space="preserve">®). </w:t>
          </w:r>
          <w:r w:rsidRPr="00464598">
            <w:rPr>
              <w:rFonts w:ascii="Aptos" w:eastAsia="Times New Roman" w:hAnsi="Aptos"/>
              <w:i/>
              <w:iCs/>
              <w:color w:val="000000"/>
            </w:rPr>
            <w:t>Malar. J.</w:t>
          </w:r>
          <w:r w:rsidRPr="00464598">
            <w:rPr>
              <w:rFonts w:ascii="Aptos" w:eastAsia="Times New Roman" w:hAnsi="Aptos"/>
              <w:color w:val="000000"/>
            </w:rPr>
            <w:t xml:space="preserve"> </w:t>
          </w:r>
          <w:r w:rsidRPr="00464598">
            <w:rPr>
              <w:rFonts w:ascii="Aptos" w:eastAsia="Times New Roman" w:hAnsi="Aptos"/>
              <w:b/>
              <w:bCs/>
              <w:color w:val="000000"/>
            </w:rPr>
            <w:t>2009</w:t>
          </w:r>
          <w:r w:rsidRPr="00464598">
            <w:rPr>
              <w:rFonts w:ascii="Aptos" w:eastAsia="Times New Roman" w:hAnsi="Aptos"/>
              <w:color w:val="000000"/>
            </w:rPr>
            <w:t xml:space="preserve">, </w:t>
          </w:r>
          <w:r w:rsidRPr="00464598">
            <w:rPr>
              <w:rFonts w:ascii="Aptos" w:eastAsia="Times New Roman" w:hAnsi="Aptos"/>
              <w:i/>
              <w:iCs/>
              <w:color w:val="000000"/>
            </w:rPr>
            <w:t>8</w:t>
          </w:r>
          <w:r w:rsidRPr="00464598">
            <w:rPr>
              <w:rFonts w:ascii="Aptos" w:eastAsia="Times New Roman" w:hAnsi="Aptos"/>
              <w:color w:val="000000"/>
            </w:rPr>
            <w:t xml:space="preserve"> (SUPPL. 1). https://doi.org/10.1186/1475-2875-8-S1-S5.</w:t>
          </w:r>
        </w:p>
        <w:p w14:paraId="2E629C2A" w14:textId="77777777" w:rsidR="00464598" w:rsidRPr="00464598" w:rsidRDefault="00464598" w:rsidP="00671D36">
          <w:pPr>
            <w:autoSpaceDE w:val="0"/>
            <w:autoSpaceDN w:val="0"/>
            <w:ind w:hanging="640"/>
            <w:jc w:val="both"/>
            <w:divId w:val="1001812931"/>
            <w:rPr>
              <w:rFonts w:ascii="Aptos" w:eastAsia="Times New Roman" w:hAnsi="Aptos"/>
              <w:color w:val="000000"/>
            </w:rPr>
          </w:pPr>
          <w:r w:rsidRPr="00464598">
            <w:rPr>
              <w:rFonts w:ascii="Aptos" w:eastAsia="Times New Roman" w:hAnsi="Aptos"/>
              <w:color w:val="000000"/>
            </w:rPr>
            <w:t>(5)</w:t>
          </w:r>
          <w:r w:rsidRPr="00464598">
            <w:rPr>
              <w:rFonts w:ascii="Aptos" w:eastAsia="Times New Roman" w:hAnsi="Aptos"/>
              <w:color w:val="000000"/>
            </w:rPr>
            <w:tab/>
            <w:t xml:space="preserve">Lubell, Y.; </w:t>
          </w:r>
          <w:proofErr w:type="spellStart"/>
          <w:r w:rsidRPr="00464598">
            <w:rPr>
              <w:rFonts w:ascii="Aptos" w:eastAsia="Times New Roman" w:hAnsi="Aptos"/>
              <w:color w:val="000000"/>
            </w:rPr>
            <w:t>Staedke</w:t>
          </w:r>
          <w:proofErr w:type="spellEnd"/>
          <w:r w:rsidRPr="00464598">
            <w:rPr>
              <w:rFonts w:ascii="Aptos" w:eastAsia="Times New Roman" w:hAnsi="Aptos"/>
              <w:color w:val="000000"/>
            </w:rPr>
            <w:t xml:space="preserve">, S. G.; Greenwood, B. M.; Kamya, M. R.; Molyneux, M.; Newton, P. N.; Reyburn, H.; Snow, R. W.; D’Alessandro, U.; English, M.; Day, N.; Kremsner, P.; </w:t>
          </w:r>
          <w:proofErr w:type="spellStart"/>
          <w:r w:rsidRPr="00464598">
            <w:rPr>
              <w:rFonts w:ascii="Aptos" w:eastAsia="Times New Roman" w:hAnsi="Aptos"/>
              <w:color w:val="000000"/>
            </w:rPr>
            <w:t>Dondorp</w:t>
          </w:r>
          <w:proofErr w:type="spellEnd"/>
          <w:r w:rsidRPr="00464598">
            <w:rPr>
              <w:rFonts w:ascii="Aptos" w:eastAsia="Times New Roman" w:hAnsi="Aptos"/>
              <w:color w:val="000000"/>
            </w:rPr>
            <w:t xml:space="preserve">, A.; </w:t>
          </w:r>
          <w:proofErr w:type="spellStart"/>
          <w:r w:rsidRPr="00464598">
            <w:rPr>
              <w:rFonts w:ascii="Aptos" w:eastAsia="Times New Roman" w:hAnsi="Aptos"/>
              <w:color w:val="000000"/>
            </w:rPr>
            <w:t>Mbacham</w:t>
          </w:r>
          <w:proofErr w:type="spellEnd"/>
          <w:r w:rsidRPr="00464598">
            <w:rPr>
              <w:rFonts w:ascii="Aptos" w:eastAsia="Times New Roman" w:hAnsi="Aptos"/>
              <w:color w:val="000000"/>
            </w:rPr>
            <w:t xml:space="preserve">, W.; Dorsey, G.; Owusu-Agyei, S.; Maitland, K.; Krishna, S.; Newton, C.; </w:t>
          </w:r>
          <w:proofErr w:type="spellStart"/>
          <w:r w:rsidRPr="00464598">
            <w:rPr>
              <w:rFonts w:ascii="Aptos" w:eastAsia="Times New Roman" w:hAnsi="Aptos"/>
              <w:color w:val="000000"/>
            </w:rPr>
            <w:t>Pasvol</w:t>
          </w:r>
          <w:proofErr w:type="spellEnd"/>
          <w:r w:rsidRPr="00464598">
            <w:rPr>
              <w:rFonts w:ascii="Aptos" w:eastAsia="Times New Roman" w:hAnsi="Aptos"/>
              <w:color w:val="000000"/>
            </w:rPr>
            <w:t xml:space="preserve">, G.; Taylor, T.; von Seidlein, L.; White, N. J.; Binka, F.; Mills, A.; Whitty, C. J. M. Likely Health Outcomes for Untreated Acute Febrile Illness in the Tropics in Decision and Economic Models; a Delphi Survey. </w:t>
          </w:r>
          <w:proofErr w:type="spellStart"/>
          <w:r w:rsidRPr="00464598">
            <w:rPr>
              <w:rFonts w:ascii="Aptos" w:eastAsia="Times New Roman" w:hAnsi="Aptos"/>
              <w:i/>
              <w:iCs/>
              <w:color w:val="000000"/>
            </w:rPr>
            <w:t>PLoS</w:t>
          </w:r>
          <w:proofErr w:type="spellEnd"/>
          <w:r w:rsidRPr="00464598">
            <w:rPr>
              <w:rFonts w:ascii="Aptos" w:eastAsia="Times New Roman" w:hAnsi="Aptos"/>
              <w:i/>
              <w:iCs/>
              <w:color w:val="000000"/>
            </w:rPr>
            <w:t xml:space="preserve"> One</w:t>
          </w:r>
          <w:r w:rsidRPr="00464598">
            <w:rPr>
              <w:rFonts w:ascii="Aptos" w:eastAsia="Times New Roman" w:hAnsi="Aptos"/>
              <w:color w:val="000000"/>
            </w:rPr>
            <w:t xml:space="preserve"> </w:t>
          </w:r>
          <w:r w:rsidRPr="00464598">
            <w:rPr>
              <w:rFonts w:ascii="Aptos" w:eastAsia="Times New Roman" w:hAnsi="Aptos"/>
              <w:b/>
              <w:bCs/>
              <w:color w:val="000000"/>
            </w:rPr>
            <w:t>2011</w:t>
          </w:r>
          <w:r w:rsidRPr="00464598">
            <w:rPr>
              <w:rFonts w:ascii="Aptos" w:eastAsia="Times New Roman" w:hAnsi="Aptos"/>
              <w:color w:val="000000"/>
            </w:rPr>
            <w:t xml:space="preserve">, </w:t>
          </w:r>
          <w:r w:rsidRPr="00464598">
            <w:rPr>
              <w:rFonts w:ascii="Aptos" w:eastAsia="Times New Roman" w:hAnsi="Aptos"/>
              <w:i/>
              <w:iCs/>
              <w:color w:val="000000"/>
            </w:rPr>
            <w:t>6</w:t>
          </w:r>
          <w:r w:rsidRPr="00464598">
            <w:rPr>
              <w:rFonts w:ascii="Aptos" w:eastAsia="Times New Roman" w:hAnsi="Aptos"/>
              <w:color w:val="000000"/>
            </w:rPr>
            <w:t xml:space="preserve"> (2). https://doi.org/10.1371/journal.pone.0017439.</w:t>
          </w:r>
        </w:p>
        <w:p w14:paraId="180DCBA1" w14:textId="77777777" w:rsidR="00464598" w:rsidRPr="00464598" w:rsidRDefault="00464598" w:rsidP="00671D36">
          <w:pPr>
            <w:autoSpaceDE w:val="0"/>
            <w:autoSpaceDN w:val="0"/>
            <w:ind w:hanging="640"/>
            <w:jc w:val="both"/>
            <w:divId w:val="244731861"/>
            <w:rPr>
              <w:rFonts w:ascii="Aptos" w:eastAsia="Times New Roman" w:hAnsi="Aptos"/>
              <w:color w:val="000000"/>
            </w:rPr>
          </w:pPr>
          <w:r w:rsidRPr="00464598">
            <w:rPr>
              <w:rFonts w:ascii="Aptos" w:eastAsia="Times New Roman" w:hAnsi="Aptos"/>
              <w:color w:val="000000"/>
            </w:rPr>
            <w:t>(6)</w:t>
          </w:r>
          <w:r w:rsidRPr="00464598">
            <w:rPr>
              <w:rFonts w:ascii="Aptos" w:eastAsia="Times New Roman" w:hAnsi="Aptos"/>
              <w:color w:val="000000"/>
            </w:rPr>
            <w:tab/>
          </w:r>
          <w:proofErr w:type="spellStart"/>
          <w:r w:rsidRPr="00464598">
            <w:rPr>
              <w:rFonts w:ascii="Aptos" w:eastAsia="Times New Roman" w:hAnsi="Aptos"/>
              <w:color w:val="000000"/>
            </w:rPr>
            <w:t>Silal</w:t>
          </w:r>
          <w:proofErr w:type="spellEnd"/>
          <w:r w:rsidRPr="00464598">
            <w:rPr>
              <w:rFonts w:ascii="Aptos" w:eastAsia="Times New Roman" w:hAnsi="Aptos"/>
              <w:color w:val="000000"/>
            </w:rPr>
            <w:t xml:space="preserve">, S. P.; Little, F.; Barnes, K. I.; White, L. J. Hitting a Moving Target: A Model for Malaria Elimination in the Presence of Population Movement. </w:t>
          </w:r>
          <w:proofErr w:type="spellStart"/>
          <w:r w:rsidRPr="00464598">
            <w:rPr>
              <w:rFonts w:ascii="Aptos" w:eastAsia="Times New Roman" w:hAnsi="Aptos"/>
              <w:i/>
              <w:iCs/>
              <w:color w:val="000000"/>
            </w:rPr>
            <w:t>PLoS</w:t>
          </w:r>
          <w:proofErr w:type="spellEnd"/>
          <w:r w:rsidRPr="00464598">
            <w:rPr>
              <w:rFonts w:ascii="Aptos" w:eastAsia="Times New Roman" w:hAnsi="Aptos"/>
              <w:i/>
              <w:iCs/>
              <w:color w:val="000000"/>
            </w:rPr>
            <w:t xml:space="preserve"> One</w:t>
          </w:r>
          <w:r w:rsidRPr="00464598">
            <w:rPr>
              <w:rFonts w:ascii="Aptos" w:eastAsia="Times New Roman" w:hAnsi="Aptos"/>
              <w:color w:val="000000"/>
            </w:rPr>
            <w:t xml:space="preserve"> </w:t>
          </w:r>
          <w:r w:rsidRPr="00464598">
            <w:rPr>
              <w:rFonts w:ascii="Aptos" w:eastAsia="Times New Roman" w:hAnsi="Aptos"/>
              <w:b/>
              <w:bCs/>
              <w:color w:val="000000"/>
            </w:rPr>
            <w:t>2015</w:t>
          </w:r>
          <w:r w:rsidRPr="00464598">
            <w:rPr>
              <w:rFonts w:ascii="Aptos" w:eastAsia="Times New Roman" w:hAnsi="Aptos"/>
              <w:color w:val="000000"/>
            </w:rPr>
            <w:t xml:space="preserve">, </w:t>
          </w:r>
          <w:r w:rsidRPr="00464598">
            <w:rPr>
              <w:rFonts w:ascii="Aptos" w:eastAsia="Times New Roman" w:hAnsi="Aptos"/>
              <w:i/>
              <w:iCs/>
              <w:color w:val="000000"/>
            </w:rPr>
            <w:t>10</w:t>
          </w:r>
          <w:r w:rsidRPr="00464598">
            <w:rPr>
              <w:rFonts w:ascii="Aptos" w:eastAsia="Times New Roman" w:hAnsi="Aptos"/>
              <w:color w:val="000000"/>
            </w:rPr>
            <w:t xml:space="preserve"> (12). https://doi.org/10.1371/journal.pone.0144990.</w:t>
          </w:r>
        </w:p>
        <w:p w14:paraId="6449A731" w14:textId="77777777" w:rsidR="00464598" w:rsidRPr="00464598" w:rsidRDefault="00464598" w:rsidP="00671D36">
          <w:pPr>
            <w:autoSpaceDE w:val="0"/>
            <w:autoSpaceDN w:val="0"/>
            <w:ind w:hanging="640"/>
            <w:jc w:val="both"/>
            <w:divId w:val="1176726276"/>
            <w:rPr>
              <w:rFonts w:ascii="Aptos" w:eastAsia="Times New Roman" w:hAnsi="Aptos"/>
              <w:color w:val="000000"/>
            </w:rPr>
          </w:pPr>
          <w:r w:rsidRPr="00464598">
            <w:rPr>
              <w:rFonts w:ascii="Aptos" w:eastAsia="Times New Roman" w:hAnsi="Aptos"/>
              <w:color w:val="000000"/>
            </w:rPr>
            <w:t>(7)</w:t>
          </w:r>
          <w:r w:rsidRPr="00464598">
            <w:rPr>
              <w:rFonts w:ascii="Aptos" w:eastAsia="Times New Roman" w:hAnsi="Aptos"/>
              <w:color w:val="000000"/>
            </w:rPr>
            <w:tab/>
            <w:t xml:space="preserve">Lindblade, K. A.; Steinhardt, L.; Samuels, A.; Kachur, S. P.; Slutsker, L. The Silent Threat: Asymptomatic Parasitemia and Malaria Transmission. </w:t>
          </w:r>
          <w:r w:rsidRPr="00464598">
            <w:rPr>
              <w:rFonts w:ascii="Aptos" w:eastAsia="Times New Roman" w:hAnsi="Aptos"/>
              <w:i/>
              <w:iCs/>
              <w:color w:val="000000"/>
            </w:rPr>
            <w:t>Expert Review of Anti-Infective Therapy</w:t>
          </w:r>
          <w:r w:rsidRPr="00464598">
            <w:rPr>
              <w:rFonts w:ascii="Aptos" w:eastAsia="Times New Roman" w:hAnsi="Aptos"/>
              <w:color w:val="000000"/>
            </w:rPr>
            <w:t>. June 2013, pp 623–639. https://doi.org/10.1586/eri.13.45.</w:t>
          </w:r>
        </w:p>
        <w:p w14:paraId="789FFC7B" w14:textId="77777777" w:rsidR="00464598" w:rsidRPr="00464598" w:rsidRDefault="00464598" w:rsidP="00671D36">
          <w:pPr>
            <w:autoSpaceDE w:val="0"/>
            <w:autoSpaceDN w:val="0"/>
            <w:ind w:hanging="640"/>
            <w:jc w:val="both"/>
            <w:divId w:val="705102030"/>
            <w:rPr>
              <w:rFonts w:ascii="Aptos" w:eastAsia="Times New Roman" w:hAnsi="Aptos"/>
              <w:color w:val="000000"/>
            </w:rPr>
          </w:pPr>
          <w:r w:rsidRPr="00464598">
            <w:rPr>
              <w:rFonts w:ascii="Aptos" w:eastAsia="Times New Roman" w:hAnsi="Aptos"/>
              <w:color w:val="000000"/>
            </w:rPr>
            <w:t>(8)</w:t>
          </w:r>
          <w:r w:rsidRPr="00464598">
            <w:rPr>
              <w:rFonts w:ascii="Aptos" w:eastAsia="Times New Roman" w:hAnsi="Aptos"/>
              <w:color w:val="000000"/>
            </w:rPr>
            <w:tab/>
            <w:t xml:space="preserve">White, M. T.; Verity, R.; Griffin, J. T.; Asante, K. P.; Owusu-Agyei, S.; Greenwood, B.; Drakeley, C.; </w:t>
          </w:r>
          <w:proofErr w:type="spellStart"/>
          <w:r w:rsidRPr="00464598">
            <w:rPr>
              <w:rFonts w:ascii="Aptos" w:eastAsia="Times New Roman" w:hAnsi="Aptos"/>
              <w:color w:val="000000"/>
            </w:rPr>
            <w:t>Gesase</w:t>
          </w:r>
          <w:proofErr w:type="spellEnd"/>
          <w:r w:rsidRPr="00464598">
            <w:rPr>
              <w:rFonts w:ascii="Aptos" w:eastAsia="Times New Roman" w:hAnsi="Aptos"/>
              <w:color w:val="000000"/>
            </w:rPr>
            <w:t xml:space="preserve">, S.; </w:t>
          </w:r>
          <w:proofErr w:type="spellStart"/>
          <w:r w:rsidRPr="00464598">
            <w:rPr>
              <w:rFonts w:ascii="Aptos" w:eastAsia="Times New Roman" w:hAnsi="Aptos"/>
              <w:color w:val="000000"/>
            </w:rPr>
            <w:t>Lusingu</w:t>
          </w:r>
          <w:proofErr w:type="spellEnd"/>
          <w:r w:rsidRPr="00464598">
            <w:rPr>
              <w:rFonts w:ascii="Aptos" w:eastAsia="Times New Roman" w:hAnsi="Aptos"/>
              <w:color w:val="000000"/>
            </w:rPr>
            <w:t xml:space="preserve">, J.; Ansong, D.; Adjei, S.; </w:t>
          </w:r>
          <w:proofErr w:type="spellStart"/>
          <w:r w:rsidRPr="00464598">
            <w:rPr>
              <w:rFonts w:ascii="Aptos" w:eastAsia="Times New Roman" w:hAnsi="Aptos"/>
              <w:color w:val="000000"/>
            </w:rPr>
            <w:t>Agbenyega</w:t>
          </w:r>
          <w:proofErr w:type="spellEnd"/>
          <w:r w:rsidRPr="00464598">
            <w:rPr>
              <w:rFonts w:ascii="Aptos" w:eastAsia="Times New Roman" w:hAnsi="Aptos"/>
              <w:color w:val="000000"/>
            </w:rPr>
            <w:t xml:space="preserve">, T.; Ogutu, B.; Otieno, L.; Otieno, W.; </w:t>
          </w:r>
          <w:proofErr w:type="spellStart"/>
          <w:r w:rsidRPr="00464598">
            <w:rPr>
              <w:rFonts w:ascii="Aptos" w:eastAsia="Times New Roman" w:hAnsi="Aptos"/>
              <w:color w:val="000000"/>
            </w:rPr>
            <w:t>Agnandji</w:t>
          </w:r>
          <w:proofErr w:type="spellEnd"/>
          <w:r w:rsidRPr="00464598">
            <w:rPr>
              <w:rFonts w:ascii="Aptos" w:eastAsia="Times New Roman" w:hAnsi="Aptos"/>
              <w:color w:val="000000"/>
            </w:rPr>
            <w:t xml:space="preserve">, S. T.; Lell, B.; Kremsner, P.; Hoffman, I.; Martinson, F.; </w:t>
          </w:r>
          <w:proofErr w:type="spellStart"/>
          <w:r w:rsidRPr="00464598">
            <w:rPr>
              <w:rFonts w:ascii="Aptos" w:eastAsia="Times New Roman" w:hAnsi="Aptos"/>
              <w:color w:val="000000"/>
            </w:rPr>
            <w:t>Kamthunzu</w:t>
          </w:r>
          <w:proofErr w:type="spellEnd"/>
          <w:r w:rsidRPr="00464598">
            <w:rPr>
              <w:rFonts w:ascii="Aptos" w:eastAsia="Times New Roman" w:hAnsi="Aptos"/>
              <w:color w:val="000000"/>
            </w:rPr>
            <w:t xml:space="preserve">, P.; Tinto, H.; Valea, I.; Sorgho, H.; Oneko, M.; Otieno, K.; Hamel, M. J.; Salim, N.; </w:t>
          </w:r>
          <w:proofErr w:type="spellStart"/>
          <w:r w:rsidRPr="00464598">
            <w:rPr>
              <w:rFonts w:ascii="Aptos" w:eastAsia="Times New Roman" w:hAnsi="Aptos"/>
              <w:color w:val="000000"/>
            </w:rPr>
            <w:t>Mtoro</w:t>
          </w:r>
          <w:proofErr w:type="spellEnd"/>
          <w:r w:rsidRPr="00464598">
            <w:rPr>
              <w:rFonts w:ascii="Aptos" w:eastAsia="Times New Roman" w:hAnsi="Aptos"/>
              <w:color w:val="000000"/>
            </w:rPr>
            <w:t xml:space="preserve">, A.; Abdulla, S.; Aide, P.; </w:t>
          </w:r>
          <w:proofErr w:type="spellStart"/>
          <w:r w:rsidRPr="00464598">
            <w:rPr>
              <w:rFonts w:ascii="Aptos" w:eastAsia="Times New Roman" w:hAnsi="Aptos"/>
              <w:color w:val="000000"/>
            </w:rPr>
            <w:t>Sacarlal</w:t>
          </w:r>
          <w:proofErr w:type="spellEnd"/>
          <w:r w:rsidRPr="00464598">
            <w:rPr>
              <w:rFonts w:ascii="Aptos" w:eastAsia="Times New Roman" w:hAnsi="Aptos"/>
              <w:color w:val="000000"/>
            </w:rPr>
            <w:t xml:space="preserve">, J.; Aponte, J. J.; Njuguna, P.; Marsh, K.; Bejon, P.; Riley, E. M.; Ghani, A. C. Immunogenicity of the RTS,S/AS01 Malaria Vaccine and Implications for Duration of Vaccine Efficacy: Secondary Analysis of Data from a Phase 3 </w:t>
          </w:r>
          <w:proofErr w:type="spellStart"/>
          <w:r w:rsidRPr="00464598">
            <w:rPr>
              <w:rFonts w:ascii="Aptos" w:eastAsia="Times New Roman" w:hAnsi="Aptos"/>
              <w:color w:val="000000"/>
            </w:rPr>
            <w:t>Randomised</w:t>
          </w:r>
          <w:proofErr w:type="spellEnd"/>
          <w:r w:rsidRPr="00464598">
            <w:rPr>
              <w:rFonts w:ascii="Aptos" w:eastAsia="Times New Roman" w:hAnsi="Aptos"/>
              <w:color w:val="000000"/>
            </w:rPr>
            <w:t xml:space="preserve"> Controlled Trial. </w:t>
          </w:r>
          <w:r w:rsidRPr="00464598">
            <w:rPr>
              <w:rFonts w:ascii="Aptos" w:eastAsia="Times New Roman" w:hAnsi="Aptos"/>
              <w:i/>
              <w:iCs/>
              <w:color w:val="000000"/>
            </w:rPr>
            <w:t>Lancet Infect. Dis.</w:t>
          </w:r>
          <w:r w:rsidRPr="00464598">
            <w:rPr>
              <w:rFonts w:ascii="Aptos" w:eastAsia="Times New Roman" w:hAnsi="Aptos"/>
              <w:color w:val="000000"/>
            </w:rPr>
            <w:t xml:space="preserve"> </w:t>
          </w:r>
          <w:r w:rsidRPr="00464598">
            <w:rPr>
              <w:rFonts w:ascii="Aptos" w:eastAsia="Times New Roman" w:hAnsi="Aptos"/>
              <w:b/>
              <w:bCs/>
              <w:color w:val="000000"/>
            </w:rPr>
            <w:t>2015</w:t>
          </w:r>
          <w:r w:rsidRPr="00464598">
            <w:rPr>
              <w:rFonts w:ascii="Aptos" w:eastAsia="Times New Roman" w:hAnsi="Aptos"/>
              <w:color w:val="000000"/>
            </w:rPr>
            <w:t xml:space="preserve">, </w:t>
          </w:r>
          <w:r w:rsidRPr="00464598">
            <w:rPr>
              <w:rFonts w:ascii="Aptos" w:eastAsia="Times New Roman" w:hAnsi="Aptos"/>
              <w:i/>
              <w:iCs/>
              <w:color w:val="000000"/>
            </w:rPr>
            <w:t>15</w:t>
          </w:r>
          <w:r w:rsidRPr="00464598">
            <w:rPr>
              <w:rFonts w:ascii="Aptos" w:eastAsia="Times New Roman" w:hAnsi="Aptos"/>
              <w:color w:val="000000"/>
            </w:rPr>
            <w:t xml:space="preserve"> (12), 1450–1458. https://doi.org/10.1016/S1473-3099(15)00239-X.</w:t>
          </w:r>
        </w:p>
        <w:p w14:paraId="2CA5FA4A" w14:textId="77777777" w:rsidR="00464598" w:rsidRPr="00464598" w:rsidRDefault="00464598" w:rsidP="00671D36">
          <w:pPr>
            <w:autoSpaceDE w:val="0"/>
            <w:autoSpaceDN w:val="0"/>
            <w:ind w:hanging="640"/>
            <w:jc w:val="both"/>
            <w:divId w:val="961761884"/>
            <w:rPr>
              <w:rFonts w:ascii="Aptos" w:eastAsia="Times New Roman" w:hAnsi="Aptos"/>
              <w:color w:val="000000"/>
            </w:rPr>
          </w:pPr>
          <w:r w:rsidRPr="00464598">
            <w:rPr>
              <w:rFonts w:ascii="Aptos" w:eastAsia="Times New Roman" w:hAnsi="Aptos"/>
              <w:color w:val="000000"/>
            </w:rPr>
            <w:t>(9)</w:t>
          </w:r>
          <w:r w:rsidRPr="00464598">
            <w:rPr>
              <w:rFonts w:ascii="Aptos" w:eastAsia="Times New Roman" w:hAnsi="Aptos"/>
              <w:color w:val="000000"/>
            </w:rPr>
            <w:tab/>
            <w:t xml:space="preserve">Kenya National Bureau of Statistics. 2019 KENYA POPULATION AND HOUSING CENSUS. </w:t>
          </w:r>
          <w:r w:rsidRPr="00464598">
            <w:rPr>
              <w:rFonts w:ascii="Aptos" w:eastAsia="Times New Roman" w:hAnsi="Aptos"/>
              <w:b/>
              <w:bCs/>
              <w:color w:val="000000"/>
            </w:rPr>
            <w:t>2019</w:t>
          </w:r>
          <w:r w:rsidRPr="00464598">
            <w:rPr>
              <w:rFonts w:ascii="Aptos" w:eastAsia="Times New Roman" w:hAnsi="Aptos"/>
              <w:color w:val="000000"/>
            </w:rPr>
            <w:t>.</w:t>
          </w:r>
        </w:p>
        <w:p w14:paraId="767FA93E" w14:textId="77777777" w:rsidR="00464598" w:rsidRPr="00464598" w:rsidRDefault="00464598" w:rsidP="00671D36">
          <w:pPr>
            <w:autoSpaceDE w:val="0"/>
            <w:autoSpaceDN w:val="0"/>
            <w:ind w:hanging="640"/>
            <w:jc w:val="both"/>
            <w:divId w:val="2122917983"/>
            <w:rPr>
              <w:rFonts w:ascii="Aptos" w:eastAsia="Times New Roman" w:hAnsi="Aptos"/>
              <w:color w:val="000000"/>
            </w:rPr>
          </w:pPr>
          <w:r w:rsidRPr="00464598">
            <w:rPr>
              <w:rFonts w:ascii="Aptos" w:eastAsia="Times New Roman" w:hAnsi="Aptos"/>
              <w:color w:val="000000"/>
            </w:rPr>
            <w:lastRenderedPageBreak/>
            <w:t>(10)</w:t>
          </w:r>
          <w:r w:rsidRPr="00464598">
            <w:rPr>
              <w:rFonts w:ascii="Aptos" w:eastAsia="Times New Roman" w:hAnsi="Aptos"/>
              <w:color w:val="000000"/>
            </w:rPr>
            <w:tab/>
            <w:t xml:space="preserve">RTS, S. C. T. P. Efficacy and Safety of </w:t>
          </w:r>
          <w:proofErr w:type="gramStart"/>
          <w:r w:rsidRPr="00464598">
            <w:rPr>
              <w:rFonts w:ascii="Aptos" w:eastAsia="Times New Roman" w:hAnsi="Aptos"/>
              <w:color w:val="000000"/>
            </w:rPr>
            <w:t>RTS,S</w:t>
          </w:r>
          <w:proofErr w:type="gramEnd"/>
          <w:r w:rsidRPr="00464598">
            <w:rPr>
              <w:rFonts w:ascii="Aptos" w:eastAsia="Times New Roman" w:hAnsi="Aptos"/>
              <w:color w:val="000000"/>
            </w:rPr>
            <w:t xml:space="preserve">/AS01 Malaria Vaccine with or without a Booster Dose in Infants and Children in Africa: Final Results of a Phase 3, Individually </w:t>
          </w:r>
          <w:proofErr w:type="spellStart"/>
          <w:r w:rsidRPr="00464598">
            <w:rPr>
              <w:rFonts w:ascii="Aptos" w:eastAsia="Times New Roman" w:hAnsi="Aptos"/>
              <w:color w:val="000000"/>
            </w:rPr>
            <w:t>Randomised</w:t>
          </w:r>
          <w:proofErr w:type="spellEnd"/>
          <w:r w:rsidRPr="00464598">
            <w:rPr>
              <w:rFonts w:ascii="Aptos" w:eastAsia="Times New Roman" w:hAnsi="Aptos"/>
              <w:color w:val="000000"/>
            </w:rPr>
            <w:t xml:space="preserve">, Controlled Trial. </w:t>
          </w:r>
          <w:r w:rsidRPr="00464598">
            <w:rPr>
              <w:rFonts w:ascii="Aptos" w:eastAsia="Times New Roman" w:hAnsi="Aptos"/>
              <w:i/>
              <w:iCs/>
              <w:color w:val="000000"/>
            </w:rPr>
            <w:t>The Lancet</w:t>
          </w:r>
          <w:r w:rsidRPr="00464598">
            <w:rPr>
              <w:rFonts w:ascii="Aptos" w:eastAsia="Times New Roman" w:hAnsi="Aptos"/>
              <w:color w:val="000000"/>
            </w:rPr>
            <w:t xml:space="preserve"> </w:t>
          </w:r>
          <w:r w:rsidRPr="00464598">
            <w:rPr>
              <w:rFonts w:ascii="Aptos" w:eastAsia="Times New Roman" w:hAnsi="Aptos"/>
              <w:b/>
              <w:bCs/>
              <w:color w:val="000000"/>
            </w:rPr>
            <w:t>2015</w:t>
          </w:r>
          <w:r w:rsidRPr="00464598">
            <w:rPr>
              <w:rFonts w:ascii="Aptos" w:eastAsia="Times New Roman" w:hAnsi="Aptos"/>
              <w:color w:val="000000"/>
            </w:rPr>
            <w:t xml:space="preserve">, </w:t>
          </w:r>
          <w:r w:rsidRPr="00464598">
            <w:rPr>
              <w:rFonts w:ascii="Aptos" w:eastAsia="Times New Roman" w:hAnsi="Aptos"/>
              <w:i/>
              <w:iCs/>
              <w:color w:val="000000"/>
            </w:rPr>
            <w:t>386</w:t>
          </w:r>
          <w:r w:rsidRPr="00464598">
            <w:rPr>
              <w:rFonts w:ascii="Aptos" w:eastAsia="Times New Roman" w:hAnsi="Aptos"/>
              <w:color w:val="000000"/>
            </w:rPr>
            <w:t xml:space="preserve"> (9988), 31–45. https://doi.org/10.1016/S0140-6736(15)60721-8.</w:t>
          </w:r>
        </w:p>
        <w:p w14:paraId="1A8CB0DA" w14:textId="77777777" w:rsidR="00464598" w:rsidRPr="00464598" w:rsidRDefault="00464598" w:rsidP="00671D36">
          <w:pPr>
            <w:autoSpaceDE w:val="0"/>
            <w:autoSpaceDN w:val="0"/>
            <w:ind w:hanging="640"/>
            <w:jc w:val="both"/>
            <w:divId w:val="1183516377"/>
            <w:rPr>
              <w:rFonts w:ascii="Aptos" w:eastAsia="Times New Roman" w:hAnsi="Aptos"/>
              <w:color w:val="000000"/>
            </w:rPr>
          </w:pPr>
          <w:r w:rsidRPr="00464598">
            <w:rPr>
              <w:rFonts w:ascii="Aptos" w:eastAsia="Times New Roman" w:hAnsi="Aptos"/>
              <w:color w:val="000000"/>
            </w:rPr>
            <w:t>(11)</w:t>
          </w:r>
          <w:r w:rsidRPr="00464598">
            <w:rPr>
              <w:rFonts w:ascii="Aptos" w:eastAsia="Times New Roman" w:hAnsi="Aptos"/>
              <w:color w:val="000000"/>
            </w:rPr>
            <w:tab/>
            <w:t xml:space="preserve">World Health </w:t>
          </w:r>
          <w:proofErr w:type="spellStart"/>
          <w:r w:rsidRPr="00464598">
            <w:rPr>
              <w:rFonts w:ascii="Aptos" w:eastAsia="Times New Roman" w:hAnsi="Aptos"/>
              <w:color w:val="000000"/>
            </w:rPr>
            <w:t>Organisation</w:t>
          </w:r>
          <w:proofErr w:type="spellEnd"/>
          <w:r w:rsidRPr="00464598">
            <w:rPr>
              <w:rFonts w:ascii="Aptos" w:eastAsia="Times New Roman" w:hAnsi="Aptos"/>
              <w:color w:val="000000"/>
            </w:rPr>
            <w:t xml:space="preserve">. </w:t>
          </w:r>
          <w:r w:rsidRPr="00464598">
            <w:rPr>
              <w:rFonts w:ascii="Aptos" w:eastAsia="Times New Roman" w:hAnsi="Aptos"/>
              <w:i/>
              <w:iCs/>
              <w:color w:val="000000"/>
            </w:rPr>
            <w:t>World Malaria Report 2025</w:t>
          </w:r>
          <w:r w:rsidRPr="00464598">
            <w:rPr>
              <w:rFonts w:ascii="Aptos" w:eastAsia="Times New Roman" w:hAnsi="Aptos"/>
              <w:color w:val="000000"/>
            </w:rPr>
            <w:t>; World Health Organization, 2025.</w:t>
          </w:r>
        </w:p>
        <w:p w14:paraId="22696274" w14:textId="77777777" w:rsidR="00464598" w:rsidRPr="00464598" w:rsidRDefault="00464598" w:rsidP="00671D36">
          <w:pPr>
            <w:autoSpaceDE w:val="0"/>
            <w:autoSpaceDN w:val="0"/>
            <w:ind w:hanging="640"/>
            <w:jc w:val="both"/>
            <w:divId w:val="1719697178"/>
            <w:rPr>
              <w:rFonts w:ascii="Aptos" w:eastAsia="Times New Roman" w:hAnsi="Aptos"/>
              <w:color w:val="000000"/>
            </w:rPr>
          </w:pPr>
          <w:r w:rsidRPr="00464598">
            <w:rPr>
              <w:rFonts w:ascii="Aptos" w:eastAsia="Times New Roman" w:hAnsi="Aptos"/>
              <w:color w:val="000000"/>
            </w:rPr>
            <w:t>(12)</w:t>
          </w:r>
          <w:r w:rsidRPr="00464598">
            <w:rPr>
              <w:rFonts w:ascii="Aptos" w:eastAsia="Times New Roman" w:hAnsi="Aptos"/>
              <w:color w:val="000000"/>
            </w:rPr>
            <w:tab/>
          </w:r>
          <w:proofErr w:type="spellStart"/>
          <w:r w:rsidRPr="00464598">
            <w:rPr>
              <w:rFonts w:ascii="Aptos" w:eastAsia="Times New Roman" w:hAnsi="Aptos"/>
              <w:color w:val="000000"/>
            </w:rPr>
            <w:t>Chiziba</w:t>
          </w:r>
          <w:proofErr w:type="spellEnd"/>
          <w:r w:rsidRPr="00464598">
            <w:rPr>
              <w:rFonts w:ascii="Aptos" w:eastAsia="Times New Roman" w:hAnsi="Aptos"/>
              <w:color w:val="000000"/>
            </w:rPr>
            <w:t xml:space="preserve">, C.; </w:t>
          </w:r>
          <w:proofErr w:type="spellStart"/>
          <w:r w:rsidRPr="00464598">
            <w:rPr>
              <w:rFonts w:ascii="Aptos" w:eastAsia="Times New Roman" w:hAnsi="Aptos"/>
              <w:color w:val="000000"/>
            </w:rPr>
            <w:t>Chiwaula</w:t>
          </w:r>
          <w:proofErr w:type="spellEnd"/>
          <w:r w:rsidRPr="00464598">
            <w:rPr>
              <w:rFonts w:ascii="Aptos" w:eastAsia="Times New Roman" w:hAnsi="Aptos"/>
              <w:color w:val="000000"/>
            </w:rPr>
            <w:t xml:space="preserve">, J.; </w:t>
          </w:r>
          <w:proofErr w:type="spellStart"/>
          <w:r w:rsidRPr="00464598">
            <w:rPr>
              <w:rFonts w:ascii="Aptos" w:eastAsia="Times New Roman" w:hAnsi="Aptos"/>
              <w:color w:val="000000"/>
            </w:rPr>
            <w:t>Hamainza</w:t>
          </w:r>
          <w:proofErr w:type="spellEnd"/>
          <w:r w:rsidRPr="00464598">
            <w:rPr>
              <w:rFonts w:ascii="Aptos" w:eastAsia="Times New Roman" w:hAnsi="Aptos"/>
              <w:color w:val="000000"/>
            </w:rPr>
            <w:t xml:space="preserve">, B.; </w:t>
          </w:r>
          <w:proofErr w:type="spellStart"/>
          <w:r w:rsidRPr="00464598">
            <w:rPr>
              <w:rFonts w:ascii="Aptos" w:eastAsia="Times New Roman" w:hAnsi="Aptos"/>
              <w:color w:val="000000"/>
            </w:rPr>
            <w:t>Silal</w:t>
          </w:r>
          <w:proofErr w:type="spellEnd"/>
          <w:r w:rsidRPr="00464598">
            <w:rPr>
              <w:rFonts w:ascii="Aptos" w:eastAsia="Times New Roman" w:hAnsi="Aptos"/>
              <w:color w:val="000000"/>
            </w:rPr>
            <w:t xml:space="preserve">, S. Advancing Malaria Reactive Case Detection in a Zambia-like Setting: A Modeling Study. </w:t>
          </w:r>
          <w:r w:rsidRPr="00464598">
            <w:rPr>
              <w:rFonts w:ascii="Aptos" w:eastAsia="Times New Roman" w:hAnsi="Aptos"/>
              <w:i/>
              <w:iCs/>
              <w:color w:val="000000"/>
            </w:rPr>
            <w:t>PLOS Global Public Health</w:t>
          </w:r>
          <w:r w:rsidRPr="00464598">
            <w:rPr>
              <w:rFonts w:ascii="Aptos" w:eastAsia="Times New Roman" w:hAnsi="Aptos"/>
              <w:color w:val="000000"/>
            </w:rPr>
            <w:t xml:space="preserve"> </w:t>
          </w:r>
          <w:r w:rsidRPr="00464598">
            <w:rPr>
              <w:rFonts w:ascii="Aptos" w:eastAsia="Times New Roman" w:hAnsi="Aptos"/>
              <w:b/>
              <w:bCs/>
              <w:color w:val="000000"/>
            </w:rPr>
            <w:t>2025</w:t>
          </w:r>
          <w:r w:rsidRPr="00464598">
            <w:rPr>
              <w:rFonts w:ascii="Aptos" w:eastAsia="Times New Roman" w:hAnsi="Aptos"/>
              <w:color w:val="000000"/>
            </w:rPr>
            <w:t xml:space="preserve">, </w:t>
          </w:r>
          <w:r w:rsidRPr="00464598">
            <w:rPr>
              <w:rFonts w:ascii="Aptos" w:eastAsia="Times New Roman" w:hAnsi="Aptos"/>
              <w:i/>
              <w:iCs/>
              <w:color w:val="000000"/>
            </w:rPr>
            <w:t>5</w:t>
          </w:r>
          <w:r w:rsidRPr="00464598">
            <w:rPr>
              <w:rFonts w:ascii="Aptos" w:eastAsia="Times New Roman" w:hAnsi="Aptos"/>
              <w:color w:val="000000"/>
            </w:rPr>
            <w:t xml:space="preserve"> (2). https://doi.org/10.1371/journal.pgph.0004288.</w:t>
          </w:r>
        </w:p>
        <w:p w14:paraId="28DFCEF8" w14:textId="3FF2CC04" w:rsidR="00C30BDC" w:rsidRPr="00C30BDC" w:rsidRDefault="00464598" w:rsidP="00671D36">
          <w:pPr>
            <w:pStyle w:val="BodyText"/>
            <w:jc w:val="both"/>
          </w:pPr>
          <w:r w:rsidRPr="00464598">
            <w:rPr>
              <w:rFonts w:ascii="Aptos" w:eastAsia="Times New Roman" w:hAnsi="Aptos"/>
              <w:color w:val="000000"/>
            </w:rPr>
            <w:t> </w:t>
          </w:r>
        </w:p>
      </w:sdtContent>
    </w:sdt>
    <w:sectPr w:rsidR="00C30BDC" w:rsidRPr="00C30BDC">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DEE0EC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7BE13D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71C03F9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053117027">
    <w:abstractNumId w:val="0"/>
  </w:num>
  <w:num w:numId="2" w16cid:durableId="1628970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5452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D351E9"/>
    <w:rsid w:val="00012E54"/>
    <w:rsid w:val="0003505C"/>
    <w:rsid w:val="00047314"/>
    <w:rsid w:val="00055FA4"/>
    <w:rsid w:val="000665D8"/>
    <w:rsid w:val="0007271F"/>
    <w:rsid w:val="00082145"/>
    <w:rsid w:val="000A0129"/>
    <w:rsid w:val="000A14CD"/>
    <w:rsid w:val="000A2621"/>
    <w:rsid w:val="000B623C"/>
    <w:rsid w:val="000C1AE1"/>
    <w:rsid w:val="000C3460"/>
    <w:rsid w:val="000C4CE4"/>
    <w:rsid w:val="000E05BC"/>
    <w:rsid w:val="000F04B2"/>
    <w:rsid w:val="000F2128"/>
    <w:rsid w:val="000F3582"/>
    <w:rsid w:val="000F640B"/>
    <w:rsid w:val="0010745F"/>
    <w:rsid w:val="0012359B"/>
    <w:rsid w:val="001532EE"/>
    <w:rsid w:val="001717AF"/>
    <w:rsid w:val="00182738"/>
    <w:rsid w:val="00193409"/>
    <w:rsid w:val="001A155C"/>
    <w:rsid w:val="001B05DC"/>
    <w:rsid w:val="001C2169"/>
    <w:rsid w:val="001E31C5"/>
    <w:rsid w:val="001E5113"/>
    <w:rsid w:val="001F5C3B"/>
    <w:rsid w:val="001F5D07"/>
    <w:rsid w:val="0020225D"/>
    <w:rsid w:val="00212530"/>
    <w:rsid w:val="00212A00"/>
    <w:rsid w:val="00222805"/>
    <w:rsid w:val="00246129"/>
    <w:rsid w:val="00254D86"/>
    <w:rsid w:val="00283777"/>
    <w:rsid w:val="002A6C4D"/>
    <w:rsid w:val="002B77AE"/>
    <w:rsid w:val="002C1E27"/>
    <w:rsid w:val="002C1F34"/>
    <w:rsid w:val="002C7DB5"/>
    <w:rsid w:val="002D320E"/>
    <w:rsid w:val="002D4A14"/>
    <w:rsid w:val="002D7BD3"/>
    <w:rsid w:val="0032041A"/>
    <w:rsid w:val="00330877"/>
    <w:rsid w:val="00342FD6"/>
    <w:rsid w:val="003457B4"/>
    <w:rsid w:val="003549C6"/>
    <w:rsid w:val="0039477A"/>
    <w:rsid w:val="003A5DA3"/>
    <w:rsid w:val="003B1B21"/>
    <w:rsid w:val="003B5B84"/>
    <w:rsid w:val="003B6E5D"/>
    <w:rsid w:val="003B775D"/>
    <w:rsid w:val="003C07C6"/>
    <w:rsid w:val="003C510F"/>
    <w:rsid w:val="003D3831"/>
    <w:rsid w:val="003D4C83"/>
    <w:rsid w:val="003F5484"/>
    <w:rsid w:val="003F7814"/>
    <w:rsid w:val="00401C21"/>
    <w:rsid w:val="004044FB"/>
    <w:rsid w:val="00405833"/>
    <w:rsid w:val="00407980"/>
    <w:rsid w:val="00414220"/>
    <w:rsid w:val="00414B1E"/>
    <w:rsid w:val="004440B3"/>
    <w:rsid w:val="00452E09"/>
    <w:rsid w:val="0045562C"/>
    <w:rsid w:val="004619AC"/>
    <w:rsid w:val="00461CD4"/>
    <w:rsid w:val="00464598"/>
    <w:rsid w:val="00467B06"/>
    <w:rsid w:val="00473AC9"/>
    <w:rsid w:val="00496C22"/>
    <w:rsid w:val="004A0642"/>
    <w:rsid w:val="004A0CA3"/>
    <w:rsid w:val="004A340B"/>
    <w:rsid w:val="004C2E14"/>
    <w:rsid w:val="004C41BF"/>
    <w:rsid w:val="004D260C"/>
    <w:rsid w:val="004F3795"/>
    <w:rsid w:val="0050234A"/>
    <w:rsid w:val="005029B1"/>
    <w:rsid w:val="0050382B"/>
    <w:rsid w:val="00513710"/>
    <w:rsid w:val="00520F53"/>
    <w:rsid w:val="00532411"/>
    <w:rsid w:val="0053299C"/>
    <w:rsid w:val="00541480"/>
    <w:rsid w:val="0055724D"/>
    <w:rsid w:val="005676EA"/>
    <w:rsid w:val="00574506"/>
    <w:rsid w:val="00577C8C"/>
    <w:rsid w:val="00587002"/>
    <w:rsid w:val="005A0242"/>
    <w:rsid w:val="005A38C6"/>
    <w:rsid w:val="005A5F18"/>
    <w:rsid w:val="005C4FBC"/>
    <w:rsid w:val="005D3786"/>
    <w:rsid w:val="005F5BAB"/>
    <w:rsid w:val="005F70AA"/>
    <w:rsid w:val="00613CC6"/>
    <w:rsid w:val="00620FFA"/>
    <w:rsid w:val="0065390F"/>
    <w:rsid w:val="00656D35"/>
    <w:rsid w:val="00657C13"/>
    <w:rsid w:val="00671D36"/>
    <w:rsid w:val="00690F27"/>
    <w:rsid w:val="0069332D"/>
    <w:rsid w:val="006934BC"/>
    <w:rsid w:val="0069437B"/>
    <w:rsid w:val="00694846"/>
    <w:rsid w:val="006A7363"/>
    <w:rsid w:val="006B7E1B"/>
    <w:rsid w:val="006C1E7B"/>
    <w:rsid w:val="006D2CFF"/>
    <w:rsid w:val="006D3EDA"/>
    <w:rsid w:val="006E4942"/>
    <w:rsid w:val="006F5828"/>
    <w:rsid w:val="00700856"/>
    <w:rsid w:val="00713959"/>
    <w:rsid w:val="00715AD3"/>
    <w:rsid w:val="00727261"/>
    <w:rsid w:val="00744BD6"/>
    <w:rsid w:val="007530EF"/>
    <w:rsid w:val="0075388F"/>
    <w:rsid w:val="00766905"/>
    <w:rsid w:val="00770863"/>
    <w:rsid w:val="00770A8D"/>
    <w:rsid w:val="00773C47"/>
    <w:rsid w:val="00780B1F"/>
    <w:rsid w:val="007906B9"/>
    <w:rsid w:val="0079644F"/>
    <w:rsid w:val="007A200C"/>
    <w:rsid w:val="007B23F5"/>
    <w:rsid w:val="007D6FFB"/>
    <w:rsid w:val="007E7B52"/>
    <w:rsid w:val="007F1872"/>
    <w:rsid w:val="008065DC"/>
    <w:rsid w:val="008101F7"/>
    <w:rsid w:val="008107F9"/>
    <w:rsid w:val="00814427"/>
    <w:rsid w:val="00824E9B"/>
    <w:rsid w:val="00836B11"/>
    <w:rsid w:val="008401B3"/>
    <w:rsid w:val="00854363"/>
    <w:rsid w:val="00867B43"/>
    <w:rsid w:val="00874DCE"/>
    <w:rsid w:val="008853B3"/>
    <w:rsid w:val="008936F2"/>
    <w:rsid w:val="008B056D"/>
    <w:rsid w:val="008B0C29"/>
    <w:rsid w:val="008C07C5"/>
    <w:rsid w:val="008C2BDB"/>
    <w:rsid w:val="008D2826"/>
    <w:rsid w:val="008D2EF3"/>
    <w:rsid w:val="008D7BB6"/>
    <w:rsid w:val="008E290D"/>
    <w:rsid w:val="008E5603"/>
    <w:rsid w:val="008E5801"/>
    <w:rsid w:val="008E6EDC"/>
    <w:rsid w:val="0090401C"/>
    <w:rsid w:val="009108B5"/>
    <w:rsid w:val="00915C16"/>
    <w:rsid w:val="00935657"/>
    <w:rsid w:val="00940A33"/>
    <w:rsid w:val="00974F9C"/>
    <w:rsid w:val="00980CC4"/>
    <w:rsid w:val="00996621"/>
    <w:rsid w:val="009A30EE"/>
    <w:rsid w:val="009B6287"/>
    <w:rsid w:val="009D581C"/>
    <w:rsid w:val="009D5CD2"/>
    <w:rsid w:val="009E1ADD"/>
    <w:rsid w:val="009E1D45"/>
    <w:rsid w:val="00A12573"/>
    <w:rsid w:val="00A34485"/>
    <w:rsid w:val="00A42B63"/>
    <w:rsid w:val="00A46835"/>
    <w:rsid w:val="00A5037C"/>
    <w:rsid w:val="00A6044D"/>
    <w:rsid w:val="00A72460"/>
    <w:rsid w:val="00A8470A"/>
    <w:rsid w:val="00AC0E68"/>
    <w:rsid w:val="00AD6681"/>
    <w:rsid w:val="00AD7CC8"/>
    <w:rsid w:val="00AE51F0"/>
    <w:rsid w:val="00AF440D"/>
    <w:rsid w:val="00B03AA2"/>
    <w:rsid w:val="00B14B6E"/>
    <w:rsid w:val="00B16D61"/>
    <w:rsid w:val="00B24BC6"/>
    <w:rsid w:val="00B36687"/>
    <w:rsid w:val="00B60924"/>
    <w:rsid w:val="00B71BB3"/>
    <w:rsid w:val="00BA0B0F"/>
    <w:rsid w:val="00BB0D63"/>
    <w:rsid w:val="00BB27DE"/>
    <w:rsid w:val="00BB3793"/>
    <w:rsid w:val="00BB5354"/>
    <w:rsid w:val="00BB7074"/>
    <w:rsid w:val="00BD3BC6"/>
    <w:rsid w:val="00BE5F53"/>
    <w:rsid w:val="00C17E7A"/>
    <w:rsid w:val="00C30BDC"/>
    <w:rsid w:val="00C477EC"/>
    <w:rsid w:val="00C56E88"/>
    <w:rsid w:val="00C621A2"/>
    <w:rsid w:val="00C62B8C"/>
    <w:rsid w:val="00C6417E"/>
    <w:rsid w:val="00C730D9"/>
    <w:rsid w:val="00CB0639"/>
    <w:rsid w:val="00CB57F7"/>
    <w:rsid w:val="00CC2C7A"/>
    <w:rsid w:val="00CC3E91"/>
    <w:rsid w:val="00CD20D7"/>
    <w:rsid w:val="00CD3995"/>
    <w:rsid w:val="00CD6007"/>
    <w:rsid w:val="00CF5AFB"/>
    <w:rsid w:val="00D20473"/>
    <w:rsid w:val="00D302B6"/>
    <w:rsid w:val="00D32FA9"/>
    <w:rsid w:val="00D351E9"/>
    <w:rsid w:val="00D4523E"/>
    <w:rsid w:val="00D630B8"/>
    <w:rsid w:val="00D70925"/>
    <w:rsid w:val="00D73E91"/>
    <w:rsid w:val="00D9147B"/>
    <w:rsid w:val="00DA4EE7"/>
    <w:rsid w:val="00DB086A"/>
    <w:rsid w:val="00DC4FFC"/>
    <w:rsid w:val="00DC68D5"/>
    <w:rsid w:val="00DE57B3"/>
    <w:rsid w:val="00E036F7"/>
    <w:rsid w:val="00E04AC6"/>
    <w:rsid w:val="00E25166"/>
    <w:rsid w:val="00E32D74"/>
    <w:rsid w:val="00E3407D"/>
    <w:rsid w:val="00E416F3"/>
    <w:rsid w:val="00E50625"/>
    <w:rsid w:val="00E65990"/>
    <w:rsid w:val="00E75A80"/>
    <w:rsid w:val="00E76B15"/>
    <w:rsid w:val="00E927A3"/>
    <w:rsid w:val="00EB47D3"/>
    <w:rsid w:val="00EB7A6F"/>
    <w:rsid w:val="00EC159D"/>
    <w:rsid w:val="00EC20A4"/>
    <w:rsid w:val="00EC6FD3"/>
    <w:rsid w:val="00EF60DC"/>
    <w:rsid w:val="00F27236"/>
    <w:rsid w:val="00F36BA4"/>
    <w:rsid w:val="00F37F60"/>
    <w:rsid w:val="00F461DE"/>
    <w:rsid w:val="00F50D5C"/>
    <w:rsid w:val="00F517F6"/>
    <w:rsid w:val="00F5452A"/>
    <w:rsid w:val="00F67D67"/>
    <w:rsid w:val="00F95FDF"/>
    <w:rsid w:val="00FB0124"/>
    <w:rsid w:val="00FB19C6"/>
    <w:rsid w:val="00FC12E6"/>
    <w:rsid w:val="00FC2ED0"/>
    <w:rsid w:val="00FD7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A29A7FB"/>
  <w15:docId w15:val="{6E82FEE7-B742-41B7-87A7-9AE733B3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shd w:val="clear" w:color="auto" w:fill="F1F3F5"/>
      <w:wordWrap w:val="0"/>
    </w:pPr>
  </w:style>
  <w:style w:type="character" w:customStyle="1" w:styleId="KeywordTok">
    <w:name w:val="KeywordTok"/>
    <w:basedOn w:val="VerbatimChar"/>
    <w:rPr>
      <w:rFonts w:ascii="Consolas" w:hAnsi="Consolas"/>
      <w:b/>
      <w:color w:val="003B4F"/>
      <w:sz w:val="22"/>
      <w:shd w:val="clear" w:color="auto" w:fill="F1F3F5"/>
    </w:rPr>
  </w:style>
  <w:style w:type="character" w:customStyle="1" w:styleId="DataTypeTok">
    <w:name w:val="DataTypeTok"/>
    <w:basedOn w:val="VerbatimChar"/>
    <w:rPr>
      <w:rFonts w:ascii="Consolas" w:hAnsi="Consolas"/>
      <w:color w:val="AD0000"/>
      <w:sz w:val="22"/>
      <w:shd w:val="clear" w:color="auto" w:fill="F1F3F5"/>
    </w:rPr>
  </w:style>
  <w:style w:type="character" w:customStyle="1" w:styleId="DecValTok">
    <w:name w:val="DecValTok"/>
    <w:basedOn w:val="VerbatimChar"/>
    <w:rPr>
      <w:rFonts w:ascii="Consolas" w:hAnsi="Consolas"/>
      <w:color w:val="AD0000"/>
      <w:sz w:val="22"/>
      <w:shd w:val="clear" w:color="auto" w:fill="F1F3F5"/>
    </w:rPr>
  </w:style>
  <w:style w:type="character" w:customStyle="1" w:styleId="BaseNTok">
    <w:name w:val="BaseNTok"/>
    <w:basedOn w:val="VerbatimChar"/>
    <w:rPr>
      <w:rFonts w:ascii="Consolas" w:hAnsi="Consolas"/>
      <w:color w:val="AD0000"/>
      <w:sz w:val="22"/>
      <w:shd w:val="clear" w:color="auto" w:fill="F1F3F5"/>
    </w:rPr>
  </w:style>
  <w:style w:type="character" w:customStyle="1" w:styleId="FloatTok">
    <w:name w:val="FloatTok"/>
    <w:basedOn w:val="VerbatimChar"/>
    <w:rPr>
      <w:rFonts w:ascii="Consolas" w:hAnsi="Consolas"/>
      <w:color w:val="AD0000"/>
      <w:sz w:val="22"/>
      <w:shd w:val="clear" w:color="auto" w:fill="F1F3F5"/>
    </w:rPr>
  </w:style>
  <w:style w:type="character" w:customStyle="1" w:styleId="ConstantTok">
    <w:name w:val="ConstantTok"/>
    <w:basedOn w:val="VerbatimChar"/>
    <w:rPr>
      <w:rFonts w:ascii="Consolas" w:hAnsi="Consolas"/>
      <w:color w:val="8F5902"/>
      <w:sz w:val="22"/>
      <w:shd w:val="clear" w:color="auto" w:fill="F1F3F5"/>
    </w:rPr>
  </w:style>
  <w:style w:type="character" w:customStyle="1" w:styleId="CharTok">
    <w:name w:val="CharTok"/>
    <w:basedOn w:val="VerbatimChar"/>
    <w:rPr>
      <w:rFonts w:ascii="Consolas" w:hAnsi="Consolas"/>
      <w:color w:val="20794D"/>
      <w:sz w:val="22"/>
      <w:shd w:val="clear" w:color="auto" w:fill="F1F3F5"/>
    </w:rPr>
  </w:style>
  <w:style w:type="character" w:customStyle="1" w:styleId="SpecialCharTok">
    <w:name w:val="SpecialCharTok"/>
    <w:basedOn w:val="VerbatimChar"/>
    <w:rPr>
      <w:rFonts w:ascii="Consolas" w:hAnsi="Consolas"/>
      <w:color w:val="5E5E5E"/>
      <w:sz w:val="22"/>
      <w:shd w:val="clear" w:color="auto" w:fill="F1F3F5"/>
    </w:rPr>
  </w:style>
  <w:style w:type="character" w:customStyle="1" w:styleId="StringTok">
    <w:name w:val="StringTok"/>
    <w:basedOn w:val="VerbatimChar"/>
    <w:rPr>
      <w:rFonts w:ascii="Consolas" w:hAnsi="Consolas"/>
      <w:color w:val="20794D"/>
      <w:sz w:val="22"/>
      <w:shd w:val="clear" w:color="auto" w:fill="F1F3F5"/>
    </w:rPr>
  </w:style>
  <w:style w:type="character" w:customStyle="1" w:styleId="VerbatimStringTok">
    <w:name w:val="VerbatimStringTok"/>
    <w:basedOn w:val="VerbatimChar"/>
    <w:rPr>
      <w:rFonts w:ascii="Consolas" w:hAnsi="Consolas"/>
      <w:color w:val="20794D"/>
      <w:sz w:val="22"/>
      <w:shd w:val="clear" w:color="auto" w:fill="F1F3F5"/>
    </w:rPr>
  </w:style>
  <w:style w:type="character" w:customStyle="1" w:styleId="SpecialStringTok">
    <w:name w:val="SpecialStringTok"/>
    <w:basedOn w:val="VerbatimChar"/>
    <w:rPr>
      <w:rFonts w:ascii="Consolas" w:hAnsi="Consolas"/>
      <w:color w:val="20794D"/>
      <w:sz w:val="22"/>
      <w:shd w:val="clear" w:color="auto" w:fill="F1F3F5"/>
    </w:rPr>
  </w:style>
  <w:style w:type="character" w:customStyle="1" w:styleId="ImportTok">
    <w:name w:val="ImportTok"/>
    <w:basedOn w:val="VerbatimChar"/>
    <w:rPr>
      <w:rFonts w:ascii="Consolas" w:hAnsi="Consolas"/>
      <w:color w:val="00769E"/>
      <w:sz w:val="22"/>
      <w:shd w:val="clear" w:color="auto" w:fill="F1F3F5"/>
    </w:rPr>
  </w:style>
  <w:style w:type="character" w:customStyle="1" w:styleId="CommentTok">
    <w:name w:val="CommentTok"/>
    <w:basedOn w:val="VerbatimChar"/>
    <w:rPr>
      <w:rFonts w:ascii="Consolas" w:hAnsi="Consolas"/>
      <w:color w:val="5E5E5E"/>
      <w:sz w:val="22"/>
      <w:shd w:val="clear" w:color="auto" w:fill="F1F3F5"/>
    </w:rPr>
  </w:style>
  <w:style w:type="character" w:customStyle="1" w:styleId="DocumentationTok">
    <w:name w:val="DocumentationTok"/>
    <w:basedOn w:val="VerbatimChar"/>
    <w:rPr>
      <w:rFonts w:ascii="Consolas" w:hAnsi="Consolas"/>
      <w:i/>
      <w:color w:val="5E5E5E"/>
      <w:sz w:val="22"/>
      <w:shd w:val="clear" w:color="auto" w:fill="F1F3F5"/>
    </w:rPr>
  </w:style>
  <w:style w:type="character" w:customStyle="1" w:styleId="AnnotationTok">
    <w:name w:val="AnnotationTok"/>
    <w:basedOn w:val="VerbatimChar"/>
    <w:rPr>
      <w:rFonts w:ascii="Consolas" w:hAnsi="Consolas"/>
      <w:color w:val="5E5E5E"/>
      <w:sz w:val="22"/>
      <w:shd w:val="clear" w:color="auto" w:fill="F1F3F5"/>
    </w:rPr>
  </w:style>
  <w:style w:type="character" w:customStyle="1" w:styleId="CommentVarTok">
    <w:name w:val="CommentVarTok"/>
    <w:basedOn w:val="VerbatimChar"/>
    <w:rPr>
      <w:rFonts w:ascii="Consolas" w:hAnsi="Consolas"/>
      <w:i/>
      <w:color w:val="5E5E5E"/>
      <w:sz w:val="22"/>
      <w:shd w:val="clear" w:color="auto" w:fill="F1F3F5"/>
    </w:rPr>
  </w:style>
  <w:style w:type="character" w:customStyle="1" w:styleId="OtherTok">
    <w:name w:val="OtherTok"/>
    <w:basedOn w:val="VerbatimChar"/>
    <w:rPr>
      <w:rFonts w:ascii="Consolas" w:hAnsi="Consolas"/>
      <w:color w:val="003B4F"/>
      <w:sz w:val="22"/>
      <w:shd w:val="clear" w:color="auto" w:fill="F1F3F5"/>
    </w:rPr>
  </w:style>
  <w:style w:type="character" w:customStyle="1" w:styleId="FunctionTok">
    <w:name w:val="FunctionTok"/>
    <w:basedOn w:val="VerbatimChar"/>
    <w:rPr>
      <w:rFonts w:ascii="Consolas" w:hAnsi="Consolas"/>
      <w:color w:val="4758AB"/>
      <w:sz w:val="22"/>
      <w:shd w:val="clear" w:color="auto" w:fill="F1F3F5"/>
    </w:rPr>
  </w:style>
  <w:style w:type="character" w:customStyle="1" w:styleId="VariableTok">
    <w:name w:val="VariableTok"/>
    <w:basedOn w:val="VerbatimChar"/>
    <w:rPr>
      <w:rFonts w:ascii="Consolas" w:hAnsi="Consolas"/>
      <w:color w:val="111111"/>
      <w:sz w:val="22"/>
      <w:shd w:val="clear" w:color="auto" w:fill="F1F3F5"/>
    </w:rPr>
  </w:style>
  <w:style w:type="character" w:customStyle="1" w:styleId="ControlFlowTok">
    <w:name w:val="ControlFlowTok"/>
    <w:basedOn w:val="VerbatimChar"/>
    <w:rPr>
      <w:rFonts w:ascii="Consolas" w:hAnsi="Consolas"/>
      <w:b/>
      <w:color w:val="003B4F"/>
      <w:sz w:val="22"/>
      <w:shd w:val="clear" w:color="auto" w:fill="F1F3F5"/>
    </w:rPr>
  </w:style>
  <w:style w:type="character" w:customStyle="1" w:styleId="OperatorTok">
    <w:name w:val="OperatorTok"/>
    <w:basedOn w:val="VerbatimChar"/>
    <w:rPr>
      <w:rFonts w:ascii="Consolas" w:hAnsi="Consolas"/>
      <w:color w:val="5E5E5E"/>
      <w:sz w:val="22"/>
      <w:shd w:val="clear" w:color="auto" w:fill="F1F3F5"/>
    </w:rPr>
  </w:style>
  <w:style w:type="character" w:customStyle="1" w:styleId="BuiltInTok">
    <w:name w:val="BuiltInTok"/>
    <w:basedOn w:val="VerbatimChar"/>
    <w:rPr>
      <w:rFonts w:ascii="Consolas" w:hAnsi="Consolas"/>
      <w:color w:val="003B4F"/>
      <w:sz w:val="22"/>
      <w:shd w:val="clear" w:color="auto" w:fill="F1F3F5"/>
    </w:rPr>
  </w:style>
  <w:style w:type="character" w:customStyle="1" w:styleId="ExtensionTok">
    <w:name w:val="ExtensionTok"/>
    <w:basedOn w:val="VerbatimChar"/>
    <w:rPr>
      <w:rFonts w:ascii="Consolas" w:hAnsi="Consolas"/>
      <w:color w:val="003B4F"/>
      <w:sz w:val="22"/>
      <w:shd w:val="clear" w:color="auto" w:fill="F1F3F5"/>
    </w:rPr>
  </w:style>
  <w:style w:type="character" w:customStyle="1" w:styleId="PreprocessorTok">
    <w:name w:val="PreprocessorTok"/>
    <w:basedOn w:val="VerbatimChar"/>
    <w:rPr>
      <w:rFonts w:ascii="Consolas" w:hAnsi="Consolas"/>
      <w:color w:val="AD0000"/>
      <w:sz w:val="22"/>
      <w:shd w:val="clear" w:color="auto" w:fill="F1F3F5"/>
    </w:rPr>
  </w:style>
  <w:style w:type="character" w:customStyle="1" w:styleId="AttributeTok">
    <w:name w:val="AttributeTok"/>
    <w:basedOn w:val="VerbatimChar"/>
    <w:rPr>
      <w:rFonts w:ascii="Consolas" w:hAnsi="Consolas"/>
      <w:color w:val="657422"/>
      <w:sz w:val="22"/>
      <w:shd w:val="clear" w:color="auto" w:fill="F1F3F5"/>
    </w:rPr>
  </w:style>
  <w:style w:type="character" w:customStyle="1" w:styleId="RegionMarkerTok">
    <w:name w:val="RegionMarkerTok"/>
    <w:basedOn w:val="VerbatimChar"/>
    <w:rPr>
      <w:rFonts w:ascii="Consolas" w:hAnsi="Consolas"/>
      <w:color w:val="003B4F"/>
      <w:sz w:val="22"/>
      <w:shd w:val="clear" w:color="auto" w:fill="F1F3F5"/>
    </w:rPr>
  </w:style>
  <w:style w:type="character" w:customStyle="1" w:styleId="InformationTok">
    <w:name w:val="InformationTok"/>
    <w:basedOn w:val="VerbatimChar"/>
    <w:rPr>
      <w:rFonts w:ascii="Consolas" w:hAnsi="Consolas"/>
      <w:color w:val="5E5E5E"/>
      <w:sz w:val="22"/>
      <w:shd w:val="clear" w:color="auto" w:fill="F1F3F5"/>
    </w:rPr>
  </w:style>
  <w:style w:type="character" w:customStyle="1" w:styleId="WarningTok">
    <w:name w:val="WarningTok"/>
    <w:basedOn w:val="VerbatimChar"/>
    <w:rPr>
      <w:rFonts w:ascii="Consolas" w:hAnsi="Consolas"/>
      <w:i/>
      <w:color w:val="5E5E5E"/>
      <w:sz w:val="22"/>
      <w:shd w:val="clear" w:color="auto" w:fill="F1F3F5"/>
    </w:rPr>
  </w:style>
  <w:style w:type="character" w:customStyle="1" w:styleId="AlertTok">
    <w:name w:val="AlertTok"/>
    <w:basedOn w:val="VerbatimChar"/>
    <w:rPr>
      <w:rFonts w:ascii="Consolas" w:hAnsi="Consolas"/>
      <w:color w:val="AD0000"/>
      <w:sz w:val="22"/>
      <w:shd w:val="clear" w:color="auto" w:fill="F1F3F5"/>
    </w:rPr>
  </w:style>
  <w:style w:type="character" w:customStyle="1" w:styleId="ErrorTok">
    <w:name w:val="ErrorTok"/>
    <w:basedOn w:val="VerbatimChar"/>
    <w:rPr>
      <w:rFonts w:ascii="Consolas" w:hAnsi="Consolas"/>
      <w:color w:val="AD0000"/>
      <w:sz w:val="22"/>
      <w:shd w:val="clear" w:color="auto" w:fill="F1F3F5"/>
    </w:rPr>
  </w:style>
  <w:style w:type="character" w:customStyle="1" w:styleId="NormalTok">
    <w:name w:val="NormalTok"/>
    <w:basedOn w:val="VerbatimChar"/>
    <w:rPr>
      <w:rFonts w:ascii="Consolas" w:hAnsi="Consolas"/>
      <w:color w:val="003B4F"/>
      <w:sz w:val="22"/>
      <w:shd w:val="clear" w:color="auto" w:fill="F1F3F5"/>
    </w:rPr>
  </w:style>
  <w:style w:type="table" w:styleId="TableGrid">
    <w:name w:val="Table Grid"/>
    <w:basedOn w:val="TableNormal"/>
    <w:rsid w:val="0008214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212A00"/>
    <w:rPr>
      <w:color w:val="666666"/>
    </w:rPr>
  </w:style>
  <w:style w:type="paragraph" w:customStyle="1" w:styleId="msonormal0">
    <w:name w:val="msonormal"/>
    <w:basedOn w:val="Normal"/>
    <w:rsid w:val="00464598"/>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731861">
      <w:marLeft w:val="640"/>
      <w:marRight w:val="0"/>
      <w:marTop w:val="0"/>
      <w:marBottom w:val="0"/>
      <w:divBdr>
        <w:top w:val="none" w:sz="0" w:space="0" w:color="auto"/>
        <w:left w:val="none" w:sz="0" w:space="0" w:color="auto"/>
        <w:bottom w:val="none" w:sz="0" w:space="0" w:color="auto"/>
        <w:right w:val="none" w:sz="0" w:space="0" w:color="auto"/>
      </w:divBdr>
    </w:div>
    <w:div w:id="366953952">
      <w:marLeft w:val="640"/>
      <w:marRight w:val="0"/>
      <w:marTop w:val="0"/>
      <w:marBottom w:val="0"/>
      <w:divBdr>
        <w:top w:val="none" w:sz="0" w:space="0" w:color="auto"/>
        <w:left w:val="none" w:sz="0" w:space="0" w:color="auto"/>
        <w:bottom w:val="none" w:sz="0" w:space="0" w:color="auto"/>
        <w:right w:val="none" w:sz="0" w:space="0" w:color="auto"/>
      </w:divBdr>
    </w:div>
    <w:div w:id="624968105">
      <w:marLeft w:val="640"/>
      <w:marRight w:val="0"/>
      <w:marTop w:val="0"/>
      <w:marBottom w:val="0"/>
      <w:divBdr>
        <w:top w:val="none" w:sz="0" w:space="0" w:color="auto"/>
        <w:left w:val="none" w:sz="0" w:space="0" w:color="auto"/>
        <w:bottom w:val="none" w:sz="0" w:space="0" w:color="auto"/>
        <w:right w:val="none" w:sz="0" w:space="0" w:color="auto"/>
      </w:divBdr>
    </w:div>
    <w:div w:id="705102030">
      <w:marLeft w:val="640"/>
      <w:marRight w:val="0"/>
      <w:marTop w:val="0"/>
      <w:marBottom w:val="0"/>
      <w:divBdr>
        <w:top w:val="none" w:sz="0" w:space="0" w:color="auto"/>
        <w:left w:val="none" w:sz="0" w:space="0" w:color="auto"/>
        <w:bottom w:val="none" w:sz="0" w:space="0" w:color="auto"/>
        <w:right w:val="none" w:sz="0" w:space="0" w:color="auto"/>
      </w:divBdr>
    </w:div>
    <w:div w:id="961761884">
      <w:marLeft w:val="640"/>
      <w:marRight w:val="0"/>
      <w:marTop w:val="0"/>
      <w:marBottom w:val="0"/>
      <w:divBdr>
        <w:top w:val="none" w:sz="0" w:space="0" w:color="auto"/>
        <w:left w:val="none" w:sz="0" w:space="0" w:color="auto"/>
        <w:bottom w:val="none" w:sz="0" w:space="0" w:color="auto"/>
        <w:right w:val="none" w:sz="0" w:space="0" w:color="auto"/>
      </w:divBdr>
    </w:div>
    <w:div w:id="1001812931">
      <w:marLeft w:val="640"/>
      <w:marRight w:val="0"/>
      <w:marTop w:val="0"/>
      <w:marBottom w:val="0"/>
      <w:divBdr>
        <w:top w:val="none" w:sz="0" w:space="0" w:color="auto"/>
        <w:left w:val="none" w:sz="0" w:space="0" w:color="auto"/>
        <w:bottom w:val="none" w:sz="0" w:space="0" w:color="auto"/>
        <w:right w:val="none" w:sz="0" w:space="0" w:color="auto"/>
      </w:divBdr>
    </w:div>
    <w:div w:id="1176726276">
      <w:marLeft w:val="640"/>
      <w:marRight w:val="0"/>
      <w:marTop w:val="0"/>
      <w:marBottom w:val="0"/>
      <w:divBdr>
        <w:top w:val="none" w:sz="0" w:space="0" w:color="auto"/>
        <w:left w:val="none" w:sz="0" w:space="0" w:color="auto"/>
        <w:bottom w:val="none" w:sz="0" w:space="0" w:color="auto"/>
        <w:right w:val="none" w:sz="0" w:space="0" w:color="auto"/>
      </w:divBdr>
    </w:div>
    <w:div w:id="1183516377">
      <w:marLeft w:val="640"/>
      <w:marRight w:val="0"/>
      <w:marTop w:val="0"/>
      <w:marBottom w:val="0"/>
      <w:divBdr>
        <w:top w:val="none" w:sz="0" w:space="0" w:color="auto"/>
        <w:left w:val="none" w:sz="0" w:space="0" w:color="auto"/>
        <w:bottom w:val="none" w:sz="0" w:space="0" w:color="auto"/>
        <w:right w:val="none" w:sz="0" w:space="0" w:color="auto"/>
      </w:divBdr>
    </w:div>
    <w:div w:id="1719697178">
      <w:marLeft w:val="640"/>
      <w:marRight w:val="0"/>
      <w:marTop w:val="0"/>
      <w:marBottom w:val="0"/>
      <w:divBdr>
        <w:top w:val="none" w:sz="0" w:space="0" w:color="auto"/>
        <w:left w:val="none" w:sz="0" w:space="0" w:color="auto"/>
        <w:bottom w:val="none" w:sz="0" w:space="0" w:color="auto"/>
        <w:right w:val="none" w:sz="0" w:space="0" w:color="auto"/>
      </w:divBdr>
    </w:div>
    <w:div w:id="1865440126">
      <w:marLeft w:val="640"/>
      <w:marRight w:val="0"/>
      <w:marTop w:val="0"/>
      <w:marBottom w:val="0"/>
      <w:divBdr>
        <w:top w:val="none" w:sz="0" w:space="0" w:color="auto"/>
        <w:left w:val="none" w:sz="0" w:space="0" w:color="auto"/>
        <w:bottom w:val="none" w:sz="0" w:space="0" w:color="auto"/>
        <w:right w:val="none" w:sz="0" w:space="0" w:color="auto"/>
      </w:divBdr>
    </w:div>
    <w:div w:id="2109083759">
      <w:marLeft w:val="640"/>
      <w:marRight w:val="0"/>
      <w:marTop w:val="0"/>
      <w:marBottom w:val="0"/>
      <w:divBdr>
        <w:top w:val="none" w:sz="0" w:space="0" w:color="auto"/>
        <w:left w:val="none" w:sz="0" w:space="0" w:color="auto"/>
        <w:bottom w:val="none" w:sz="0" w:space="0" w:color="auto"/>
        <w:right w:val="none" w:sz="0" w:space="0" w:color="auto"/>
      </w:divBdr>
    </w:div>
    <w:div w:id="2122917983">
      <w:marLeft w:val="64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sv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7A07DF0-6E32-46F2-82F7-A728FB88415E}"/>
      </w:docPartPr>
      <w:docPartBody>
        <w:p w:rsidR="00B206FE" w:rsidRDefault="00EF494E">
          <w:r w:rsidRPr="005016F0">
            <w:rPr>
              <w:rStyle w:val="PlaceholderText"/>
            </w:rPr>
            <w:t>Click or tap here to enter text.</w:t>
          </w:r>
        </w:p>
      </w:docPartBody>
    </w:docPart>
    <w:docPart>
      <w:docPartPr>
        <w:name w:val="71C0D33E06774F4FA6B15966160E1874"/>
        <w:category>
          <w:name w:val="General"/>
          <w:gallery w:val="placeholder"/>
        </w:category>
        <w:types>
          <w:type w:val="bbPlcHdr"/>
        </w:types>
        <w:behaviors>
          <w:behavior w:val="content"/>
        </w:behaviors>
        <w:guid w:val="{837A416B-4496-4A2F-8007-6FCAEE30581E}"/>
      </w:docPartPr>
      <w:docPartBody>
        <w:p w:rsidR="00B206FE" w:rsidRDefault="00EF494E" w:rsidP="00EF494E">
          <w:pPr>
            <w:pStyle w:val="71C0D33E06774F4FA6B15966160E1874"/>
          </w:pPr>
          <w:r w:rsidRPr="005016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94E"/>
    <w:rsid w:val="002759B7"/>
    <w:rsid w:val="003A6C9C"/>
    <w:rsid w:val="00401C21"/>
    <w:rsid w:val="004A340B"/>
    <w:rsid w:val="004E3E08"/>
    <w:rsid w:val="006701B5"/>
    <w:rsid w:val="00690E9A"/>
    <w:rsid w:val="00690F27"/>
    <w:rsid w:val="006C1E7B"/>
    <w:rsid w:val="007F1872"/>
    <w:rsid w:val="00915C16"/>
    <w:rsid w:val="00B206FE"/>
    <w:rsid w:val="00E54255"/>
    <w:rsid w:val="00EF4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F494E"/>
    <w:rPr>
      <w:color w:val="666666"/>
    </w:rPr>
  </w:style>
  <w:style w:type="paragraph" w:customStyle="1" w:styleId="71C0D33E06774F4FA6B15966160E1874">
    <w:name w:val="71C0D33E06774F4FA6B15966160E1874"/>
    <w:rsid w:val="00EF49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82DC2F-6FF3-4EAD-B618-6D8426987A24}">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3576277425"/>
    <we:property name="MENDELEY_CITATIONS" value="[{&quot;citationID&quot;:&quot;MENDELEY_CITATION_20b9b4ff-ea03-4277-8a03-b6732d88d6f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&quot;,&quot;citationItems&quot;:[{&quot;id&quot;:&quot;fa5d50be-2cdb-3d7d-af6a-9465d5206ca4&quot;,&quot;itemData&quot;:{&quot;type&quot;:&quot;article-journal&quot;,&quot;id&quot;:&quot;fa5d50be-2cdb-3d7d-af6a-9465d5206ca4&quot;,&quot;title&quot;:&quot;Modeling Plasmodium vivax: Relapses, treatment, seasonality, and G6PD deficiency&quot;,&quot;author&quot;:[{&quot;family&quot;:&quot;Chamchod&quot;,&quot;given&quot;:&quot;Farida&quot;,&quot;parse-names&quot;:false,&quot;dropping-particle&quot;:&quot;&quot;,&quot;non-dropping-particle&quot;:&quot;&quot;},{&quot;family&quot;:&quot;Beier&quot;,&quot;given&quot;:&quot;John C.&quot;,&quot;parse-names&quot;:false,&quot;dropping-particle&quot;:&quot;&quot;,&quot;non-dropping-particle&quot;:&quot;&quot;}],&quot;container-title&quot;:&quot;Journal of Theoretical Biology&quot;,&quot;container-title-short&quot;:&quot;J. Theor. Biol.&quot;,&quot;DOI&quot;:&quot;10.1016/j.jtbi.2012.08.024&quot;,&quot;ISSN&quot;:&quot;10958541&quot;,&quot;PMID&quot;:&quot;22959914&quot;,&quot;issued&quot;:{&quot;date-parts&quot;:[[2013,1,1]]},&quot;page&quot;:&quot;25-34&quot;,&quot;abstract&quot;:&quot;Plasmodium vivax (P. vivax) is one of the most important human malaria species that is geographically widely endemic and causes social and economic burden globally. However, its consequences have long been neglected and underestimated as it has been mistakenly considered a benign and inconsequential malaria species as compared to Plasmodium falciparum. One of the important differences between P. falciparum and P. vivax is the formation of P. vivax latent-stage parasites (hypnozoites) that can cause relapses after a course of treatment. In this work, mathematical modeling is employed to investigate how patterns of incubation periods and relapses of P. vivax, variation in treatment, and seasonal abundance of mosquitoes influence the number of humans infected with P. vivax and the mean age at infection of humans in tropical and temperate regions. The model predicts that: (i) the number of humans infected with P. vivax may increase when an incubation period of parasites in humans and a latent period of hypnozoites decrease; (ii) without primaquine, the only licensed drug to prevent relapses, P. vivax may be highly prevalent; (iii) the mean age at infection of humans may increase when a latent period of hypnozoites increases; (iv) the number of infectious humans may peak at a few months before the middle of each dry season and the number of hypnozoite carriers may peak at nearly the middle of each dry season. In addition, glucose-6-phosphate-dehydrogenase (G6PD) deficiency, which is the most common enzyme defect in humans that may provide some protection against P. vivax infection and severity, is taken into account to study its impact on the number of humans infected with P. vivax. Modeling results indicate that the increased number of infected humans may result from a combination of a larger proportion of humans with G6PD deficiency in the population, a lesser protection of G6PD deficiency to P. vivax infection, and a shorter latent period of hypnozoites.&quot;,&quot;publisher&quot;:&quot;Academic Press&quot;,&quot;volume&quot;:&quot;316&quot;},&quot;isTemporary&quot;:false}]},{&quot;citationID&quot;:&quot;MENDELEY_CITATION_20907ef7-6d82-4c53-93ff-f13f3551081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&quot;,&quot;citationItems&quot;:[{&quot;id&quot;:&quot;44471d01-f3f2-3cef-9f43-ae4ff3817604&quot;,&quot;itemData&quot;:{&quot;type&quot;:&quot;article-journal&quot;,&quot;id&quot;:&quot;44471d01-f3f2-3cef-9f43-ae4ff3817604&quot;,&quot;title&quot;:&quot;Sensitivity to model structure: a comparison of compartmental models in epidemiology&quot;,&quot;author&quot;:[{&quot;family&quot;:&quot;Silal&quot;,&quot;given&quot;:&quot;Sheetal Prakash&quot;,&quot;parse-names&quot;:false,&quot;dropping-particle&quot;:&quot;&quot;,&quot;non-dropping-particle&quot;:&quot;&quot;},{&quot;family&quot;:&quot;Little&quot;,&quot;given&quot;:&quot;Francesca&quot;,&quot;parse-names&quot;:false,&quot;dropping-particle&quot;:&quot;&quot;,&quot;non-dropping-particle&quot;:&quot;&quot;},{&quot;family&quot;:&quot;Barnes&quot;,&quot;given&quot;:&quot;Karen I.&quot;,&quot;parse-names&quot;:false,&quot;dropping-particle&quot;:&quot;&quot;,&quot;non-dropping-particle&quot;:&quot;&quot;},{&quot;family&quot;:&quot;White&quot;,&quot;given&quot;:&quot;Lisa Jane&quot;,&quot;parse-names&quot;:false,&quot;dropping-particle&quot;:&quot;&quot;,&quot;non-dropping-particle&quot;:&quot;&quot;}],&quot;container-title&quot;:&quot;Health Systems&quot;,&quot;DOI&quot;:&quot;10.1057/hs.2015.2&quot;,&quot;ISSN&quot;:&quot;20476973&quot;,&quot;issued&quot;:{&quot;date-parts&quot;:[[2016,10,1]]},&quot;page&quot;:&quot;178-191&quot;,&quot;abstract&quot;:&quot;Compartmental models have provided a framework for understanding disease transmission dynamics for over 100 years. The predictions from these models are often policy relevant and need to be robust to model assumptions, parameter values and model structure. A selection of compartmental models with the same parameter values but different model structures (ranging from simple structures to complex ones) were compared in the absence and presence of several policy interventions to assess sensitivity to model structure. Models were fitted to data to assess if this might reduce this sensitivity. The compartmental models produced wide-ranging estimates of outcome measures but when fitted to data, the estimates obtained were robust to model structure. This finding suggests that there may be an argument for selecting simple models over complex ones, but the complexity of the model should be determined by the purpose of the model and the use to which it will be put.&quot;,&quot;publisher&quot;:&quot;Bellwether Publishing, Ltd.&quot;,&quot;issue&quot;:&quot;3&quot;,&quot;volume&quot;:&quot;5&quot;,&quot;container-title-short&quot;:&quot;&quot;},&quot;isTemporary&quot;:false}]},{&quot;citationID&quot;:&quot;MENDELEY_CITATION_4ba1a49f-20e4-4256-b596-0b2587c0cab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&quot;,&quot;citationItems&quot;:[{&quot;id&quot;:&quot;050937b8-b277-360f-b01c-4b6bcf2ea13a&quot;,&quot;itemData&quot;:{&quot;type&quot;:&quot;report&quot;,&quot;id&quot;:&quot;050937b8-b277-360f-b01c-4b6bcf2ea13a&quot;,&quot;title&quot;:&quot;Malaria Journal Epidemiological models for the spread of anti-malarial resistance&quot;,&quot;author&quot;:[{&quot;family&quot;:&quot;Koella&quot;,&quot;given&quot;:&quot;J C&quot;,&quot;parse-names&quot;:false,&quot;dropping-particle&quot;:&quot;&quot;,&quot;non-dropping-particle&quot;:&quot;&quot;},{&quot;family&quot;:&quot;Antia&quot;,&quot;given&quot;:&quot;R&quot;,&quot;parse-names&quot;:false,&quot;dropping-particle&quot;:&quot;&quot;,&quot;non-dropping-particle&quot;:&quot;&quot;}],&quot;URL&quot;:&quot;http://www.malariajournal.com/content/2/1/3&quot;,&quot;issued&quot;:{&quot;date-parts&quot;:[[2003]]},&quot;abstract&quot;:&quot;Background: The spread of drug resistance is making malaria control increasingly difficult. Mathematical models for the transmission dynamics of drug sensitive and resistant strains can be a useful tool to help to understand the factors that influence the spread of drug resistance, and they can therefore help in the design of rational strategies for the control of drug resistance.&quot;,&quot;container-title-short&quot;:&quot;&quot;},&quot;isTemporary&quot;:false}]},{&quot;citationID&quot;:&quot;MENDELEY_CITATION_bc234891-fee1-451f-a498-5eb23d109d7a&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&quot;,&quot;citationItems&quot;:[{&quot;id&quot;:&quot;c8feb446-fbe7-361f-863f-dd4faf234660&quot;,&quot;itemData&quot;:{&quot;type&quot;:&quot;article-journal&quot;,&quot;id&quot;:&quot;c8feb446-fbe7-361f-863f-dd4faf234660&quot;,&quot;title&quot;:&quot;The clinical efficacy of artemether/lumefantrine (Coartem®)&quot;,&quot;author&quot;:[{&quot;family&quot;:&quot;Makanga&quot;,&quot;given&quot;:&quot;Michael&quot;,&quot;parse-names&quot;:false,&quot;dropping-particle&quot;:&quot;&quot;,&quot;non-dropping-particle&quot;:&quot;&quot;},{&quot;family&quot;:&quot;Krudsood&quot;,&quot;given&quot;:&quot;Srivicha&quot;,&quot;parse-names&quot;:false,&quot;dropping-particle&quot;:&quot;&quot;,&quot;non-dropping-particle&quot;:&quot;&quot;}],&quot;container-title&quot;:&quot;Malaria Journal&quot;,&quot;container-title-short&quot;:&quot;Malar. J.&quot;,&quot;DOI&quot;:&quot;10.1186/1475-2875-8-S1-S5&quot;,&quot;ISSN&quot;:&quot;14752875&quot;,&quot;PMID&quot;:&quot;19818172&quot;,&quot;issued&quot;:{&quot;date-parts&quot;:[[2009]]},&quot;abstract&quot;:&quot;Current World Health Organization (WHO) guidelines for the treatment of uncomplicated falciparum malaria recommend the use of artemisinin-based combination therapy (ACT). Artemether/lumefantrine is an ACT prequalified by the WHO for efficacy, safety and quality, approved by Swissmedic in December 2008 and recently approved by the USA FDA. Coartem® is a fixed-dose combination of artemether and lumefantrine. Its two components have different modes of action that provide synergistic anti-malarial activity. It is indicated for the treatment of infants, children and adults with acute, uncomplicated infection due to Plasmodium falciparum or mixed infections including P. falciparum. A formulation with improved palatability has been developed especially for children (Coartem® Dispersible), which rapidly disperses in a small amount of water for ease of administration. The efficacy of the six-dose regimen of artemether/lumefantrine has been confirmed in many different patient populations around the world, consistently achieving 28-day PCR (polymerase chain reaction)-corrected cure rates of &gt;95% in the evaluable population, rapidly clearing parasitaemia and fever, and demonstrating a significant gametocidal effect, even in areas of widespread parasite resistance to other antimalarials. © 2009 Makanga and Krudsood; licensee BioMed Central Ltd.&quot;,&quot;issue&quot;:&quot;SUPPL. 1&quot;,&quot;volume&quot;:&quot;8&quot;},&quot;isTemporary&quot;:false}]},{&quot;citationID&quot;:&quot;MENDELEY_CITATION_53abe4d7-d3f9-4913-8c84-22b773381d75&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&quot;,&quot;citationItems&quot;:[{&quot;id&quot;:&quot;ded24d1e-1514-3b5e-a636-c7883aa376fb&quot;,&quot;itemData&quot;:{&quot;type&quot;:&quot;article-journal&quot;,&quot;id&quot;:&quot;ded24d1e-1514-3b5e-a636-c7883aa376fb&quot;,&quot;title&quot;:&quot;Likely health outcomes for untreated acute febrile illness in the tropics in decision and economic models; a Delphi survey&quot;,&quot;author&quot;:[{&quot;family&quot;:&quot;Lubell&quot;,&quot;given&quot;:&quot;Yoel&quot;,&quot;parse-names&quot;:false,&quot;dropping-particle&quot;:&quot;&quot;,&quot;non-dropping-particle&quot;:&quot;&quot;},{&quot;family&quot;:&quot;Staedke&quot;,&quot;given&quot;:&quot;Sarah G.&quot;,&quot;parse-names&quot;:false,&quot;dropping-particle&quot;:&quot;&quot;,&quot;non-dropping-particle&quot;:&quot;&quot;},{&quot;family&quot;:&quot;Greenwood&quot;,&quot;given&quot;:&quot;Brian M.&quot;,&quot;parse-names&quot;:false,&quot;dropping-particle&quot;:&quot;&quot;,&quot;non-dropping-particle&quot;:&quot;&quot;},{&quot;family&quot;:&quot;Kamya&quot;,&quot;given&quot;:&quot;Moses R.&quot;,&quot;parse-names&quot;:false,&quot;dropping-particle&quot;:&quot;&quot;,&quot;non-dropping-particle&quot;:&quot;&quot;},{&quot;family&quot;:&quot;Molyneux&quot;,&quot;given&quot;:&quot;Malcolm&quot;,&quot;parse-names&quot;:false,&quot;dropping-particle&quot;:&quot;&quot;,&quot;non-dropping-particle&quot;:&quot;&quot;},{&quot;family&quot;:&quot;Newton&quot;,&quot;given&quot;:&quot;Paul N.&quot;,&quot;parse-names&quot;:false,&quot;dropping-particle&quot;:&quot;&quot;,&quot;non-dropping-particle&quot;:&quot;&quot;},{&quot;family&quot;:&quot;Reyburn&quot;,&quot;given&quot;:&quot;Hugh&quot;,&quot;parse-names&quot;:false,&quot;dropping-particle&quot;:&quot;&quot;,&quot;non-dropping-particle&quot;:&quot;&quot;},{&quot;family&quot;:&quot;Snow&quot;,&quot;given&quot;:&quot;Robert W.&quot;,&quot;parse-names&quot;:false,&quot;dropping-particle&quot;:&quot;&quot;,&quot;non-dropping-particle&quot;:&quot;&quot;},{&quot;family&quot;:&quot;D'Alessandro&quot;,&quot;given&quot;:&quot;Umberto&quot;,&quot;parse-names&quot;:false,&quot;dropping-particle&quot;:&quot;&quot;,&quot;non-dropping-particle&quot;:&quot;&quot;},{&quot;family&quot;:&quot;English&quot;,&quot;given&quot;:&quot;Mike&quot;,&quot;parse-names&quot;:false,&quot;dropping-particle&quot;:&quot;&quot;,&quot;non-dropping-particle&quot;:&quot;&quot;},{&quot;family&quot;:&quot;Day&quot;,&quot;given&quot;:&quot;Nick&quot;,&quot;parse-names&quot;:false,&quot;dropping-particle&quot;:&quot;&quot;,&quot;non-dropping-particle&quot;:&quot;&quot;},{&quot;family&quot;:&quot;Kremsner&quot;,&quot;given&quot;:&quot;Peter&quot;,&quot;parse-names&quot;:false,&quot;dropping-particle&quot;:&quot;&quot;,&quot;non-dropping-particle&quot;:&quot;&quot;},{&quot;family&quot;:&quot;Dondorp&quot;,&quot;given&quot;:&quot;Arjen&quot;,&quot;parse-names&quot;:false,&quot;dropping-particle&quot;:&quot;&quot;,&quot;non-dropping-particle&quot;:&quot;&quot;},{&quot;family&quot;:&quot;Mbacham&quot;,&quot;given&quot;:&quot;Wilfred&quot;,&quot;parse-names&quot;:false,&quot;dropping-particle&quot;:&quot;&quot;,&quot;non-dropping-particle&quot;:&quot;&quot;},{&quot;family&quot;:&quot;Dorsey&quot;,&quot;given&quot;:&quot;Grant&quot;,&quot;parse-names&quot;:false,&quot;dropping-particle&quot;:&quot;&quot;,&quot;non-dropping-particle&quot;:&quot;&quot;},{&quot;family&quot;:&quot;Owusu-Agyei&quot;,&quot;given&quot;:&quot;Seth&quot;,&quot;parse-names&quot;:false,&quot;dropping-particle&quot;:&quot;&quot;,&quot;non-dropping-particle&quot;:&quot;&quot;},{&quot;family&quot;:&quot;Maitland&quot;,&quot;given&quot;:&quot;Kathryn&quot;,&quot;parse-names&quot;:false,&quot;dropping-particle&quot;:&quot;&quot;,&quot;non-dropping-particle&quot;:&quot;&quot;},{&quot;family&quot;:&quot;Krishna&quot;,&quot;given&quot;:&quot;Sanjeev&quot;,&quot;parse-names&quot;:false,&quot;dropping-particle&quot;:&quot;&quot;,&quot;non-dropping-particle&quot;:&quot;&quot;},{&quot;family&quot;:&quot;Newton&quot;,&quot;given&quot;:&quot;Charles&quot;,&quot;parse-names&quot;:false,&quot;dropping-particle&quot;:&quot;&quot;,&quot;non-dropping-particle&quot;:&quot;&quot;},{&quot;family&quot;:&quot;Pasvol&quot;,&quot;given&quot;:&quot;Geoffrey&quot;,&quot;parse-names&quot;:false,&quot;dropping-particle&quot;:&quot;&quot;,&quot;non-dropping-particle&quot;:&quot;&quot;},{&quot;family&quot;:&quot;Taylor&quot;,&quot;given&quot;:&quot;Terrie&quot;,&quot;parse-names&quot;:false,&quot;dropping-particle&quot;:&quot;&quot;,&quot;non-dropping-particle&quot;:&quot;&quot;},{&quot;family&quot;:&quot;Seidlein&quot;,&quot;given&quot;:&quot;Lorenz&quot;,&quot;parse-names&quot;:false,&quot;dropping-particle&quot;:&quot;&quot;,&quot;non-dropping-particle&quot;:&quot;von&quot;},{&quot;family&quot;:&quot;White&quot;,&quot;given&quot;:&quot;Nicholas J.&quot;,&quot;parse-names&quot;:false,&quot;dropping-particle&quot;:&quot;&quot;,&quot;non-dropping-particle&quot;:&quot;&quot;},{&quot;family&quot;:&quot;Binka&quot;,&quot;given&quot;:&quot;Fred&quot;,&quot;parse-names&quot;:false,&quot;dropping-particle&quot;:&quot;&quot;,&quot;non-dropping-particle&quot;:&quot;&quot;},{&quot;family&quot;:&quot;Mills&quot;,&quot;given&quot;:&quot;Anne&quot;,&quot;parse-names&quot;:false,&quot;dropping-particle&quot;:&quot;&quot;,&quot;non-dropping-particle&quot;:&quot;&quot;},{&quot;family&quot;:&quot;Whitty&quot;,&quot;given&quot;:&quot;Christopher J.M.&quot;,&quot;parse-names&quot;:false,&quot;dropping-particle&quot;:&quot;&quot;,&quot;non-dropping-particle&quot;:&quot;&quot;}],&quot;container-title&quot;:&quot;PLoS ONE&quot;,&quot;container-title-short&quot;:&quot;PLoS One&quot;,&quot;DOI&quot;:&quot;10.1371/journal.pone.0017439&quot;,&quot;ISSN&quot;:&quot;19326203&quot;,&quot;PMID&quot;:&quot;21390277&quot;,&quot;issued&quot;:{&quot;date-parts&quot;:[[2011]]},&quot;abstract&quot;:&quot;Background: Modelling is widely used to inform decisions about management of malaria and acute febrile illnesses. Most models depend on estimates of the probability that untreated patients with malaria or bacterial illnesses will progress to severe disease or death. However, data on these key parameters are lacking and assumptions are frequently made based on expert opinion. Widely diverse opinions can lead to conflicting outcomes in models they inform. Methods and Findings: A Delphi survey was conducted with malaria experts aiming to reach consensus on key parameters for public health and economic models, relating to the outcome of untreated febrile illnesses. Survey questions were stratified by malaria transmission intensity, patient age, and HIV prevalence. The impact of the variability in opinion on decision models is illustrated with a model previously used to assess the cost-effectiveness of malaria rapid diagnostic tests. Some consensus was reached around the probability that patients from higher transmission settings with untreated malaria would progress to severe disease (median 3%, inter-quartile range (IQR) 1-5%), and the probability that a non-malaria illness required antibiotics in areas of low HIV prevalence (median 20%). Children living in low transmission areas were considered to be at higher risk of progressing to severe malaria (median 30%, IQR 10-58%) than those from higher transmission areas (median 13%, IQR 7-30%). Estimates of the probability of dying from severe malaria were high in all settings (medians 60-73%). However, opinions varied widely for most parameters, and did not converge on resurveying. Conclusions: This study highlights the uncertainty around potential consequences of untreated malaria and bacterial illnesses. The lack of consensus on most parameters, the wide range of estimates, and the impact of variability in estimates on model outputs, demonstrate the importance of sensitivity analysis for decision models employing expert opinion. Results of such models should be interpreted cautiously. The diversity of expert opinion should be recognised when policy options are debated. © 2011 Lubell et al.&quot;,&quot;issue&quot;:&quot;2&quot;,&quot;volume&quot;:&quot;6&quot;},&quot;isTemporary&quot;:false}]},{&quot;citationID&quot;:&quot;MENDELEY_CITATION_93d580d1-7303-482c-881c-451c2155c22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&quot;,&quot;citationItems&quot;:[{&quot;id&quot;:&quot;1a701c4f-1704-3980-aaf8-386b54d53ec5&quot;,&quot;itemData&quot;:{&quot;type&quot;:&quot;article-journal&quot;,&quot;id&quot;:&quot;1a701c4f-1704-3980-aaf8-386b54d53ec5&quot;,&quot;title&quot;:&quot;Hitting a moving target: A model for malaria elimination in the presence of population movement&quot;,&quot;author&quot;:[{&quot;family&quot;:&quot;Silal&quot;,&quot;given&quot;:&quot;Sheetal Prakash&quot;,&quot;parse-names&quot;:false,&quot;dropping-particle&quot;:&quot;&quot;,&quot;non-dropping-particle&quot;:&quot;&quot;},{&quot;family&quot;:&quot;Little&quot;,&quot;given&quot;:&quot;Francesca&quot;,&quot;parse-names&quot;:false,&quot;dropping-particle&quot;:&quot;&quot;,&quot;non-dropping-particle&quot;:&quot;&quot;},{&quot;family&quot;:&quot;Barnes&quot;,&quot;given&quot;:&quot;Karen Irma&quot;,&quot;parse-names&quot;:false,&quot;dropping-particle&quot;:&quot;&quot;,&quot;non-dropping-particle&quot;:&quot;&quot;},{&quot;family&quot;:&quot;White&quot;,&quot;given&quot;:&quot;Lisa Jane&quot;,&quot;parse-names&quot;:false,&quot;dropping-particle&quot;:&quot;&quot;,&quot;non-dropping-particle&quot;:&quot;&quot;}],&quot;container-title&quot;:&quot;PLoS ONE&quot;,&quot;container-title-short&quot;:&quot;PLoS One&quot;,&quot;DOI&quot;:&quot;10.1371/journal.pone.0144990&quot;,&quot;ISSN&quot;:&quot;19326203&quot;,&quot;PMID&quot;:&quot;26689547&quot;,&quot;issued&quot;:{&quot;date-parts&quot;:[[2015,12,1]]},&quot;abstract&quot;:&quot;South Africa is committed to eliminating malaria with a goal of zero local transmission by 2018. Malaria elimination strategies may be unsuccessful if they focus only on vector biology, and ignore the mobility patterns of humans, particularly where the majority of infections are imported. In the first study in Mpumalanga Province in South Africa designed for this purpose, a metapopulation model is developed to assess the impact of their proposed elimination-focused policy interventions. A stochastic, non-linear, ordinary-differential equation model is fitted to malaria data from Mpumalanga and neighbouring Maputo Province in Mozambique. Further scaling-up of vector control is predicted to lead to a minimal reduction in local infections, while mass drug administration and focal screening and treatment at the Mpumalanga-Maputo border are predicted to have only a short-lived impact. Source reduction in Maputo Province is predicted to generate large reductions in local infections through stemming imported infections. The mathematical model predicts malaria elimination to be possible only when imported infections are treated before entry or eliminated at the source suggesting that a regionally focused strategy appears needed, for achieving malaria elimination in Mpumalanga and South Africa.&quot;,&quot;publisher&quot;:&quot;Public Library of Science&quot;,&quot;issue&quot;:&quot;12&quot;,&quot;volume&quot;:&quot;10&quot;},&quot;isTemporary&quot;:false}]},{&quot;citationID&quot;:&quot;MENDELEY_CITATION_bf90a311-969d-4069-a306-779af95b32f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&quot;,&quot;citationItems&quot;:[{&quot;id&quot;:&quot;3d3a3e27-f4ba-31ed-8528-c93e6e35ddde&quot;,&quot;itemData&quot;:{&quot;type&quot;:&quot;article&quot;,&quot;id&quot;:&quot;3d3a3e27-f4ba-31ed-8528-c93e6e35ddde&quot;,&quot;title&quot;:&quot;The silent threat: Asymptomatic parasitemia and malaria transmission&quot;,&quot;author&quot;:[{&quot;family&quot;:&quot;Lindblade&quot;,&quot;given&quot;:&quot;Kim A.&quot;,&quot;parse-names&quot;:false,&quot;dropping-particle&quot;:&quot;&quot;,&quot;non-dropping-particle&quot;:&quot;&quot;},{&quot;family&quot;:&quot;Steinhardt&quot;,&quot;given&quot;:&quot;Laura&quot;,&quot;parse-names&quot;:false,&quot;dropping-particle&quot;:&quot;&quot;,&quot;non-dropping-particle&quot;:&quot;&quot;},{&quot;family&quot;:&quot;Samuels&quot;,&quot;given&quot;:&quot;Aaron&quot;,&quot;parse-names&quot;:false,&quot;dropping-particle&quot;:&quot;&quot;,&quot;non-dropping-particle&quot;:&quot;&quot;},{&quot;family&quot;:&quot;Kachur&quot;,&quot;given&quot;:&quot;S. Patrick&quot;,&quot;parse-names&quot;:false,&quot;dropping-particle&quot;:&quot;&quot;,&quot;non-dropping-particle&quot;:&quot;&quot;},{&quot;family&quot;:&quot;Slutsker&quot;,&quot;given&quot;:&quot;Laurence&quot;,&quot;parse-names&quot;:false,&quot;dropping-particle&quot;:&quot;&quot;,&quot;non-dropping-particle&quot;:&quot;&quot;}],&quot;container-title&quot;:&quot;Expert Review of Anti-Infective Therapy&quot;,&quot;container-title-short&quot;:&quot;Expert Rev. Anti. Infect. Ther.&quot;,&quot;DOI&quot;:&quot;10.1586/eri.13.45&quot;,&quot;ISSN&quot;:&quot;14787210&quot;,&quot;PMID&quot;:&quot;23750733&quot;,&quot;issued&quot;:{&quot;date-parts&quot;:[[2013,6]]},&quot;page&quot;:&quot;623-639&quot;,&quot;abstract&quot;:&quot;Scale-up of malaria control interventions has resulted in a substantial decline in global malaria morbidity and mortality. Despite this achievement, there is evidence that current interventions alone will not lead to malaria elimination in most malaria-endemic areas and additional strategies need to be considered. Use of antimalarial drugs to target the reservoir of malaria infection is an option to reduce the transmission of malaria between humans and mosquito vectors. However, a large proportion of human malaria infections are asymptomatic, requiring treatment that is not triggered by care-seeking for clinical illness. This article reviews the evidence that asymptomatic malaria infection plays an important role in malaria transmission and that interventions to target this parasite reservoir may be needed to achieve malaria elimination in both low-and high-transmission areas. © 2013 2013 Expert Reviews Ltd.&quot;,&quot;issue&quot;:&quot;6&quot;,&quot;volume&quot;:&quot;11&quot;},&quot;isTemporary&quot;:false}]},{&quot;citationID&quot;:&quot;MENDELEY_CITATION_84a6d311-5261-41d8-a462-acc5b9ea7172&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&quot;,&quot;citationItems&quot;:[{&quot;id&quot;:&quot;ac43ad8d-d99a-3931-ab61-b2c0792c59fd&quot;,&quot;itemData&quot;:{&quot;type&quot;:&quot;article-journal&quot;,&quot;id&quot;:&quot;ac43ad8d-d99a-3931-ab61-b2c0792c59fd&quot;,&quot;title&quot;:&quot;Immunogenicity of the RTS,S/AS01 malaria vaccine and implications for duration of vaccine efficacy: Secondary analysis of data from a phase 3 randomised controlled trial&quot;,&quot;author&quot;:[{&quot;family&quot;:&quot;White&quot;,&quot;given&quot;:&quot;Michael T.&quot;,&quot;parse-names&quot;:false,&quot;dropping-particle&quot;:&quot;&quot;,&quot;non-dropping-particle&quot;:&quot;&quot;},{&quot;family&quot;:&quot;Verity&quot;,&quot;given&quot;:&quot;Robert&quot;,&quot;parse-names&quot;:false,&quot;dropping-particle&quot;:&quot;&quot;,&quot;non-dropping-particle&quot;:&quot;&quot;},{&quot;family&quot;:&quot;Griffin&quot;,&quot;given&quot;:&quot;Jamie T.&quot;,&quot;parse-names&quot;:false,&quot;dropping-particle&quot;:&quot;&quot;,&quot;non-dropping-particle&quot;:&quot;&quot;},{&quot;family&quot;:&quot;Asante&quot;,&quot;given&quot;:&quot;Kwaku Poku&quot;,&quot;parse-names&quot;:false,&quot;dropping-particle&quot;:&quot;&quot;,&quot;non-dropping-particle&quot;:&quot;&quot;},{&quot;family&quot;:&quot;Owusu-Agyei&quot;,&quot;given&quot;:&quot;Seth&quot;,&quot;parse-names&quot;:false,&quot;dropping-particle&quot;:&quot;&quot;,&quot;non-dropping-particle&quot;:&quot;&quot;},{&quot;family&quot;:&quot;Greenwood&quot;,&quot;given&quot;:&quot;Brian&quot;,&quot;parse-names&quot;:false,&quot;dropping-particle&quot;:&quot;&quot;,&quot;non-dropping-particle&quot;:&quot;&quot;},{&quot;family&quot;:&quot;Drakeley&quot;,&quot;given&quot;:&quot;Chris&quot;,&quot;parse-names&quot;:false,&quot;dropping-particle&quot;:&quot;&quot;,&quot;non-dropping-particle&quot;:&quot;&quot;},{&quot;family&quot;:&quot;Gesase&quot;,&quot;given&quot;:&quot;Samwel&quot;,&quot;parse-names&quot;:false,&quot;dropping-particle&quot;:&quot;&quot;,&quot;non-dropping-particle&quot;:&quot;&quot;},{&quot;family&quot;:&quot;Lusingu&quot;,&quot;given&quot;:&quot;John&quot;,&quot;parse-names&quot;:false,&quot;dropping-particle&quot;:&quot;&quot;,&quot;non-dropping-particle&quot;:&quot;&quot;},{&quot;family&quot;:&quot;Ansong&quot;,&quot;given&quot;:&quot;Daniel&quot;,&quot;parse-names&quot;:false,&quot;dropping-particle&quot;:&quot;&quot;,&quot;non-dropping-particle&quot;:&quot;&quot;},{&quot;family&quot;:&quot;Adjei&quot;,&quot;given&quot;:&quot;Samuel&quot;,&quot;parse-names&quot;:false,&quot;dropping-particle&quot;:&quot;&quot;,&quot;non-dropping-particle&quot;:&quot;&quot;},{&quot;family&quot;:&quot;Agbenyega&quot;,&quot;given&quot;:&quot;Tsiri&quot;,&quot;parse-names&quot;:false,&quot;dropping-particle&quot;:&quot;&quot;,&quot;non-dropping-particle&quot;:&quot;&quot;},{&quot;family&quot;:&quot;Ogutu&quot;,&quot;given&quot;:&quot;Bernhards&quot;,&quot;parse-names&quot;:false,&quot;dropping-particle&quot;:&quot;&quot;,&quot;non-dropping-particle&quot;:&quot;&quot;},{&quot;family&quot;:&quot;Otieno&quot;,&quot;given&quot;:&quot;Lucas&quot;,&quot;parse-names&quot;:false,&quot;dropping-particle&quot;:&quot;&quot;,&quot;non-dropping-particle&quot;:&quot;&quot;},{&quot;family&quot;:&quot;Otieno&quot;,&quot;given&quot;:&quot;Walter&quot;,&quot;parse-names&quot;:false,&quot;dropping-particle&quot;:&quot;&quot;,&quot;non-dropping-particle&quot;:&quot;&quot;},{&quot;family&quot;:&quot;Agnandji&quot;,&quot;given&quot;:&quot;Selidji T.&quot;,&quot;parse-names&quot;:false,&quot;dropping-particle&quot;:&quot;&quot;,&quot;non-dropping-particle&quot;:&quot;&quot;},{&quot;family&quot;:&quot;Lell&quot;,&quot;given&quot;:&quot;Bertrand&quot;,&quot;parse-names&quot;:false,&quot;dropping-particle&quot;:&quot;&quot;,&quot;non-dropping-particle&quot;:&quot;&quot;},{&quot;family&quot;:&quot;Kremsner&quot;,&quot;given&quot;:&quot;Peter&quot;,&quot;parse-names&quot;:false,&quot;dropping-particle&quot;:&quot;&quot;,&quot;non-dropping-particle&quot;:&quot;&quot;},{&quot;family&quot;:&quot;Hoffman&quot;,&quot;given&quot;:&quot;Irving&quot;,&quot;parse-names&quot;:false,&quot;dropping-particle&quot;:&quot;&quot;,&quot;non-dropping-particle&quot;:&quot;&quot;},{&quot;family&quot;:&quot;Martinson&quot;,&quot;given&quot;:&quot;Francis&quot;,&quot;parse-names&quot;:false,&quot;dropping-particle&quot;:&quot;&quot;,&quot;non-dropping-particle&quot;:&quot;&quot;},{&quot;family&quot;:&quot;Kamthunzu&quot;,&quot;given&quot;:&quot;Portia&quot;,&quot;parse-names&quot;:false,&quot;dropping-particle&quot;:&quot;&quot;,&quot;non-dropping-particle&quot;:&quot;&quot;},{&quot;family&quot;:&quot;Tinto&quot;,&quot;given&quot;:&quot;Halidou&quot;,&quot;parse-names&quot;:false,&quot;dropping-particle&quot;:&quot;&quot;,&quot;non-dropping-particle&quot;:&quot;&quot;},{&quot;family&quot;:&quot;Valea&quot;,&quot;given&quot;:&quot;Innocent&quot;,&quot;parse-names&quot;:false,&quot;dropping-particle&quot;:&quot;&quot;,&quot;non-dropping-particle&quot;:&quot;&quot;},{&quot;family&quot;:&quot;Sorgho&quot;,&quot;given&quot;:&quot;Hermann&quot;,&quot;parse-names&quot;:false,&quot;dropping-particle&quot;:&quot;&quot;,&quot;non-dropping-particle&quot;:&quot;&quot;},{&quot;family&quot;:&quot;Oneko&quot;,&quot;given&quot;:&quot;Martina&quot;,&quot;parse-names&quot;:false,&quot;dropping-particle&quot;:&quot;&quot;,&quot;non-dropping-particle&quot;:&quot;&quot;},{&quot;family&quot;:&quot;Otieno&quot;,&quot;given&quot;:&quot;Kephas&quot;,&quot;parse-names&quot;:false,&quot;dropping-particle&quot;:&quot;&quot;,&quot;non-dropping-particle&quot;:&quot;&quot;},{&quot;family&quot;:&quot;Hamel&quot;,&quot;given&quot;:&quot;Mary J.&quot;,&quot;parse-names&quot;:false,&quot;dropping-particle&quot;:&quot;&quot;,&quot;non-dropping-particle&quot;:&quot;&quot;},{&quot;family&quot;:&quot;Salim&quot;,&quot;given&quot;:&quot;Nahya&quot;,&quot;parse-names&quot;:false,&quot;dropping-particle&quot;:&quot;&quot;,&quot;non-dropping-particle&quot;:&quot;&quot;},{&quot;family&quot;:&quot;Mtoro&quot;,&quot;given&quot;:&quot;Ali&quot;,&quot;parse-names&quot;:false,&quot;dropping-particle&quot;:&quot;&quot;,&quot;non-dropping-particle&quot;:&quot;&quot;},{&quot;family&quot;:&quot;Abdulla&quot;,&quot;given&quot;:&quot;Salim&quot;,&quot;parse-names&quot;:false,&quot;dropping-particle&quot;:&quot;&quot;,&quot;non-dropping-particle&quot;:&quot;&quot;},{&quot;family&quot;:&quot;Aide&quot;,&quot;given&quot;:&quot;Pedro&quot;,&quot;parse-names&quot;:false,&quot;dropping-particle&quot;:&quot;&quot;,&quot;non-dropping-particle&quot;:&quot;&quot;},{&quot;family&quot;:&quot;Sacarlal&quot;,&quot;given&quot;:&quot;Jahit&quot;,&quot;parse-names&quot;:false,&quot;dropping-particle&quot;:&quot;&quot;,&quot;non-dropping-particle&quot;:&quot;&quot;},{&quot;family&quot;:&quot;Aponte&quot;,&quot;given&quot;:&quot;John J.&quot;,&quot;parse-names&quot;:false,&quot;dropping-particle&quot;:&quot;&quot;,&quot;non-dropping-particle&quot;:&quot;&quot;},{&quot;family&quot;:&quot;Njuguna&quot;,&quot;given&quot;:&quot;Patricia&quot;,&quot;parse-names&quot;:false,&quot;dropping-particle&quot;:&quot;&quot;,&quot;non-dropping-particle&quot;:&quot;&quot;},{&quot;family&quot;:&quot;Marsh&quot;,&quot;given&quot;:&quot;Kevin&quot;,&quot;parse-names&quot;:false,&quot;dropping-particle&quot;:&quot;&quot;,&quot;non-dropping-particle&quot;:&quot;&quot;},{&quot;family&quot;:&quot;Bejon&quot;,&quot;given&quot;:&quot;Philip&quot;,&quot;parse-names&quot;:false,&quot;dropping-particle&quot;:&quot;&quot;,&quot;non-dropping-particle&quot;:&quot;&quot;},{&quot;family&quot;:&quot;Riley&quot;,&quot;given&quot;:&quot;Eleanor M.&quot;,&quot;parse-names&quot;:false,&quot;dropping-particle&quot;:&quot;&quot;,&quot;non-dropping-particle&quot;:&quot;&quot;},{&quot;family&quot;:&quot;Ghani&quot;,&quot;given&quot;:&quot;Azra C.&quot;,&quot;parse-names&quot;:false,&quot;dropping-particle&quot;:&quot;&quot;,&quot;non-dropping-particle&quot;:&quot;&quot;}],&quot;container-title&quot;:&quot;The Lancet Infectious Diseases&quot;,&quot;container-title-short&quot;:&quot;Lancet Infect. Dis.&quot;,&quot;DOI&quot;:&quot;10.1016/S1473-3099(15)00239-X&quot;,&quot;ISSN&quot;:&quot;14744457&quot;,&quot;PMID&quot;:&quot;26342424&quot;,&quot;issued&quot;:{&quot;date-parts&quot;:[[2015,12,1]]},&quot;page&quot;:&quot;1450-1458&quot;,&quot;abstract&quot;:&quot;Background: The RTS,S/AS01 malaria vaccine targets the circumsporozoite protein, inducing antibodies associated with the prevention of Plasmodium falciparum infection. We assessed the association between anti-circumsporozoite antibody titres and the magnitude and duration of vaccine efficacy using data from a phase 3 trial done between 2009 and 2014. Methods: Using data from 8922 African children aged 5-17 months and 6537 African infants aged 6-12 weeks at first vaccination, we analysed the determinants of immunogenicity after RTS,S/AS01 vaccination with or without a booster dose. We assessed the association between the incidence of clinical malaria and anti-circumsporozoite antibody titres using a model of anti-circumsporozoite antibody dynamics and the natural acquisition of protective immunity over time. Findings: RTS,S/AS01-induced anti-circumsporozoite antibody titres were greater in children aged 5-17 months than in those aged 6-12 weeks. Pre-vaccination anti-circumsporozoite titres were associated with lower immunogenicity in children aged 6-12 weeks and higher immunogenicity in those aged 5-17 months. The immunogenicity of the booster dose was strongly associated with immunogenicity after primary vaccination. Anti-circumsporozoite titres wane according to a biphasic exponential distribution. In participants aged 5-17 months, the half-life of the short-lived component of the antibody response was 45 days (95% credible interval 42-48) and that of the long-lived component was 591 days (557-632). After primary vaccination 12% (11-13) of the response was estimated to be long-lived, rising to 30% (28-32%) after a booster dose. An anti-circumsporozoite antibody titre of 121 EU/mL (98-153) was estimated to prevent 50% of infections. Waning anti-circumsporozoite antibody titres predict the duration of efficacy against clinical malaria across different age categories and transmission intensities, and efficacy wanes more rapidly at higher transmission intensity. Interpretation: Anti-circumsporozoite antibody titres are a surrogate of protection for the magnitude and duration of RTS,S/AS01 efficacy, with or without a booster dose, providing a valuable surrogate of effectiveness for new RTS,S formulations in the age groups considered. Funding: UK Medical Research Council.&quot;,&quot;publisher&quot;:&quot;Lancet Publishing Group&quot;,&quot;issue&quot;:&quot;12&quot;,&quot;volume&quot;:&quot;15&quot;},&quot;isTemporary&quot;:false}]},{&quot;citationID&quot;:&quot;MENDELEY_CITATION_5e36153c-efc6-4ed5-a097-481a49c40330&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&quot;,&quot;citationItems&quot;:[{&quot;id&quot;:&quot;b3b6cfd3-343e-344e-b8d0-47bf59defad3&quot;,&quot;itemData&quot;:{&quot;type&quot;:&quot;article-journal&quot;,&quot;id&quot;:&quot;b3b6cfd3-343e-344e-b8d0-47bf59defad3&quot;,&quot;title&quot;:&quot;2019 KENYA POPULATION AND\nHOUSING CENSUS&quot;,&quot;author&quot;:[{&quot;family&quot;:&quot;Kenya National Bureau of Statistics&quot;,&quot;given&quot;:&quot;&quot;,&quot;parse-names&quot;:false,&quot;dropping-particle&quot;:&quot;&quot;,&quot;non-dropping-particle&quot;:&quot;&quot;}],&quot;issued&quot;:{&quot;date-parts&quot;:[[2019]]},&quot;container-title-short&quot;:&quot;&quot;},&quot;isTemporary&quot;:false}]},{&quot;citationID&quot;:&quot;MENDELEY_CITATION_78bfb288-5fa5-43e9-b337-34d927372450&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&quot;,&quot;citationItems&quot;:[{&quot;id&quot;:&quot;e9ae33e5-5e15-3f12-b8f8-f6cf5b0eacbb&quot;,&quot;itemData&quot;:{&quot;type&quot;:&quot;article-journal&quot;,&quot;id&quot;:&quot;e9ae33e5-5e15-3f12-b8f8-f6cf5b0eacbb&quot;,&quot;title&quot;:&quot;Efficacy and safety of RTS,S/AS01 malaria vaccine with or without a booster dose in infants and children in Africa: Final results of a phase 3, individually randomised, controlled trial&quot;,&quot;author&quot;:[{&quot;family&quot;:&quot;RTS&quot;,&quot;given&quot;:&quot;S Clinical Trials Partnership&quot;,&quot;parse-names&quot;:false,&quot;dropping-particle&quot;:&quot;&quot;,&quot;non-dropping-particle&quot;:&quot;&quot;}],&quot;container-title&quot;:&quot;The Lancet&quot;,&quot;DOI&quot;:&quot;10.1016/S0140-6736(15)60721-8&quot;,&quot;ISSN&quot;:&quot;1474547X&quot;,&quot;PMID&quot;:&quot;25913272&quot;,&quot;issued&quot;:{&quot;date-parts&quot;:[[2015,7,4]]},&quot;page&quot;:&quot;31-45&quot;,&quot;abstract&quot;:&quot;Background The efficacy and safety of the RTS,S/AS01 candidate malaria vaccine during 18 months of follow-up have been published previously. Herein, we report the final results from the same trial, including the efficacy of a booster dose. Methods From March 27, 2009, until Jan 31, 2011, children (age 5-17 months) and young infants (age 6-12 weeks) were enrolled at 11 centres in seven countries in sub-Saharan Africa. Participants were randomly assigned (1:1:1) at first vaccination by block randomisation with minimisation by centre to receive three doses of RTS,S/AS01 at months 0, 1, and 2 and a booster dose at month 20 (R3R group); three doses of RTS,S/AS01 and a dose of comparator vaccine at month 20 (R3C group); or a comparator vaccine at months 0, 1, 2, and 20 (C3C [control group]). Participants were followed up until Jan 31, 2014. Cases of clinical and severe malaria were captured through passive case detection. Serious adverse events (SAEs) were recorded. Analyses were by modified intention to treat and per protocol. The coprimary endpoints were the occurrence of malaria over 12 months after dose 3 in each age category. In this final analysis, we present data for the efficacy of the booster on the occurrence of malaria. Vaccine efficacy (VE) against clinical malaria was analysed by negative binomial regression and against severe malaria by relative risk reduction. This trial is registered with ClinicalTrials.gov, number NCT00866619. Findings 8922 children and 6537 young infants were included in the modified intention-to-treat analyses. Children were followed up for a median of 48 months (IQR 39-50) and young infants for 38 months (34-41) after dose 1. From month 0 until study end, compared with 9585 episodes of clinical malaria that met the primary case definition in children in the C3C group, 6616 episodes occurred in the R3R group (VE 36·3%, 95% CI 31·8-40·5) and 7396 occurred in the R3C group (28·3%, 23·3-32·9); compared with 171 children who experienced at least one episode of severe malaria in the C3C group, 116 children experienced at least one episode of severe malaria in the R3R group (32·2%, 13·7 to 46·9) and 169 in the R3C group (1·1%, -23·0 to 20·5). In young infants, compared with 6170 episodes of clinical malaria that met the primary case definition in the C3C group, 4993 episodes occurred in the R3R group (VE 25·9%, 95% CI 19·9-31·5) and 5444 occurred in the R3C group (18·3%, 11·7-24·4); and compared with 116 infants who experienced at least one episode of severe malaria in the C3C group, 96 infants experienced at least one episode of severe malaria in the R3R group (17·3%, 95% CI -9·4 to 37·5) and 104 in the R3C group (10·3%, -17·9 to 31·8). In children, 1774 cases of clinical malaria were averted per 1000 children (95% CI 1387-2186) in the R3R group and 1363 per 1000 children (995-1797) in the R3C group. The numbers of cases averted per 1000 young infants were 983 (95% CI 592-1337) in the R3R group and 558 (158-926) in the R3C group. The frequency of SAEs overall was balanced between groups. However, meningitis was reported as a SAE in 22 children: 11 in the R3R group, ten in the R3C group, and one in the C3C group. The incidence of generalised convulsive seizures within 7 days of RTS,S/AS01 booster was 2·2 per 1000 doses in young infants and 2·5 per 1000 doses in children. Interpretation RTS,S/AS01 prevented a substantial number of cases of clinical malaria over a 3-4 year period in young infants and children when administered with or without a booster dose. Efficacy was enhanced by the administration of a booster dose in both age categories. Thus, the vaccine has the potential to make a substantial contribution to malaria control when used in combination with other effective control measures, especially in areas of high transmission. Funding GlaxoSmithKline Biologicals SA and the PATH Malaria Vaccine Initiative.&quot;,&quot;publisher&quot;:&quot;Lancet Publishing Group&quot;,&quot;issue&quot;:&quot;9988&quot;,&quot;volume&quot;:&quot;386&quot;,&quot;container-title-short&quot;:&quot;&quot;},&quot;isTemporary&quot;:false}]},{&quot;citationID&quot;:&quot;MENDELEY_CITATION_7620e7c0-8fa4-4c7a-b773-7874c34ad6a8&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&quot;,&quot;citationItems&quot;:[{&quot;id&quot;:&quot;e9ae33e5-5e15-3f12-b8f8-f6cf5b0eacbb&quot;,&quot;itemData&quot;:{&quot;type&quot;:&quot;article-journal&quot;,&quot;id&quot;:&quot;e9ae33e5-5e15-3f12-b8f8-f6cf5b0eacbb&quot;,&quot;title&quot;:&quot;Efficacy and safety of RTS,S/AS01 malaria vaccine with or without a booster dose in infants and children in Africa: Final results of a phase 3, individually randomised, controlled trial&quot;,&quot;author&quot;:[{&quot;family&quot;:&quot;RTS&quot;,&quot;given&quot;:&quot;S Clinical Trials Partnership&quot;,&quot;parse-names&quot;:false,&quot;dropping-particle&quot;:&quot;&quot;,&quot;non-dropping-particle&quot;:&quot;&quot;}],&quot;container-title&quot;:&quot;The Lancet&quot;,&quot;DOI&quot;:&quot;10.1016/S0140-6736(15)60721-8&quot;,&quot;ISSN&quot;:&quot;1474547X&quot;,&quot;PMID&quot;:&quot;25913272&quot;,&quot;issued&quot;:{&quot;date-parts&quot;:[[2015,7,4]]},&quot;page&quot;:&quot;31-45&quot;,&quot;abstract&quot;:&quot;Background The efficacy and safety of the RTS,S/AS01 candidate malaria vaccine during 18 months of follow-up have been published previously. Herein, we report the final results from the same trial, including the efficacy of a booster dose. Methods From March 27, 2009, until Jan 31, 2011, children (age 5-17 months) and young infants (age 6-12 weeks) were enrolled at 11 centres in seven countries in sub-Saharan Africa. Participants were randomly assigned (1:1:1) at first vaccination by block randomisation with minimisation by centre to receive three doses of RTS,S/AS01 at months 0, 1, and 2 and a booster dose at month 20 (R3R group); three doses of RTS,S/AS01 and a dose of comparator vaccine at month 20 (R3C group); or a comparator vaccine at months 0, 1, 2, and 20 (C3C [control group]). Participants were followed up until Jan 31, 2014. Cases of clinical and severe malaria were captured through passive case detection. Serious adverse events (SAEs) were recorded. Analyses were by modified intention to treat and per protocol. The coprimary endpoints were the occurrence of malaria over 12 months after dose 3 in each age category. In this final analysis, we present data for the efficacy of the booster on the occurrence of malaria. Vaccine efficacy (VE) against clinical malaria was analysed by negative binomial regression and against severe malaria by relative risk reduction. This trial is registered with ClinicalTrials.gov, number NCT00866619. Findings 8922 children and 6537 young infants were included in the modified intention-to-treat analyses. Children were followed up for a median of 48 months (IQR 39-50) and young infants for 38 months (34-41) after dose 1. From month 0 until study end, compared with 9585 episodes of clinical malaria that met the primary case definition in children in the C3C group, 6616 episodes occurred in the R3R group (VE 36·3%, 95% CI 31·8-40·5) and 7396 occurred in the R3C group (28·3%, 23·3-32·9); compared with 171 children who experienced at least one episode of severe malaria in the C3C group, 116 children experienced at least one episode of severe malaria in the R3R group (32·2%, 13·7 to 46·9) and 169 in the R3C group (1·1%, -23·0 to 20·5). In young infants, compared with 6170 episodes of clinical malaria that met the primary case definition in the C3C group, 4993 episodes occurred in the R3R group (VE 25·9%, 95% CI 19·9-31·5) and 5444 occurred in the R3C group (18·3%, 11·7-24·4); and compared with 116 infants who experienced at least one episode of severe malaria in the C3C group, 96 infants experienced at least one episode of severe malaria in the R3R group (17·3%, 95% CI -9·4 to 37·5) and 104 in the R3C group (10·3%, -17·9 to 31·8). In children, 1774 cases of clinical malaria were averted per 1000 children (95% CI 1387-2186) in the R3R group and 1363 per 1000 children (995-1797) in the R3C group. The numbers of cases averted per 1000 young infants were 983 (95% CI 592-1337) in the R3R group and 558 (158-926) in the R3C group. The frequency of SAEs overall was balanced between groups. However, meningitis was reported as a SAE in 22 children: 11 in the R3R group, ten in the R3C group, and one in the C3C group. The incidence of generalised convulsive seizures within 7 days of RTS,S/AS01 booster was 2·2 per 1000 doses in young infants and 2·5 per 1000 doses in children. Interpretation RTS,S/AS01 prevented a substantial number of cases of clinical malaria over a 3-4 year period in young infants and children when administered with or without a booster dose. Efficacy was enhanced by the administration of a booster dose in both age categories. Thus, the vaccine has the potential to make a substantial contribution to malaria control when used in combination with other effective control measures, especially in areas of high transmission. Funding GlaxoSmithKline Biologicals SA and the PATH Malaria Vaccine Initiative.&quot;,&quot;publisher&quot;:&quot;Lancet Publishing Group&quot;,&quot;issue&quot;:&quot;9988&quot;,&quot;volume&quot;:&quot;386&quot;,&quot;container-title-short&quot;:&quot;&quot;},&quot;isTemporary&quot;:false}]},{&quot;citationID&quot;:&quot;MENDELEY_CITATION_8a39ef3f-8957-4a31-8424-b322a962c912&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&quot;,&quot;citationItems&quot;:[{&quot;id&quot;:&quot;e9ae33e5-5e15-3f12-b8f8-f6cf5b0eacbb&quot;,&quot;itemData&quot;:{&quot;type&quot;:&quot;article-journal&quot;,&quot;id&quot;:&quot;e9ae33e5-5e15-3f12-b8f8-f6cf5b0eacbb&quot;,&quot;title&quot;:&quot;Efficacy and safety of RTS,S/AS01 malaria vaccine with or without a booster dose in infants and children in Africa: Final results of a phase 3, individually randomised, controlled trial&quot;,&quot;author&quot;:[{&quot;family&quot;:&quot;RTS&quot;,&quot;given&quot;:&quot;S Clinical Trials Partnership&quot;,&quot;parse-names&quot;:false,&quot;dropping-particle&quot;:&quot;&quot;,&quot;non-dropping-particle&quot;:&quot;&quot;}],&quot;container-title&quot;:&quot;The Lancet&quot;,&quot;DOI&quot;:&quot;10.1016/S0140-6736(15)60721-8&quot;,&quot;ISSN&quot;:&quot;1474547X&quot;,&quot;PMID&quot;:&quot;25913272&quot;,&quot;issued&quot;:{&quot;date-parts&quot;:[[2015,7,4]]},&quot;page&quot;:&quot;31-45&quot;,&quot;abstract&quot;:&quot;Background The efficacy and safety of the RTS,S/AS01 candidate malaria vaccine during 18 months of follow-up have been published previously. Herein, we report the final results from the same trial, including the efficacy of a booster dose. Methods From March 27, 2009, until Jan 31, 2011, children (age 5-17 months) and young infants (age 6-12 weeks) were enrolled at 11 centres in seven countries in sub-Saharan Africa. Participants were randomly assigned (1:1:1) at first vaccination by block randomisation with minimisation by centre to receive three doses of RTS,S/AS01 at months 0, 1, and 2 and a booster dose at month 20 (R3R group); three doses of RTS,S/AS01 and a dose of comparator vaccine at month 20 (R3C group); or a comparator vaccine at months 0, 1, 2, and 20 (C3C [control group]). Participants were followed up until Jan 31, 2014. Cases of clinical and severe malaria were captured through passive case detection. Serious adverse events (SAEs) were recorded. Analyses were by modified intention to treat and per protocol. The coprimary endpoints were the occurrence of malaria over 12 months after dose 3 in each age category. In this final analysis, we present data for the efficacy of the booster on the occurrence of malaria. Vaccine efficacy (VE) against clinical malaria was analysed by negative binomial regression and against severe malaria by relative risk reduction. This trial is registered with ClinicalTrials.gov, number NCT00866619. Findings 8922 children and 6537 young infants were included in the modified intention-to-treat analyses. Children were followed up for a median of 48 months (IQR 39-50) and young infants for 38 months (34-41) after dose 1. From month 0 until study end, compared with 9585 episodes of clinical malaria that met the primary case definition in children in the C3C group, 6616 episodes occurred in the R3R group (VE 36·3%, 95% CI 31·8-40·5) and 7396 occurred in the R3C group (28·3%, 23·3-32·9); compared with 171 children who experienced at least one episode of severe malaria in the C3C group, 116 children experienced at least one episode of severe malaria in the R3R group (32·2%, 13·7 to 46·9) and 169 in the R3C group (1·1%, -23·0 to 20·5). In young infants, compared with 6170 episodes of clinical malaria that met the primary case definition in the C3C group, 4993 episodes occurred in the R3R group (VE 25·9%, 95% CI 19·9-31·5) and 5444 occurred in the R3C group (18·3%, 11·7-24·4); and compared with 116 infants who experienced at least one episode of severe malaria in the C3C group, 96 infants experienced at least one episode of severe malaria in the R3R group (17·3%, 95% CI -9·4 to 37·5) and 104 in the R3C group (10·3%, -17·9 to 31·8). In children, 1774 cases of clinical malaria were averted per 1000 children (95% CI 1387-2186) in the R3R group and 1363 per 1000 children (995-1797) in the R3C group. The numbers of cases averted per 1000 young infants were 983 (95% CI 592-1337) in the R3R group and 558 (158-926) in the R3C group. The frequency of SAEs overall was balanced between groups. However, meningitis was reported as a SAE in 22 children: 11 in the R3R group, ten in the R3C group, and one in the C3C group. The incidence of generalised convulsive seizures within 7 days of RTS,S/AS01 booster was 2·2 per 1000 doses in young infants and 2·5 per 1000 doses in children. Interpretation RTS,S/AS01 prevented a substantial number of cases of clinical malaria over a 3-4 year period in young infants and children when administered with or without a booster dose. Efficacy was enhanced by the administration of a booster dose in both age categories. Thus, the vaccine has the potential to make a substantial contribution to malaria control when used in combination with other effective control measures, especially in areas of high transmission. Funding GlaxoSmithKline Biologicals SA and the PATH Malaria Vaccine Initiative.&quot;,&quot;publisher&quot;:&quot;Lancet Publishing Group&quot;,&quot;issue&quot;:&quot;9988&quot;,&quot;volume&quot;:&quot;386&quot;,&quot;container-title-short&quot;:&quot;&quot;},&quot;isTemporary&quot;:false}]},{&quot;citationID&quot;:&quot;MENDELEY_CITATION_29a83c86-8b5d-4606-83ec-83809af5420b&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&quot;,&quot;citationItems&quot;:[{&quot;id&quot;:&quot;e9ae33e5-5e15-3f12-b8f8-f6cf5b0eacbb&quot;,&quot;itemData&quot;:{&quot;type&quot;:&quot;article-journal&quot;,&quot;id&quot;:&quot;e9ae33e5-5e15-3f12-b8f8-f6cf5b0eacbb&quot;,&quot;title&quot;:&quot;Efficacy and safety of RTS,S/AS01 malaria vaccine with or without a booster dose in infants and children in Africa: Final results of a phase 3, individually randomised, controlled trial&quot;,&quot;author&quot;:[{&quot;family&quot;:&quot;RTS&quot;,&quot;given&quot;:&quot;S Clinical Trials Partnership&quot;,&quot;parse-names&quot;:false,&quot;dropping-particle&quot;:&quot;&quot;,&quot;non-dropping-particle&quot;:&quot;&quot;}],&quot;container-title&quot;:&quot;The Lancet&quot;,&quot;DOI&quot;:&quot;10.1016/S0140-6736(15)60721-8&quot;,&quot;ISSN&quot;:&quot;1474547X&quot;,&quot;PMID&quot;:&quot;25913272&quot;,&quot;issued&quot;:{&quot;date-parts&quot;:[[2015,7,4]]},&quot;page&quot;:&quot;31-45&quot;,&quot;abstract&quot;:&quot;Background The efficacy and safety of the RTS,S/AS01 candidate malaria vaccine during 18 months of follow-up have been published previously. Herein, we report the final results from the same trial, including the efficacy of a booster dose. Methods From March 27, 2009, until Jan 31, 2011, children (age 5-17 months) and young infants (age 6-12 weeks) were enrolled at 11 centres in seven countries in sub-Saharan Africa. Participants were randomly assigned (1:1:1) at first vaccination by block randomisation with minimisation by centre to receive three doses of RTS,S/AS01 at months 0, 1, and 2 and a booster dose at month 20 (R3R group); three doses of RTS,S/AS01 and a dose of comparator vaccine at month 20 (R3C group); or a comparator vaccine at months 0, 1, 2, and 20 (C3C [control group]). Participants were followed up until Jan 31, 2014. Cases of clinical and severe malaria were captured through passive case detection. Serious adverse events (SAEs) were recorded. Analyses were by modified intention to treat and per protocol. The coprimary endpoints were the occurrence of malaria over 12 months after dose 3 in each age category. In this final analysis, we present data for the efficacy of the booster on the occurrence of malaria. Vaccine efficacy (VE) against clinical malaria was analysed by negative binomial regression and against severe malaria by relative risk reduction. This trial is registered with ClinicalTrials.gov, number NCT00866619. Findings 8922 children and 6537 young infants were included in the modified intention-to-treat analyses. Children were followed up for a median of 48 months (IQR 39-50) and young infants for 38 months (34-41) after dose 1. From month 0 until study end, compared with 9585 episodes of clinical malaria that met the primary case definition in children in the C3C group, 6616 episodes occurred in the R3R group (VE 36·3%, 95% CI 31·8-40·5) and 7396 occurred in the R3C group (28·3%, 23·3-32·9); compared with 171 children who experienced at least one episode of severe malaria in the C3C group, 116 children experienced at least one episode of severe malaria in the R3R group (32·2%, 13·7 to 46·9) and 169 in the R3C group (1·1%, -23·0 to 20·5). In young infants, compared with 6170 episodes of clinical malaria that met the primary case definition in the C3C group, 4993 episodes occurred in the R3R group (VE 25·9%, 95% CI 19·9-31·5) and 5444 occurred in the R3C group (18·3%, 11·7-24·4); and compared with 116 infants who experienced at least one episode of severe malaria in the C3C group, 96 infants experienced at least one episode of severe malaria in the R3R group (17·3%, 95% CI -9·4 to 37·5) and 104 in the R3C group (10·3%, -17·9 to 31·8). In children, 1774 cases of clinical malaria were averted per 1000 children (95% CI 1387-2186) in the R3R group and 1363 per 1000 children (995-1797) in the R3C group. The numbers of cases averted per 1000 young infants were 983 (95% CI 592-1337) in the R3R group and 558 (158-926) in the R3C group. The frequency of SAEs overall was balanced between groups. However, meningitis was reported as a SAE in 22 children: 11 in the R3R group, ten in the R3C group, and one in the C3C group. The incidence of generalised convulsive seizures within 7 days of RTS,S/AS01 booster was 2·2 per 1000 doses in young infants and 2·5 per 1000 doses in children. Interpretation RTS,S/AS01 prevented a substantial number of cases of clinical malaria over a 3-4 year period in young infants and children when administered with or without a booster dose. Efficacy was enhanced by the administration of a booster dose in both age categories. Thus, the vaccine has the potential to make a substantial contribution to malaria control when used in combination with other effective control measures, especially in areas of high transmission. Funding GlaxoSmithKline Biologicals SA and the PATH Malaria Vaccine Initiative.&quot;,&quot;publisher&quot;:&quot;Lancet Publishing Group&quot;,&quot;issue&quot;:&quot;9988&quot;,&quot;volume&quot;:&quot;386&quot;,&quot;container-title-short&quot;:&quot;&quot;},&quot;isTemporary&quot;:false}]},{&quot;citationID&quot;:&quot;MENDELEY_CITATION_129c5976-2070-41c1-bc51-06bd19457a1e&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&quot;,&quot;citationItems&quot;:[{&quot;id&quot;:&quot;da647773-1ef5-38e0-a16e-76d7bfd1739f&quot;,&quot;itemData&quot;:{&quot;type&quot;:&quot;book&quot;,&quot;id&quot;:&quot;da647773-1ef5-38e0-a16e-76d7bfd1739f&quot;,&quot;title&quot;:&quot;World Malaria Report 2025&quot;,&quot;author&quot;:[{&quot;family&quot;:&quot;World Health Organisation&quot;,&quot;given&quot;:&quot;&quot;,&quot;parse-names&quot;:false,&quot;dropping-particle&quot;:&quot;&quot;,&quot;non-dropping-particle&quot;:&quot;&quot;}],&quot;ISBN&quot;:&quot;9789240086173&quot;,&quot;issued&quot;:{&quot;date-parts&quot;:[[2025]]},&quot;abstract&quot;:&quot;Description based upon print version of record. The World Malaria Report 2023, published by the World Health Organization, provides a comprehensive overview of the global burden of malaria, examining trends in malaria cases and deaths across different regions from 2000 to 2022. It highlights key events and strategic developments in malaria control, including the rollout of malaria vaccines and the organization's updated positions on vector control and the impact of the COVID-19 pandemic. The report also discusses the progress towards malaria elimination, the challenges posed by biological threats such as drug resistance, and the effects of climate change on malaria transmission. It underscores the importance of investments in research and development, as well as the distribution and coverage of malaria prevention, diagnosis, and treatment methods. The report is intended for public health officials, policymakers, and researchers involved in malaria control and prevention efforts. &quot;,&quot;publisher&quot;:&quot;World Health Organization&quot;,&quot;container-title-short&quot;:&quot;&quot;},&quot;isTemporary&quot;:false}]},{&quot;citationID&quot;:&quot;MENDELEY_CITATION_9632d7d3-bcd9-4c38-8388-7086bab843e0&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&quot;,&quot;citationItems&quot;:[{&quot;id&quot;:&quot;6a2f1b6a-973a-3b5d-be2b-b3d89ddc6180&quot;,&quot;itemData&quot;:{&quot;type&quot;:&quot;article-journal&quot;,&quot;id&quot;:&quot;6a2f1b6a-973a-3b5d-be2b-b3d89ddc6180&quot;,&quot;title&quot;:&quot;Advancing malaria reactive case detection in a Zambia-like setting: A modeling study&quot;,&quot;author&quot;:[{&quot;family&quot;:&quot;Chiziba&quot;,&quot;given&quot;:&quot;Chilochibi&quot;,&quot;parse-names&quot;:false,&quot;dropping-particle&quot;:&quot;&quot;,&quot;non-dropping-particle&quot;:&quot;&quot;},{&quot;family&quot;:&quot;Chiwaula&quot;,&quot;given&quot;:&quot;Japhet&quot;,&quot;parse-names&quot;:false,&quot;dropping-particle&quot;:&quot;&quot;,&quot;non-dropping-particle&quot;:&quot;&quot;},{&quot;family&quot;:&quot;Hamainza&quot;,&quot;given&quot;:&quot;Busiku&quot;,&quot;parse-names&quot;:false,&quot;dropping-particle&quot;:&quot;&quot;,&quot;non-dropping-particle&quot;:&quot;&quot;},{&quot;family&quot;:&quot;Silal&quot;,&quot;given&quot;:&quot;Sheetal&quot;,&quot;parse-names&quot;:false,&quot;dropping-particle&quot;:&quot;&quot;,&quot;non-dropping-particle&quot;:&quot;&quot;}],&quot;container-title&quot;:&quot;PLOS Global Public Health&quot;,&quot;DOI&quot;:&quot;10.1371/journal.pgph.0004288&quot;,&quot;ISSN&quot;:&quot;27673375&quot;,&quot;issued&quot;:{&quot;date-parts&quot;:[[2025,2,20]]},&quot;abstract&quot;:&quot;In Zambia-like settings, asymptomatic and clinical carriers not seeking treatment further complicate malaria elimination, making reactive case detection (RCD) essential for identifying undetected infections. However, RCD faces operational hurdles, including resource shortages, logistical challenges, limited community health workers (CHWs), and limitations in availability and sensitive rapid diagnostic tests (RDTs). Prioritizing specific improvement measures is critical to enhance intervention outcomes. A mathematical model of malaria transmission for low-transmission areas (fewer than 200 cases per 1,000 annually) was developed using published data to simulate RCD. This model assessed the impact of potential improvement measures designed to address the identified operational challenges affecting RCD. Improvement measures included increasing CHWs, adjusting response times, improving RDT sensitivity, and incorporating focal mass drug administration (fMDA). A shortage of CHWs and limited availability of RDTs have the most negative impact on RCD’s ability to reduce cases. In scenarios where CHWs or RDT availability for RCD were reduced by 50%, annual cases increased by approximately 22%. Only the incorporation of fMDA as an improvement measure succeeded countering the situation, resulting in a 43% reduction. Increasing CHWs to offset RCD inefficiencies caused by limited RDT sensitivity and difficulties finding individuals reduced cases by approximately 13 and 14%, respectively, reducing more cases than improving reaction time or increasing the screening radius. Although RCD is prone to challenges, the manipulation of improvement measures such as CHWs and fMDA provides promise for RCD to contribute towards malaria elimination. However, the participation of CHWs is voluntary and primarily motivated by informal incentives, often provided by donors. Finding sustainable means to ensure the sufficient availability of CHWs may guarantee continued RCD contributions toward maintaining stable malaria prevalence. More research is required to explore the application of RCD in archetypical transmission areas suitable for RCD as improvement measures to the identified challenges hindering RCD.&quot;,&quot;publisher&quot;:&quot;Public Library of Science&quot;,&quot;issue&quot;:&quot;2&quot;,&quot;volume&quot;:&quot;5&quot;,&quot;container-title-short&quot;:&quot;&quot;},&quot;isTemporary&quot;:false}]},{&quot;citationID&quot;:&quot;MENDELEY_CITATION_a178532f-297c-4193-82f7-d39266a70e6c&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&quot;,&quot;citationItems&quot;:[{&quot;id&quot;:&quot;6a2f1b6a-973a-3b5d-be2b-b3d89ddc6180&quot;,&quot;itemData&quot;:{&quot;type&quot;:&quot;article-journal&quot;,&quot;id&quot;:&quot;6a2f1b6a-973a-3b5d-be2b-b3d89ddc6180&quot;,&quot;title&quot;:&quot;Advancing malaria reactive case detection in a Zambia-like setting: A modeling study&quot;,&quot;author&quot;:[{&quot;family&quot;:&quot;Chiziba&quot;,&quot;given&quot;:&quot;Chilochibi&quot;,&quot;parse-names&quot;:false,&quot;dropping-particle&quot;:&quot;&quot;,&quot;non-dropping-particle&quot;:&quot;&quot;},{&quot;family&quot;:&quot;Chiwaula&quot;,&quot;given&quot;:&quot;Japhet&quot;,&quot;parse-names&quot;:false,&quot;dropping-particle&quot;:&quot;&quot;,&quot;non-dropping-particle&quot;:&quot;&quot;},{&quot;family&quot;:&quot;Hamainza&quot;,&quot;given&quot;:&quot;Busiku&quot;,&quot;parse-names&quot;:false,&quot;dropping-particle&quot;:&quot;&quot;,&quot;non-dropping-particle&quot;:&quot;&quot;},{&quot;family&quot;:&quot;Silal&quot;,&quot;given&quot;:&quot;Sheetal&quot;,&quot;parse-names&quot;:false,&quot;dropping-particle&quot;:&quot;&quot;,&quot;non-dropping-particle&quot;:&quot;&quot;}],&quot;container-title&quot;:&quot;PLOS Global Public Health&quot;,&quot;DOI&quot;:&quot;10.1371/journal.pgph.0004288&quot;,&quot;ISSN&quot;:&quot;27673375&quot;,&quot;issued&quot;:{&quot;date-parts&quot;:[[2025,2,20]]},&quot;abstract&quot;:&quot;In Zambia-like settings, asymptomatic and clinical carriers not seeking treatment further complicate malaria elimination, making reactive case detection (RCD) essential for identifying undetected infections. However, RCD faces operational hurdles, including resource shortages, logistical challenges, limited community health workers (CHWs), and limitations in availability and sensitive rapid diagnostic tests (RDTs). Prioritizing specific improvement measures is critical to enhance intervention outcomes. A mathematical model of malaria transmission for low-transmission areas (fewer than 200 cases per 1,000 annually) was developed using published data to simulate RCD. This model assessed the impact of potential improvement measures designed to address the identified operational challenges affecting RCD. Improvement measures included increasing CHWs, adjusting response times, improving RDT sensitivity, and incorporating focal mass drug administration (fMDA). A shortage of CHWs and limited availability of RDTs have the most negative impact on RCD’s ability to reduce cases. In scenarios where CHWs or RDT availability for RCD were reduced by 50%, annual cases increased by approximately 22%. Only the incorporation of fMDA as an improvement measure succeeded countering the situation, resulting in a 43% reduction. Increasing CHWs to offset RCD inefficiencies caused by limited RDT sensitivity and difficulties finding individuals reduced cases by approximately 13 and 14%, respectively, reducing more cases than improving reaction time or increasing the screening radius. Although RCD is prone to challenges, the manipulation of improvement measures such as CHWs and fMDA provides promise for RCD to contribute towards malaria elimination. However, the participation of CHWs is voluntary and primarily motivated by informal incentives, often provided by donors. Finding sustainable means to ensure the sufficient availability of CHWs may guarantee continued RCD contributions toward maintaining stable malaria prevalence. More research is required to explore the application of RCD in archetypical transmission areas suitable for RCD as improvement measures to the identified challenges hindering RCD.&quot;,&quot;publisher&quot;:&quot;Public Library of Science&quot;,&quot;issue&quot;:&quot;2&quot;,&quot;volume&quot;:&quot;5&quot;,&quot;container-title-short&quot;:&quot;&quot;},&quot;isTemporary&quot;:false}]}]"/>
    <we:property name="MENDELEY_CITATIONS_LOCALE_CODE" value="&quot;en-US&quot;"/>
    <we:property name="MENDELEY_CITATIONS_STYLE" value="{&quot;id&quot;:&quot;https://www.zotero.org/styles/journal-of-medicinal-chemistry&quot;,&quot;title&quot;:&quot;Journal of Medicinal Chemistr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FF679-7046-47A2-A8EB-9E044D65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13</Pages>
  <Words>2649</Words>
  <Characters>15103</Characters>
  <Application>Microsoft Office Word</Application>
  <DocSecurity>0</DocSecurity>
  <Lines>125</Lines>
  <Paragraphs>35</Paragraphs>
  <ScaleCrop>false</ScaleCrop>
  <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File</dc:title>
  <dc:creator>Stephanie Kamunya</dc:creator>
  <cp:keywords/>
  <cp:lastModifiedBy>Stephanie Nyoike</cp:lastModifiedBy>
  <cp:revision>262</cp:revision>
  <dcterms:created xsi:type="dcterms:W3CDTF">2026-07-09T04:00:00Z</dcterms:created>
  <dcterms:modified xsi:type="dcterms:W3CDTF">2026-07-16T01:24:00Z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ditor">
    <vt:lpwstr>visual</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toc-title">
    <vt:lpwstr>Table of contents</vt:lpwstr>
  </property>
  <property fmtid="{D5CDD505-2E9C-101B-9397-08002B2CF9AE}" pid="11" name="GrammarlyDocumentId">
    <vt:lpwstr>8b7084b6-aaf8-45f2-b544-da0402bf9469</vt:lpwstr>
  </property>
</Properties>
</file>