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15CE1">
      <w:pPr>
        <w:jc w:val="center"/>
      </w:pPr>
      <w:r>
        <w:rPr>
          <w:b/>
          <w:sz w:val="32"/>
        </w:rPr>
        <w:t>Additional file 1</w:t>
      </w:r>
    </w:p>
    <w:p w14:paraId="70950F03">
      <w:pPr>
        <w:jc w:val="center"/>
      </w:pPr>
      <w:r>
        <w:rPr>
          <w:b/>
          <w:sz w:val="28"/>
        </w:rPr>
        <w:t>Supplementary Tables S1–S4 and Figures S1–S2</w:t>
      </w:r>
    </w:p>
    <w:p w14:paraId="4AA0AA65">
      <w:r>
        <w:br w:type="page"/>
      </w:r>
      <w:bookmarkStart w:id="0" w:name="_GoBack"/>
      <w:bookmarkEnd w:id="0"/>
    </w:p>
    <w:p w14:paraId="4EF4C8E3">
      <w:pPr>
        <w:keepNext/>
      </w:pPr>
      <w:r>
        <w:rPr>
          <w:b/>
        </w:rPr>
        <w:t>Table S1. Scores for the main scales and domains (n = 1158)</w:t>
      </w:r>
    </w:p>
    <w:tbl>
      <w:tblPr>
        <w:tblStyle w:val="32"/>
        <w:tblW w:w="5106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73"/>
        <w:gridCol w:w="608"/>
        <w:gridCol w:w="1227"/>
        <w:gridCol w:w="1761"/>
        <w:gridCol w:w="804"/>
        <w:gridCol w:w="2641"/>
      </w:tblGrid>
      <w:tr w14:paraId="1323D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651" w:type="pct"/>
            <w:tcBorders>
              <w:top w:val="single" w:color="000000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9B447C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9"/>
                <w:szCs w:val="24"/>
              </w:rPr>
              <w:t>Scale/domain</w:t>
            </w:r>
          </w:p>
        </w:tc>
        <w:tc>
          <w:tcPr>
            <w:tcW w:w="289" w:type="pct"/>
            <w:tcBorders>
              <w:top w:val="single" w:color="000000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49363E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9"/>
                <w:szCs w:val="24"/>
              </w:rPr>
              <w:t>n</w:t>
            </w:r>
          </w:p>
        </w:tc>
        <w:tc>
          <w:tcPr>
            <w:tcW w:w="583" w:type="pct"/>
            <w:tcBorders>
              <w:top w:val="single" w:color="000000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DC99F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9"/>
              </w:rPr>
            </w:pPr>
            <w:r>
              <w:rPr>
                <w:rFonts w:ascii="Times New Roman" w:eastAsia="Times New Roman"/>
                <w:b/>
                <w:sz w:val="19"/>
              </w:rPr>
              <w:t>Mean (SD)</w:t>
            </w:r>
          </w:p>
        </w:tc>
        <w:tc>
          <w:tcPr>
            <w:tcW w:w="837" w:type="pct"/>
            <w:tcBorders>
              <w:top w:val="single" w:color="000000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1E8AA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9"/>
              </w:rPr>
            </w:pPr>
            <w:r>
              <w:rPr>
                <w:rFonts w:ascii="Times New Roman" w:eastAsia="Times New Roman"/>
                <w:b/>
                <w:sz w:val="19"/>
              </w:rPr>
              <w:t>Median (IQR)</w:t>
            </w:r>
          </w:p>
        </w:tc>
        <w:tc>
          <w:tcPr>
            <w:tcW w:w="382" w:type="pct"/>
            <w:tcBorders>
              <w:top w:val="single" w:color="000000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A3AB9A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9"/>
                <w:szCs w:val="24"/>
              </w:rPr>
              <w:t>Range</w:t>
            </w:r>
          </w:p>
        </w:tc>
        <w:tc>
          <w:tcPr>
            <w:tcW w:w="1255" w:type="pct"/>
            <w:tcBorders>
              <w:top w:val="single" w:color="000000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DAF18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9"/>
              </w:rPr>
            </w:pPr>
            <w:r>
              <w:rPr>
                <w:rFonts w:ascii="Times New Roman" w:eastAsia="Times New Roman"/>
                <w:b/>
                <w:sz w:val="19"/>
              </w:rPr>
              <w:t>Internal consistency coefficient</w:t>
            </w:r>
          </w:p>
        </w:tc>
      </w:tr>
      <w:tr w14:paraId="39C29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1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8D99A1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Total successful aging score</w:t>
            </w:r>
          </w:p>
        </w:tc>
        <w:tc>
          <w:tcPr>
            <w:tcW w:w="289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7A57D1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1158</w:t>
            </w:r>
          </w:p>
        </w:tc>
        <w:tc>
          <w:tcPr>
            <w:tcW w:w="583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4DE84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46.83 (13.07)</w:t>
            </w:r>
          </w:p>
        </w:tc>
        <w:tc>
          <w:tcPr>
            <w:tcW w:w="837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BEEEF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47.00 (38.00–56.00)</w:t>
            </w:r>
          </w:p>
        </w:tc>
        <w:tc>
          <w:tcPr>
            <w:tcW w:w="382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26D8F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4–80</w:t>
            </w:r>
          </w:p>
        </w:tc>
        <w:tc>
          <w:tcPr>
            <w:tcW w:w="125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BEBF2E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0.899</w:t>
            </w:r>
          </w:p>
        </w:tc>
      </w:tr>
      <w:tr w14:paraId="48E34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F10E3E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Intrapsychic factors and existential meaning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029BDF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1158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613BF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20.57 (6.42)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3F66F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21.00 (16.00–25.00)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12B00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1–32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573091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—</w:t>
            </w:r>
          </w:p>
        </w:tc>
      </w:tr>
      <w:tr w14:paraId="09E09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43B8A8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Functional coping mechanisms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2D01DF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1158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31F62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13.20 (4.18)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C2720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14.00 (10.00–16.00)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C2752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0–20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83AE56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—</w:t>
            </w:r>
          </w:p>
        </w:tc>
      </w:tr>
      <w:tr w14:paraId="6BD57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989282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Gerotranscendence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A438FA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1158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A1C57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7.50 (3.37)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06186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7.00 (5.00–10.00)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5F991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0–16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9C815E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—</w:t>
            </w:r>
          </w:p>
        </w:tc>
      </w:tr>
      <w:tr w14:paraId="2E9C0C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B82057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Sense of legacy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52D3BE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1158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65D91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2.90 (1.14)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73A72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3.00 (2.00–4.00)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CB0B5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0–4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8F1B60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—</w:t>
            </w:r>
          </w:p>
        </w:tc>
      </w:tr>
      <w:tr w14:paraId="6827F7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86D9DC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Spirituality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D6755E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1158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F1AFF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2.66 (2.36)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09ADC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2.00 (0.00–4.00)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C50A8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0–8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194772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—</w:t>
            </w:r>
          </w:p>
        </w:tc>
      </w:tr>
      <w:tr w14:paraId="66FB8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FF5E72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WHO-5 psychological well-being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B1B2B2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1158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58175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13.68 (5.26)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76D23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13.00 (10.00–17.00)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8A492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0–25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93A354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0.917</w:t>
            </w:r>
          </w:p>
        </w:tc>
      </w:tr>
      <w:tr w14:paraId="39565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CF6A58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Total digital literacy score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557FB9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1158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1038C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42.93 (17.37)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C073A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44.00 (28.00–54.00)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6BE72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18–90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F48BAE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0.969</w:t>
            </w:r>
          </w:p>
        </w:tc>
      </w:tr>
      <w:tr w14:paraId="42DC1D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6C52D3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Digital information literacy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E30679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1158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ABFD7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7.32 (3.16)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15DA4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7.00 (5.00–9.00)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9E708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3–15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CF7F66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—</w:t>
            </w:r>
          </w:p>
        </w:tc>
      </w:tr>
      <w:tr w14:paraId="537CE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0C26A9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Digital social literacy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D81B0C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1158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62810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10.24 (4.38)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5A6D9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10.00 (7.00–13.00)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1C1C9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4–20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A43603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—</w:t>
            </w:r>
          </w:p>
        </w:tc>
      </w:tr>
      <w:tr w14:paraId="7AE3D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00AC9D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Digital innovation literacy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7A3041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1158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DAD55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6.48 (3.14)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E3E70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6.00 (3.00–9.00)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FD670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3–15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732A12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—</w:t>
            </w:r>
          </w:p>
        </w:tc>
      </w:tr>
      <w:tr w14:paraId="7957D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4046DC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Digital safety literacy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F164CD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1158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C2490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9.84 (4.36)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1B360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10.00 (6.00–12.00)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0317E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4–20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D76DEB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—</w:t>
            </w:r>
          </w:p>
        </w:tc>
      </w:tr>
      <w:tr w14:paraId="534AE8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48FB72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Digital problem-solving literacy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DE74E0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1158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AE8F9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9.05 (4.11)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4D1EE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9.00 (5.00–12.00)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FC4CE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4–20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FB9ABE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—</w:t>
            </w:r>
          </w:p>
        </w:tc>
      </w:tr>
      <w:tr w14:paraId="6D83F3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7CAF46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Total social participation score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8F8974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1158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FC9FB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57.36 (15.67)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33E66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57.00 (46.00–67.00)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7ECC0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22–110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B103AA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0.922</w:t>
            </w:r>
          </w:p>
        </w:tc>
      </w:tr>
      <w:tr w14:paraId="419D40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45D643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Household activities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986E43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1158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6E3F0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16.80 (4.08)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F3586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17.00 (14.00–20.00)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24AA1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5–25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CF12AE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—</w:t>
            </w:r>
          </w:p>
        </w:tc>
      </w:tr>
      <w:tr w14:paraId="4C9BAF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74FC0B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Leisure activities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D8C678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1158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7DD4E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7.11 (2.90)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10A1B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7.00 (5.00–9.00)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068CD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3–15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D93B48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—</w:t>
            </w:r>
          </w:p>
        </w:tc>
      </w:tr>
      <w:tr w14:paraId="4F128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BC2BA6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Visits with relatives and friends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3290AC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1158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E7033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7.84 (2.65)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083B1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8.00 (6.00–9.00)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53BBD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3–15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D31033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—</w:t>
            </w:r>
          </w:p>
        </w:tc>
      </w:tr>
      <w:tr w14:paraId="0CBB5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7AC88E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Group recreational activities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8813FD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1158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DF226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4.74 (2.18)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0A293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5.00 (3.00–6.00)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AB173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2–10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81B228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—</w:t>
            </w:r>
          </w:p>
        </w:tc>
      </w:tr>
      <w:tr w14:paraId="7B77C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1277C4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Volunteering and public-interest activities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BC9B0D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1158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6D037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8.97 (3.71)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BA32B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9.00 (6.00–12.00)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5734B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4–20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120C1A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—</w:t>
            </w:r>
          </w:p>
        </w:tc>
      </w:tr>
      <w:tr w14:paraId="2B4A5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7527C4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Online participation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82A0C1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1158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E7E6B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11.89 (5.04)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B1C79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12.00 (7.00–15.00)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0821E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5–25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5EC5F2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—</w:t>
            </w:r>
          </w:p>
        </w:tc>
      </w:tr>
      <w:tr w14:paraId="665CA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1" w:type="pct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845ADD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Total frailty score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F47ABA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1158</w:t>
            </w:r>
          </w:p>
        </w:tc>
        <w:tc>
          <w:tcPr>
            <w:tcW w:w="583" w:type="pct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1CC00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0.81 (1.17)</w:t>
            </w:r>
          </w:p>
        </w:tc>
        <w:tc>
          <w:tcPr>
            <w:tcW w:w="837" w:type="pct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F7B00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0.00 (0.00–1.00)</w:t>
            </w:r>
          </w:p>
        </w:tc>
        <w:tc>
          <w:tcPr>
            <w:tcW w:w="382" w:type="pct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8F332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0–5</w:t>
            </w:r>
          </w:p>
        </w:tc>
        <w:tc>
          <w:tcPr>
            <w:tcW w:w="1255" w:type="pct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1F95E0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</w:rPr>
              <w:t>0.639</w:t>
            </w:r>
          </w:p>
        </w:tc>
      </w:tr>
    </w:tbl>
    <w:p w14:paraId="019DB1AC">
      <w:pPr>
        <w:spacing w:before="60" w:after="0" w:line="240" w:lineRule="auto"/>
      </w:pPr>
      <w:r>
        <w:rPr>
          <w:sz w:val="18"/>
        </w:rPr>
        <w:t>Note: Cronbach’s α is reported for the Successful Aging Inventory, Digital Literacy Scale, Social Participation Scale, and WHO-5; the Kuder–Richardson 20 coefficient is reported for the dichotomous FRAIL scale. Internal consistency coefficients are reported only for the total scales.</w:t>
      </w:r>
    </w:p>
    <w:p w14:paraId="4C07B630">
      <w:r>
        <w:br w:type="page"/>
      </w:r>
    </w:p>
    <w:p w14:paraId="3E160A43">
      <w:pPr>
        <w:keepNext/>
      </w:pPr>
      <w:r>
        <w:rPr>
          <w:b/>
        </w:rPr>
        <w:t>Table S2. Raw WHO-5 psychological well-being categories and frailty classification (n = 1158)</w:t>
      </w:r>
    </w:p>
    <w:tbl>
      <w:tblPr>
        <w:tblStyle w:val="32"/>
        <w:tblW w:w="5000" w:type="pct"/>
        <w:jc w:val="center"/>
        <w:tblBorders>
          <w:top w:val="none" w:color="777777" w:sz="4" w:space="0"/>
          <w:left w:val="none" w:color="777777" w:sz="4" w:space="0"/>
          <w:bottom w:val="none" w:color="777777" w:sz="4" w:space="0"/>
          <w:right w:val="none" w:color="777777" w:sz="4" w:space="0"/>
          <w:insideH w:val="none" w:color="777777" w:sz="4" w:space="0"/>
          <w:insideV w:val="none" w:color="777777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44"/>
        <w:gridCol w:w="5425"/>
        <w:gridCol w:w="1251"/>
      </w:tblGrid>
      <w:tr w14:paraId="6B84F4B6">
        <w:tblPrEx>
          <w:tblBorders>
            <w:top w:val="none" w:color="777777" w:sz="4" w:space="0"/>
            <w:left w:val="none" w:color="777777" w:sz="4" w:space="0"/>
            <w:bottom w:val="none" w:color="777777" w:sz="4" w:space="0"/>
            <w:right w:val="none" w:color="777777" w:sz="4" w:space="0"/>
            <w:insideH w:val="none" w:color="777777" w:sz="4" w:space="0"/>
            <w:insideV w:val="none" w:color="77777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76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01FDB6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9"/>
                <w:szCs w:val="24"/>
              </w:rPr>
              <w:t>Indicator</w:t>
            </w:r>
          </w:p>
        </w:tc>
        <w:tc>
          <w:tcPr>
            <w:tcW w:w="2628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0AD3E4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9"/>
                <w:szCs w:val="24"/>
              </w:rPr>
              <w:t>Category</w:t>
            </w:r>
          </w:p>
        </w:tc>
        <w:tc>
          <w:tcPr>
            <w:tcW w:w="606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C61FB3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9"/>
                <w:szCs w:val="24"/>
                <w:lang w:val="en-US" w:eastAsia="zh-CN"/>
              </w:rPr>
              <w:t>n(%)</w:t>
            </w:r>
          </w:p>
        </w:tc>
      </w:tr>
      <w:tr w14:paraId="67E51407">
        <w:tblPrEx>
          <w:tblBorders>
            <w:top w:val="none" w:color="777777" w:sz="4" w:space="0"/>
            <w:left w:val="none" w:color="777777" w:sz="4" w:space="0"/>
            <w:bottom w:val="none" w:color="777777" w:sz="4" w:space="0"/>
            <w:right w:val="none" w:color="777777" w:sz="4" w:space="0"/>
            <w:insideH w:val="none" w:color="777777" w:sz="4" w:space="0"/>
            <w:insideV w:val="none" w:color="77777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91D8B5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  <w:t>Raw WHO-5 psychological well-being category</w:t>
            </w:r>
          </w:p>
        </w:tc>
        <w:tc>
          <w:tcPr>
            <w:tcW w:w="2628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BBEAA8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  <w:t>Raw total score ≥13</w:t>
            </w:r>
          </w:p>
        </w:tc>
        <w:tc>
          <w:tcPr>
            <w:tcW w:w="606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54158A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  <w:lang w:val="en-US" w:eastAsia="zh-CN"/>
              </w:rPr>
              <w:t>657 (56.74%)</w:t>
            </w:r>
          </w:p>
        </w:tc>
      </w:tr>
      <w:tr w14:paraId="652CDFF7">
        <w:tblPrEx>
          <w:tblBorders>
            <w:top w:val="none" w:color="777777" w:sz="4" w:space="0"/>
            <w:left w:val="none" w:color="777777" w:sz="4" w:space="0"/>
            <w:bottom w:val="none" w:color="777777" w:sz="4" w:space="0"/>
            <w:right w:val="none" w:color="777777" w:sz="4" w:space="0"/>
            <w:insideH w:val="none" w:color="777777" w:sz="4" w:space="0"/>
            <w:insideV w:val="none" w:color="77777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F9E93E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  <w:t>Raw WHO-5 psychological well-being category</w:t>
            </w:r>
          </w:p>
        </w:tc>
        <w:tc>
          <w:tcPr>
            <w:tcW w:w="26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E81C90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  <w:t>Raw total score &lt;13 (indicates need for further assessment; not diagnostic)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B82286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  <w:lang w:val="en-US" w:eastAsia="zh-CN"/>
              </w:rPr>
              <w:t>501 (43.26%)</w:t>
            </w:r>
          </w:p>
        </w:tc>
      </w:tr>
      <w:tr w14:paraId="6E3A2FC4">
        <w:tblPrEx>
          <w:tblBorders>
            <w:top w:val="none" w:color="777777" w:sz="4" w:space="0"/>
            <w:left w:val="none" w:color="777777" w:sz="4" w:space="0"/>
            <w:bottom w:val="none" w:color="777777" w:sz="4" w:space="0"/>
            <w:right w:val="none" w:color="777777" w:sz="4" w:space="0"/>
            <w:insideH w:val="none" w:color="777777" w:sz="4" w:space="0"/>
            <w:insideV w:val="none" w:color="77777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3F1063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  <w:t>Frailty classification</w:t>
            </w:r>
          </w:p>
        </w:tc>
        <w:tc>
          <w:tcPr>
            <w:tcW w:w="26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689EB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Robust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DAE8C1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  <w:lang w:val="en-US" w:eastAsia="zh-CN"/>
              </w:rPr>
              <w:t>652 (56.30%)</w:t>
            </w:r>
          </w:p>
        </w:tc>
      </w:tr>
      <w:tr w14:paraId="52425188">
        <w:tblPrEx>
          <w:tblBorders>
            <w:top w:val="none" w:color="777777" w:sz="4" w:space="0"/>
            <w:left w:val="none" w:color="777777" w:sz="4" w:space="0"/>
            <w:bottom w:val="none" w:color="777777" w:sz="4" w:space="0"/>
            <w:right w:val="none" w:color="777777" w:sz="4" w:space="0"/>
            <w:insideH w:val="none" w:color="777777" w:sz="4" w:space="0"/>
            <w:insideV w:val="none" w:color="77777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A4320A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  <w:t>Frailty classification</w:t>
            </w:r>
          </w:p>
        </w:tc>
        <w:tc>
          <w:tcPr>
            <w:tcW w:w="26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44D70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Prefrail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B7B2A4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  <w:lang w:val="en-US" w:eastAsia="zh-CN"/>
              </w:rPr>
              <w:t>387 (33.42%)</w:t>
            </w:r>
          </w:p>
        </w:tc>
      </w:tr>
      <w:tr w14:paraId="0421338D">
        <w:tblPrEx>
          <w:tblBorders>
            <w:top w:val="none" w:color="777777" w:sz="4" w:space="0"/>
            <w:left w:val="none" w:color="777777" w:sz="4" w:space="0"/>
            <w:bottom w:val="none" w:color="777777" w:sz="4" w:space="0"/>
            <w:right w:val="none" w:color="777777" w:sz="4" w:space="0"/>
            <w:insideH w:val="none" w:color="777777" w:sz="4" w:space="0"/>
            <w:insideV w:val="none" w:color="77777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867F21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  <w:t>Frailty classification</w:t>
            </w:r>
          </w:p>
        </w:tc>
        <w:tc>
          <w:tcPr>
            <w:tcW w:w="2628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9AB57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Frail</w:t>
            </w:r>
          </w:p>
        </w:tc>
        <w:tc>
          <w:tcPr>
            <w:tcW w:w="606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A88270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  <w:lang w:val="en-US" w:eastAsia="zh-CN"/>
              </w:rPr>
              <w:t>119 (10.28%)</w:t>
            </w:r>
          </w:p>
        </w:tc>
      </w:tr>
    </w:tbl>
    <w:p w14:paraId="0A68ED78">
      <w:pPr>
        <w:spacing w:before="60" w:after="0" w:line="240" w:lineRule="auto"/>
      </w:pPr>
      <w:r>
        <w:rPr>
          <w:sz w:val="18"/>
        </w:rPr>
        <w:t>Note: A raw WHO-5 total score &lt;13 indicates a need for further assessment only and is not a clinical diagnosis.</w:t>
      </w:r>
    </w:p>
    <w:p w14:paraId="25A171D7">
      <w:r>
        <w:br w:type="page"/>
      </w:r>
    </w:p>
    <w:p w14:paraId="1DAA0512">
      <w:pPr>
        <w:keepNext/>
      </w:pPr>
      <w:r>
        <w:rPr>
          <w:b/>
        </w:rPr>
        <w:t>Table S3. Comparisons of the main variables by sex and age group (n = 1158)</w:t>
      </w:r>
    </w:p>
    <w:tbl>
      <w:tblPr>
        <w:tblStyle w:val="32"/>
        <w:tblW w:w="9865" w:type="dxa"/>
        <w:jc w:val="center"/>
        <w:tblBorders>
          <w:top w:val="none" w:color="777777" w:sz="4" w:space="0"/>
          <w:left w:val="none" w:color="777777" w:sz="4" w:space="0"/>
          <w:bottom w:val="none" w:color="777777" w:sz="4" w:space="0"/>
          <w:right w:val="none" w:color="777777" w:sz="4" w:space="0"/>
          <w:insideH w:val="none" w:color="777777" w:sz="4" w:space="0"/>
          <w:insideV w:val="none" w:color="777777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1"/>
        <w:gridCol w:w="1748"/>
        <w:gridCol w:w="1542"/>
        <w:gridCol w:w="1103"/>
        <w:gridCol w:w="1582"/>
        <w:gridCol w:w="1549"/>
      </w:tblGrid>
      <w:tr w14:paraId="33335A6D">
        <w:tblPrEx>
          <w:tblBorders>
            <w:top w:val="none" w:color="777777" w:sz="4" w:space="0"/>
            <w:left w:val="none" w:color="777777" w:sz="4" w:space="0"/>
            <w:bottom w:val="none" w:color="777777" w:sz="4" w:space="0"/>
            <w:right w:val="none" w:color="777777" w:sz="4" w:space="0"/>
            <w:insideH w:val="none" w:color="777777" w:sz="4" w:space="0"/>
            <w:insideV w:val="none" w:color="77777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2341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808F9F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9"/>
                <w:szCs w:val="24"/>
              </w:rPr>
              <w:t>Variable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B4B0C4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9"/>
                <w:szCs w:val="24"/>
              </w:rPr>
              <w:t>Sex test</w:t>
            </w:r>
          </w:p>
        </w:tc>
        <w:tc>
          <w:tcPr>
            <w:tcW w:w="1542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444525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9"/>
                <w:szCs w:val="24"/>
              </w:rPr>
              <w:t>Sex statistic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8EBA02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9"/>
                <w:szCs w:val="24"/>
              </w:rPr>
              <w:t>Sex P value</w:t>
            </w:r>
          </w:p>
        </w:tc>
        <w:tc>
          <w:tcPr>
            <w:tcW w:w="1582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42D8B0">
            <w:pPr>
              <w:spacing w:before="0" w:after="0" w:line="240" w:lineRule="auto"/>
            </w:pPr>
            <w:r>
              <w:rPr>
                <w:sz w:val="19"/>
              </w:rPr>
              <w:t>Age-group statistic</w:t>
            </w:r>
          </w:p>
        </w:tc>
        <w:tc>
          <w:tcPr>
            <w:tcW w:w="1549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C61257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9"/>
                <w:szCs w:val="24"/>
              </w:rPr>
              <w:t>Age P value</w:t>
            </w:r>
          </w:p>
        </w:tc>
      </w:tr>
      <w:tr w14:paraId="43B9567D">
        <w:tblPrEx>
          <w:tblBorders>
            <w:top w:val="none" w:color="777777" w:sz="4" w:space="0"/>
            <w:left w:val="none" w:color="777777" w:sz="4" w:space="0"/>
            <w:bottom w:val="none" w:color="777777" w:sz="4" w:space="0"/>
            <w:right w:val="none" w:color="777777" w:sz="4" w:space="0"/>
            <w:insideH w:val="none" w:color="777777" w:sz="4" w:space="0"/>
            <w:insideV w:val="none" w:color="77777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2341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8DC148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  <w:t>Total successful aging score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B2FDCD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  <w:t>Wilcoxon rank-sum test</w:t>
            </w:r>
          </w:p>
        </w:tc>
        <w:tc>
          <w:tcPr>
            <w:tcW w:w="1542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A26461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  <w:lang w:val="en-US" w:eastAsia="zh-CN"/>
              </w:rPr>
              <w:t>163945.5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7278F8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  <w:lang w:val="en-US" w:eastAsia="zh-CN"/>
              </w:rPr>
              <w:t>0.740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280405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  <w:lang w:val="en-US" w:eastAsia="zh-CN"/>
              </w:rPr>
              <w:t>67.237</w:t>
            </w:r>
          </w:p>
        </w:tc>
        <w:tc>
          <w:tcPr>
            <w:tcW w:w="1549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D9797C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  <w:lang w:val="en-US" w:eastAsia="zh-CN"/>
              </w:rPr>
              <w:t>&lt;0.001</w:t>
            </w:r>
          </w:p>
        </w:tc>
      </w:tr>
      <w:tr w14:paraId="4ABC2647">
        <w:tblPrEx>
          <w:tblBorders>
            <w:top w:val="none" w:color="777777" w:sz="4" w:space="0"/>
            <w:left w:val="none" w:color="777777" w:sz="4" w:space="0"/>
            <w:bottom w:val="none" w:color="777777" w:sz="4" w:space="0"/>
            <w:right w:val="none" w:color="777777" w:sz="4" w:space="0"/>
            <w:insideH w:val="none" w:color="777777" w:sz="4" w:space="0"/>
            <w:insideV w:val="none" w:color="77777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BAC0D7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  <w:t>WHO-5 psychological well-being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82A933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  <w:t>Wilcoxon rank-sum test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A51C9A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  <w:lang w:val="en-US" w:eastAsia="zh-CN"/>
              </w:rPr>
              <w:t>164521.0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8087D8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  <w:lang w:val="en-US" w:eastAsia="zh-CN"/>
              </w:rPr>
              <w:t>0.818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2E56F0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  <w:lang w:val="en-US" w:eastAsia="zh-CN"/>
              </w:rPr>
              <w:t>40.286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E3AEE5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  <w:lang w:val="en-US" w:eastAsia="zh-CN"/>
              </w:rPr>
              <w:t>&lt;0.001</w:t>
            </w:r>
          </w:p>
        </w:tc>
      </w:tr>
      <w:tr w14:paraId="6E31EA61">
        <w:tblPrEx>
          <w:tblBorders>
            <w:top w:val="none" w:color="777777" w:sz="4" w:space="0"/>
            <w:left w:val="none" w:color="777777" w:sz="4" w:space="0"/>
            <w:bottom w:val="none" w:color="777777" w:sz="4" w:space="0"/>
            <w:right w:val="none" w:color="777777" w:sz="4" w:space="0"/>
            <w:insideH w:val="none" w:color="777777" w:sz="4" w:space="0"/>
            <w:insideV w:val="none" w:color="77777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4F0E72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  <w:t>Total digital literacy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18ABC5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  <w:t>Wilcoxon rank-sum test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E0865C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  <w:lang w:val="en-US" w:eastAsia="zh-CN"/>
              </w:rPr>
              <w:t>172263.0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109B1B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  <w:lang w:val="en-US" w:eastAsia="zh-CN"/>
              </w:rPr>
              <w:t>0.255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9DD1C1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  <w:lang w:val="en-US" w:eastAsia="zh-CN"/>
              </w:rPr>
              <w:t>125.981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3C29A4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  <w:lang w:val="en-US" w:eastAsia="zh-CN"/>
              </w:rPr>
              <w:t>&lt;0.001</w:t>
            </w:r>
          </w:p>
        </w:tc>
      </w:tr>
      <w:tr w14:paraId="7801852B">
        <w:tblPrEx>
          <w:tblBorders>
            <w:top w:val="none" w:color="777777" w:sz="4" w:space="0"/>
            <w:left w:val="none" w:color="777777" w:sz="4" w:space="0"/>
            <w:bottom w:val="none" w:color="777777" w:sz="4" w:space="0"/>
            <w:right w:val="none" w:color="777777" w:sz="4" w:space="0"/>
            <w:insideH w:val="none" w:color="777777" w:sz="4" w:space="0"/>
            <w:insideV w:val="none" w:color="77777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C93C00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  <w:t>Total social participation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3374FD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  <w:t>Wilcoxon rank-sum test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22F4AD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  <w:lang w:val="en-US" w:eastAsia="zh-CN"/>
              </w:rPr>
              <w:t>166249.5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D8EE38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  <w:lang w:val="en-US" w:eastAsia="zh-CN"/>
              </w:rPr>
              <w:t>0.940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8D4C18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  <w:lang w:val="en-US" w:eastAsia="zh-CN"/>
              </w:rPr>
              <w:t>51.111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8BAAA3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  <w:lang w:val="en-US" w:eastAsia="zh-CN"/>
              </w:rPr>
              <w:t>&lt;0.001</w:t>
            </w:r>
          </w:p>
        </w:tc>
      </w:tr>
      <w:tr w14:paraId="7CB007C7">
        <w:tblPrEx>
          <w:tblBorders>
            <w:top w:val="none" w:color="777777" w:sz="4" w:space="0"/>
            <w:left w:val="none" w:color="777777" w:sz="4" w:space="0"/>
            <w:bottom w:val="none" w:color="777777" w:sz="4" w:space="0"/>
            <w:right w:val="none" w:color="777777" w:sz="4" w:space="0"/>
            <w:insideH w:val="none" w:color="777777" w:sz="4" w:space="0"/>
            <w:insideV w:val="none" w:color="77777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2341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250FFF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  <w:t>Total frailty score</w:t>
            </w:r>
          </w:p>
        </w:tc>
        <w:tc>
          <w:tcPr>
            <w:tcW w:w="1748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2FFA25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19"/>
                <w:szCs w:val="24"/>
              </w:rPr>
              <w:t>Wilcoxon rank-sum test</w:t>
            </w:r>
          </w:p>
        </w:tc>
        <w:tc>
          <w:tcPr>
            <w:tcW w:w="1542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C39C58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  <w:lang w:val="en-US" w:eastAsia="zh-CN"/>
              </w:rPr>
              <w:t>159308.5</w:t>
            </w:r>
          </w:p>
        </w:tc>
        <w:tc>
          <w:tcPr>
            <w:tcW w:w="1103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13E3B5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  <w:lang w:val="en-US" w:eastAsia="zh-CN"/>
              </w:rPr>
              <w:t>0.201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17A341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  <w:lang w:val="en-US" w:eastAsia="zh-CN"/>
              </w:rPr>
              <w:t>28.447</w:t>
            </w:r>
          </w:p>
        </w:tc>
        <w:tc>
          <w:tcPr>
            <w:tcW w:w="1549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DAC2EE">
            <w:p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19"/>
                <w:szCs w:val="24"/>
                <w:lang w:val="en-US" w:eastAsia="zh-CN"/>
              </w:rPr>
              <w:t>&lt;0.001</w:t>
            </w:r>
          </w:p>
        </w:tc>
      </w:tr>
    </w:tbl>
    <w:p w14:paraId="5FAACAE1">
      <w:pPr>
        <w:spacing w:before="60" w:after="0" w:line="240" w:lineRule="auto"/>
      </w:pPr>
      <w:r>
        <w:rPr>
          <w:sz w:val="18"/>
        </w:rPr>
        <w:t>Note: Sex comparisons used Wilcoxon rank-sum tests between men and women. Age-group comparisons used Kruskal–Wallis tests among participants aged 60–69 years, 70–79 years, and 80 years or older.</w:t>
      </w:r>
    </w:p>
    <w:p w14:paraId="3F6A788A">
      <w:r>
        <w:br w:type="page"/>
      </w:r>
    </w:p>
    <w:p w14:paraId="700F7875">
      <w:pPr>
        <w:keepNext/>
      </w:pPr>
      <w:r>
        <w:rPr>
          <w:b/>
        </w:rPr>
        <w:t>Table S4. Conditional serial indirect associations and between-group differences across frailty levels (n = 1158)</w:t>
      </w:r>
    </w:p>
    <w:tbl>
      <w:tblPr>
        <w:tblStyle w:val="32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7"/>
        <w:gridCol w:w="867"/>
        <w:gridCol w:w="741"/>
        <w:gridCol w:w="1969"/>
        <w:gridCol w:w="940"/>
      </w:tblGrid>
      <w:tr w14:paraId="67C3C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80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046E6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9"/>
              </w:rPr>
            </w:pPr>
            <w:r>
              <w:rPr>
                <w:rFonts w:ascii="Times New Roman" w:eastAsia="Times New Roman"/>
                <w:b/>
                <w:sz w:val="19"/>
              </w:rPr>
              <w:t>Association</w:t>
            </w:r>
          </w:p>
        </w:tc>
        <w:tc>
          <w:tcPr>
            <w:tcW w:w="421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C4922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9"/>
              </w:rPr>
            </w:pPr>
            <w:r>
              <w:rPr>
                <w:rFonts w:ascii="Times New Roman" w:eastAsia="Times New Roman"/>
                <w:b/>
                <w:sz w:val="19"/>
              </w:rPr>
              <w:t>B</w:t>
            </w:r>
          </w:p>
        </w:tc>
        <w:tc>
          <w:tcPr>
            <w:tcW w:w="360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4EB07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9"/>
              </w:rPr>
            </w:pPr>
            <w:r>
              <w:rPr>
                <w:rFonts w:ascii="Times New Roman" w:eastAsia="Times New Roman"/>
                <w:b/>
                <w:sz w:val="19"/>
              </w:rPr>
              <w:t>SE</w:t>
            </w:r>
          </w:p>
        </w:tc>
        <w:tc>
          <w:tcPr>
            <w:tcW w:w="956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0187C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9"/>
              </w:rPr>
            </w:pPr>
            <w:r>
              <w:rPr>
                <w:rFonts w:ascii="Times New Roman" w:eastAsia="Times New Roman"/>
                <w:b/>
                <w:sz w:val="19"/>
              </w:rPr>
              <w:t>Bootstrap 95% CI</w:t>
            </w:r>
          </w:p>
        </w:tc>
        <w:tc>
          <w:tcPr>
            <w:tcW w:w="456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C0AFE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9"/>
              </w:rPr>
            </w:pPr>
            <w:r>
              <w:rPr>
                <w:rFonts w:ascii="Times New Roman" w:eastAsia="Times New Roman"/>
                <w:b/>
                <w:sz w:val="19"/>
              </w:rPr>
              <w:t>P value</w:t>
            </w:r>
          </w:p>
        </w:tc>
      </w:tr>
      <w:tr w14:paraId="4B415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0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1C4E8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Conditional serial indirect association: robust group (n = 652)</w:t>
            </w:r>
          </w:p>
        </w:tc>
        <w:tc>
          <w:tcPr>
            <w:tcW w:w="421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23A8A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0.096</w:t>
            </w:r>
          </w:p>
        </w:tc>
        <w:tc>
          <w:tcPr>
            <w:tcW w:w="360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977D0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0.013</w:t>
            </w:r>
          </w:p>
        </w:tc>
        <w:tc>
          <w:tcPr>
            <w:tcW w:w="956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C1ABA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[0.071, 0.123]</w:t>
            </w:r>
          </w:p>
        </w:tc>
        <w:tc>
          <w:tcPr>
            <w:tcW w:w="456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65C06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&lt;0.001</w:t>
            </w:r>
          </w:p>
        </w:tc>
      </w:tr>
      <w:tr w14:paraId="122EB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0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E3693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Conditional serial indirect association: prefrail group (n = 387)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3BC60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0.084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6AA05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0.011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D1C53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[0.064, 0.106]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9485B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&lt;0.001</w:t>
            </w:r>
          </w:p>
        </w:tc>
      </w:tr>
      <w:tr w14:paraId="3B76C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0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2DDED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Conditional serial indirect association: frail group (n = 119)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7A316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0.071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10B33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0.016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E08F9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[0.042, 0.104]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A7D5E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&lt;0.001</w:t>
            </w:r>
          </w:p>
        </w:tc>
      </w:tr>
      <w:tr w14:paraId="3EA24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0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A088B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Difference in serial indirect association: prefrail vs robust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8EA6F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−0.013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415C4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0.010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32E8E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[−0.033, 0.007]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00920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0.209</w:t>
            </w:r>
          </w:p>
        </w:tc>
      </w:tr>
      <w:tr w14:paraId="50FC0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0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89FA3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Difference in serial indirect association: frail vs robust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82AAE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−0.025</w:t>
            </w:r>
          </w:p>
        </w:tc>
        <w:tc>
          <w:tcPr>
            <w:tcW w:w="360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6C035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0.020</w:t>
            </w:r>
          </w:p>
        </w:tc>
        <w:tc>
          <w:tcPr>
            <w:tcW w:w="956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409E8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[−0.066, 0.013]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3D1C4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19"/>
              </w:rPr>
            </w:pPr>
            <w:r>
              <w:rPr>
                <w:rFonts w:ascii="Times New Roman" w:eastAsia="Times New Roman"/>
                <w:sz w:val="19"/>
              </w:rPr>
              <w:t>0.209</w:t>
            </w:r>
          </w:p>
        </w:tc>
      </w:tr>
    </w:tbl>
    <w:p w14:paraId="58D5E491">
      <w:pPr>
        <w:spacing w:before="60" w:after="0" w:line="240" w:lineRule="auto"/>
      </w:pPr>
      <w:r>
        <w:rPr>
          <w:sz w:val="18"/>
        </w:rPr>
        <w:t>Note: B, unstandardized association estimate; CI, confidence interval; SE, standard error. Confidence intervals were obtained using 5000 bias-corrected bootstrap samples. The robust group was the reference for between-group comparisons. The between-group differences were not statistically significant.</w:t>
      </w:r>
    </w:p>
    <w:p w14:paraId="0DF7212B">
      <w:pPr>
        <w:keepNext/>
      </w:pPr>
      <w:r>
        <w:rPr>
          <w:b/>
        </w:rPr>
        <w:t>Fig. S1. Heatmap of Spearman correlations among the main study variables (n = 1158)</w:t>
      </w:r>
    </w:p>
    <w:p w14:paraId="4598A218">
      <w:pPr>
        <w:jc w:val="center"/>
      </w:pPr>
      <w:r>
        <w:drawing>
          <wp:inline distT="0" distB="0" distL="114300" distR="114300">
            <wp:extent cx="5943600" cy="45434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43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78825">
      <w:pPr>
        <w:spacing w:before="60" w:after="0" w:line="240" w:lineRule="auto"/>
      </w:pPr>
      <w:r>
        <w:rPr>
          <w:sz w:val="18"/>
        </w:rPr>
        <w:t>Note: Values are Spearman's ρ coefficients. * P &lt; 0.05, ** P &lt; 0.01, *** P &lt; 0.001.</w:t>
      </w:r>
    </w:p>
    <w:p w14:paraId="6CE10889">
      <w:r>
        <w:br w:type="page"/>
      </w:r>
    </w:p>
    <w:p w14:paraId="5D09E3D3">
      <w:pPr>
        <w:keepNext/>
      </w:pPr>
      <w:r>
        <w:rPr>
          <w:b/>
        </w:rPr>
        <w:t>Fig. S2. Exploratory frailty moderation analysis</w:t>
      </w:r>
    </w:p>
    <w:p w14:paraId="27459440">
      <w:pPr>
        <w:jc w:val="center"/>
      </w:pPr>
      <w:r>
        <w:drawing>
          <wp:inline distT="0" distB="0" distL="114300" distR="114300">
            <wp:extent cx="5943600" cy="1951355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5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90794">
      <w:pPr>
        <w:spacing w:before="60" w:after="0"/>
      </w:pPr>
      <w:r>
        <w:rPr>
          <w:sz w:val="19"/>
        </w:rPr>
        <w:t>Panel A. Exploratory path model with frailty moderation. Coefficients shown in the panel are unstandardized estimates.</w:t>
      </w:r>
    </w:p>
    <w:p w14:paraId="6F870301">
      <w:r>
        <w:br w:type="page"/>
      </w:r>
    </w:p>
    <w:p w14:paraId="3F041F4E">
      <w:pPr>
        <w:keepNext/>
      </w:pPr>
      <w:r>
        <w:rPr>
          <w:b/>
        </w:rPr>
        <w:t>Fig. S2. Exploratory frailty moderation analysis (continued)</w:t>
      </w:r>
    </w:p>
    <w:p w14:paraId="4D143D80">
      <w:pPr>
        <w:jc w:val="center"/>
      </w:pPr>
      <w:r>
        <w:drawing>
          <wp:inline distT="0" distB="0" distL="114300" distR="114300">
            <wp:extent cx="5943600" cy="2146935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47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D08FE">
      <w:pPr>
        <w:spacing w:before="60" w:after="0"/>
      </w:pPr>
      <w:r>
        <w:rPr>
          <w:sz w:val="19"/>
        </w:rPr>
        <w:t>Panel B. Conditional serial indirect association estimates across frailty groups and differences relative to the robust group.</w:t>
      </w:r>
    </w:p>
    <w:p w14:paraId="3A6FBC54">
      <w:pPr>
        <w:spacing w:before="60" w:after="0" w:line="240" w:lineRule="auto"/>
      </w:pPr>
      <w:r>
        <w:rPr>
          <w:sz w:val="18"/>
        </w:rPr>
        <w:t>Note: The interaction between social participation and frailty and the between-group differences were not statistically significant. Overall fit of the exploratory moderation model was poor; therefore, the figure is provided for descriptive transparency only and should not be interpreted as evidence of moderation or a dose-response trend. Bootstrap 95% confidence intervals are shown. WHO-5, World Health Organization-Five Well-Being Index; NS, not significant.</w:t>
      </w:r>
    </w:p>
    <w:sectPr>
      <w:pgSz w:w="12240" w:h="15840"/>
      <w:pgMar w:top="1080" w:right="1080" w:bottom="1080" w:left="10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F327276"/>
    <w:rsid w:val="7F94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737</Words>
  <Characters>4494</Characters>
  <Lines>0</Lines>
  <Paragraphs>0</Paragraphs>
  <TotalTime>0</TotalTime>
  <ScaleCrop>false</ScaleCrop>
  <LinksUpToDate>false</LinksUpToDate>
  <CharactersWithSpaces>4998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还好</cp:lastModifiedBy>
  <dcterms:modified xsi:type="dcterms:W3CDTF">2026-08-05T15:33:29Z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eyJoZGlkIjoiNWY5YTg3OTEzYWE0N2Y3ZGExYWUxMWRiOTBmZmEyMGMiLCJ1c2VySWQiOiI3MDUyOTcxNDAifQ==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45927578731E4C21B748AAE81173E33D_13</vt:lpwstr>
  </property>
</Properties>
</file>