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D01ED">
      <w:pPr>
        <w:jc w:val="center"/>
      </w:pPr>
      <w:r>
        <w:rPr>
          <w:b/>
          <w:sz w:val="32"/>
        </w:rPr>
        <w:t>Supplementary material</w:t>
      </w:r>
    </w:p>
    <w:p w14:paraId="3092B748">
      <w:pPr>
        <w:jc w:val="center"/>
      </w:pPr>
      <w:r>
        <w:t>Expansion and provincial inequality in physician home-visit activity in China, 2018–2023: a national ecological panel study of community health service capacity</w:t>
      </w:r>
    </w:p>
    <w:p w14:paraId="41A91CF0">
      <w:pPr>
        <w:jc w:val="center"/>
      </w:pPr>
      <w:r>
        <w:t>Qiufeng Liu, Yuling Zhang, and Liping Xia</w:t>
      </w:r>
    </w:p>
    <w:p w14:paraId="2788C769">
      <w:pPr>
        <w:pStyle w:val="3"/>
        <w:keepNext/>
      </w:pPr>
      <w:r>
        <w:t>Supplementary Table S1 Segmented national growth and the 2020–2021 change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1958"/>
        <w:gridCol w:w="1958"/>
        <w:gridCol w:w="1958"/>
        <w:gridCol w:w="1958"/>
      </w:tblGrid>
      <w:tr w14:paraId="3A8CA8A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22E9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Measure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8780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Period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40F5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Start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B8E1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End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16B13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CAGR, %</w:t>
            </w:r>
          </w:p>
        </w:tc>
      </w:tr>
      <w:tr w14:paraId="5F7BDB88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3D04B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Total physician home-visit occasions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4D7B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2018-2023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5B5C6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47135017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EF560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163691154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7A79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28.27</w:t>
            </w:r>
          </w:p>
        </w:tc>
      </w:tr>
      <w:tr w14:paraId="4A7A680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027BF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Total physician home-visit occasions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F8472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2018-2020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4F2A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47135017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BC26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65126595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94B1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17.55</w:t>
            </w:r>
          </w:p>
        </w:tc>
      </w:tr>
      <w:tr w14:paraId="059663F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9BBDF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Total physician home-visit occasions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29332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2021-2023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0A76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118784375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D233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163691154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BE1E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17.39</w:t>
            </w:r>
          </w:p>
        </w:tc>
      </w:tr>
      <w:tr w14:paraId="4E39223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4914C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Community-institution occasions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5A937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2018-2023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A298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21016898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6D865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57561391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C64F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22.32</w:t>
            </w:r>
          </w:p>
        </w:tc>
      </w:tr>
      <w:tr w14:paraId="57761D3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3D5A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Community-institution occasions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8015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2018-2020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753E0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21016898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5C2E7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26271888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584AA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11.81</w:t>
            </w:r>
          </w:p>
        </w:tc>
      </w:tr>
      <w:tr w14:paraId="746D083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8F48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Community-institution occasions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1AC1E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2021-2023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EB1F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39486959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E84E4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57561391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5A8D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20.74</w:t>
            </w:r>
          </w:p>
        </w:tc>
      </w:tr>
      <w:tr w14:paraId="3526262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D256E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registered nurses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E9C4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2018-2023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ECDE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189207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9C49C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277658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0345D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7.97</w:t>
            </w:r>
          </w:p>
        </w:tc>
      </w:tr>
      <w:tr w14:paraId="23B3066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399B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registered nurses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E5FA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2018-2020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25769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189207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D5AF6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219574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18439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7.73</w:t>
            </w:r>
          </w:p>
        </w:tc>
      </w:tr>
      <w:tr w14:paraId="408C07C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1A73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registered nurses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C43E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2021-2023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A062C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237441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D8A16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277658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DC876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8.14</w:t>
            </w:r>
          </w:p>
        </w:tc>
      </w:tr>
      <w:tr w14:paraId="0AA158E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FC2DF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centres and stations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A439A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2018-2023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0FD8A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34997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16EBC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37177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3DAB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1.22</w:t>
            </w:r>
          </w:p>
        </w:tc>
      </w:tr>
      <w:tr w14:paraId="0060F39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2F51C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centres and stations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8F517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2018-2020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8973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34997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7CE8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35365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6297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0.52</w:t>
            </w:r>
          </w:p>
        </w:tc>
      </w:tr>
      <w:tr w14:paraId="06EC544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6DE58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centres and stations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D980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2021-2023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B755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36160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0D95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37177</w:t>
            </w:r>
          </w:p>
        </w:tc>
        <w:tc>
          <w:tcPr>
            <w:tcW w:w="195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DF45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1.40</w:t>
            </w:r>
          </w:p>
        </w:tc>
      </w:tr>
    </w:tbl>
    <w:p w14:paraId="7E3DB1F2">
      <w:pPr>
        <w:pStyle w:val="166"/>
      </w:pPr>
      <w:r>
        <w:t>Community-institution occasions increased by 50.30% and total occasions by 82.39% from 2020 to 2021.</w:t>
      </w:r>
    </w:p>
    <w:p w14:paraId="4C30113E">
      <w:r>
        <w:br w:type="page"/>
      </w:r>
    </w:p>
    <w:p w14:paraId="2917EEAE">
      <w:pPr>
        <w:pStyle w:val="3"/>
        <w:keepNext/>
      </w:pPr>
      <w:r>
        <w:t>Supplementary Table S2 Year-specific Spearman correlations with community-institution activity rate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448"/>
        <w:gridCol w:w="2448"/>
        <w:gridCol w:w="2448"/>
      </w:tblGrid>
      <w:tr w14:paraId="044DF2E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471C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Year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4FBD3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Predictor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6854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Spearman rho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D6E3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P value</w:t>
            </w:r>
          </w:p>
        </w:tc>
      </w:tr>
      <w:tr w14:paraId="3BDB9B6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C759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63B5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Registered-nurse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014D0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0.697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6970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&lt;0.001</w:t>
            </w:r>
          </w:p>
        </w:tc>
      </w:tr>
      <w:tr w14:paraId="6A9870B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ADD1A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B5E1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facility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AA22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0.600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8E233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&lt;0.001</w:t>
            </w:r>
          </w:p>
        </w:tc>
      </w:tr>
      <w:tr w14:paraId="6204B36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546A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2018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1545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Population aged ≥65 years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2BA0A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0.246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3A1A7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0.183</w:t>
            </w:r>
          </w:p>
        </w:tc>
      </w:tr>
      <w:tr w14:paraId="3BB501B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3B99F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2019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B818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Registered-nurse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A8DB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0.672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3BBB3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&lt;0.001</w:t>
            </w:r>
          </w:p>
        </w:tc>
      </w:tr>
      <w:tr w14:paraId="31ACE22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4585B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2019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86A4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facility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6144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0.615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422AD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&lt;0.001</w:t>
            </w:r>
          </w:p>
        </w:tc>
      </w:tr>
      <w:tr w14:paraId="0CE5D92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716DB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2019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D8E9D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Population aged ≥65 years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9858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0.244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BA619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0.186</w:t>
            </w:r>
          </w:p>
        </w:tc>
      </w:tr>
      <w:tr w14:paraId="6358E4A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D6E8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2020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67E61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Registered-nurse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882A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0.489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30BD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0.005</w:t>
            </w:r>
          </w:p>
        </w:tc>
      </w:tr>
      <w:tr w14:paraId="687CFD4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48D3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2020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5347A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facility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610B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0.455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8807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0.010</w:t>
            </w:r>
          </w:p>
        </w:tc>
      </w:tr>
      <w:tr w14:paraId="0F092CF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FF606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2020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19BD6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Population aged ≥65 years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F984A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0.138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5546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0.460</w:t>
            </w:r>
          </w:p>
        </w:tc>
      </w:tr>
      <w:tr w14:paraId="60EA466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0186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2021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FD236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Registered-nurse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D9A4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0.474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6F9D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0.007</w:t>
            </w:r>
          </w:p>
        </w:tc>
      </w:tr>
      <w:tr w14:paraId="2ED3857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6FBE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2021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D6EF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facility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73CA8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0.392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E7358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0.029</w:t>
            </w:r>
          </w:p>
        </w:tc>
      </w:tr>
      <w:tr w14:paraId="005BEE6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758E1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2021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D356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Population aged ≥65 years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2AF5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0.263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F48B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0.153</w:t>
            </w:r>
          </w:p>
        </w:tc>
      </w:tr>
      <w:tr w14:paraId="5B4CAA6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2F41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2022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32E60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Registered-nurse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07F0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0.529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48E50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0.002</w:t>
            </w:r>
          </w:p>
        </w:tc>
      </w:tr>
      <w:tr w14:paraId="4E0C24F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90B7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2022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C27B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 facility density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F8CA9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0.406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348BA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0.023</w:t>
            </w:r>
          </w:p>
        </w:tc>
      </w:tr>
      <w:tr w14:paraId="6FA6A87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6D127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2022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1D07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Population aged ≥65 years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843AB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0.262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B5C9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0.154</w:t>
            </w:r>
          </w:p>
        </w:tc>
      </w:tr>
    </w:tbl>
    <w:p w14:paraId="497097D1">
      <w:pPr>
        <w:sectPr>
          <w:headerReference r:id="rId5" w:type="default"/>
          <w:footerReference r:id="rId6" w:type="default"/>
          <w:pgSz w:w="12240" w:h="15840"/>
          <w:pgMar w:top="1152" w:right="1224" w:bottom="1080" w:left="1224" w:header="720" w:footer="720" w:gutter="0"/>
          <w:lnNumType w:countBy="1" w:distance="360" w:restart="continuous"/>
          <w:cols w:space="720" w:num="1"/>
          <w:docGrid w:linePitch="360" w:charSpace="0"/>
        </w:sectPr>
      </w:pPr>
    </w:p>
    <w:p w14:paraId="04AC348A">
      <w:pPr>
        <w:keepNext/>
        <w:spacing w:before="160" w:after="80"/>
      </w:pPr>
      <w:r>
        <w:rPr>
          <w:rFonts w:ascii="Times New Roman" w:hAnsi="Times New Roman"/>
          <w:b/>
          <w:sz w:val="20"/>
        </w:rPr>
        <w:t>Supplementary Table S3 Sensitivity analyses for the structural-capacity coefficients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 w14:paraId="5F188CD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34E7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Model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9795D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Predictor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EF9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Relative difference, %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B0DD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95% CI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D51A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P value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0309C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Province-years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1D4C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Regions</w:t>
            </w:r>
          </w:p>
        </w:tc>
      </w:tr>
      <w:tr w14:paraId="2E8E613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4B44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Primary: exchangeable GEE, Mancl-DeRouen covariance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9881E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Nurse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2FBB3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4.75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9D569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-3.79 to 14.05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6906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0.285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46A68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37BFF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092D2AA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899AD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Primary: exchangeable GEE, Mancl-DeRouen covariance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90916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Facility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8763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1.59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8BFD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-3.40 to 6.84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31E5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0.540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CD2E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38BFC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342C503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616F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Primary: exchangeable GEE, Mancl-DeRouen covariance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432C6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Age ≥65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9CAE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-4.44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5721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-11.35 to 3.01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2E97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0.236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65F0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91E15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68B9640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A9D89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Conventional robust covariance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7E4A0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Nurse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936B7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4.75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F3A4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-0.99 to 10.83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023C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0.107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F93D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A5D62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296DCC3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8A75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Conventional robust covariance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E4FC5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Facility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203D8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1.59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EF4A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-2.50 to 5.85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C3D25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0.452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0579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FF7C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1C5FA21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64376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Conventional robust covariance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75EE1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Age ≥65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3467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-4.44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80F7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-10.24 to 1.74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D568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0.156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BD89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E5BEA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7C0A14E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5F82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Independent working correlation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B61A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Nurse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53DA7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1.16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700AA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-8.39 to 11.70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46930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0.819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25C3F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053E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336647F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1B9C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Independent working correlation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3565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Facility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37FF5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3.39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1F06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-2.10 to 9.18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9EE1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0.231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A637C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331E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0FB286B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3AEE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Independent working correlation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9C8AC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Age ≥65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7C2D2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0.07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D6720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-10.30 to 11.65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5B08F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0.990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201FC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414C5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0DD418A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4714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Poisson GEE with population offset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B226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Nurse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2A73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5.45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4A8BA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-2.03 to 13.50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C6225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0.157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8980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F2F0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34987AE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91206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Poisson GEE with population offset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40B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Facility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9FBC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0.57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8DA9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-3.85 to 5.20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824A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0.804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687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73DEE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2B82D59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824F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Poisson GEE with population offset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84888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Age ≥65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4C5D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-0.71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26001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-8.71 to 7.99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36FE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0.869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6618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03F2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39632D9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D8FA6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Province and year fixed-effects GEE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99190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Nurse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1CF1A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12.18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F0E2D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-3.98 to 31.07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8788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0.148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5EADD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095D2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09378E1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2A02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Province and year fixed-effects GEE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8CE97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Facility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03F4B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4.21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5C5B1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-11.66 to 22.93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80830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0.625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2D697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308F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4A11C4B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F75E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Province and year fixed-effects GEE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A9399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Age ≥65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1D86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-7.49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BE4E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-16.26 to 2.20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230F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0.126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FDB91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155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A65A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29DA0B1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97548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One-year-lagged covariates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3DAF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Lagged nurse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A59C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2.99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B7CB7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-5.47 to 12.21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27EB6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0.500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B36B6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124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E5A7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1A41C06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B90B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One-year-lagged covariates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183A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Lagged facility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D6C8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2.07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F73C6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-3.49 to 7.95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792D5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0.473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CE37F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124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D9A6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027B0B2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B605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One-year-lagged covariates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92C4A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Lagged age ≥65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BDD0F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-2.16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90CB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-10.22 to 6.62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CAA0D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0.618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47A9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124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7A32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20F5F58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1067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2018-2023 supply-only GEE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732F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Nurse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8DBF4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3.53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40E3B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-5.62 to 13.57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C795E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0.462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C1E6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186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CAE5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2387CCC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8AB51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2018-2023 supply-only GEE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C0F03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Facility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85CB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2.48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71A3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-2.42 to 7.63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3B258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0.328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9074A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186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13309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31</w:t>
            </w:r>
          </w:p>
        </w:tc>
      </w:tr>
      <w:tr w14:paraId="5359E19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0FCAC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Excluding Tibet after influence diagnostic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1E1F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Nurse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4F43F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8.09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9551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1.50 to 15.11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600E9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0.015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BA9D2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150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1FB0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30</w:t>
            </w:r>
          </w:p>
        </w:tc>
      </w:tr>
      <w:tr w14:paraId="72E2CA8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5537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Excluding Tibet after influence diagnostic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C210A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Facility density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5ACE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1.65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610D8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-3.24 to 6.78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609F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0.516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A6CCC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150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D7251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30</w:t>
            </w:r>
          </w:p>
        </w:tc>
      </w:tr>
      <w:tr w14:paraId="182BB1B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356FB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Excluding Tibet after influence diagnostic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0DEF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Age ≥65</w:t>
            </w:r>
          </w:p>
        </w:tc>
        <w:tc>
          <w:tcPr>
            <w:tcW w:w="15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C143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-3.09</w:t>
            </w:r>
          </w:p>
        </w:tc>
        <w:tc>
          <w:tcPr>
            <w:tcW w:w="17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A31DD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-10.72 to 5.18</w:t>
            </w:r>
          </w:p>
        </w:tc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B16F6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0.453</w:t>
            </w:r>
          </w:p>
        </w:tc>
        <w:tc>
          <w:tcPr>
            <w:tcW w:w="12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F8B7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150</w:t>
            </w:r>
          </w:p>
        </w:tc>
        <w:tc>
          <w:tcPr>
            <w:tcW w:w="79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17A0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30</w:t>
            </w:r>
          </w:p>
        </w:tc>
      </w:tr>
    </w:tbl>
    <w:p w14:paraId="1D033FE9">
      <w:pPr>
        <w:pStyle w:val="166"/>
      </w:pPr>
      <w:r>
        <w:t>For log-density predictors, relative differences correspond to a 10% higher density; for the age predictor, they correspond to a one-percentage-point higher proportion aged 65 years or older.</w:t>
      </w:r>
    </w:p>
    <w:p w14:paraId="0ACD25F9">
      <w:pPr>
        <w:keepNext/>
        <w:spacing w:before="160" w:after="80"/>
      </w:pPr>
      <w:r>
        <w:rPr>
          <w:rFonts w:ascii="Times New Roman" w:hAnsi="Times New Roman"/>
          <w:b/>
          <w:sz w:val="20"/>
        </w:rPr>
        <w:t>Supplementary Table S4 Influence diagnostics for the nurse-density coefficient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376"/>
        <w:gridCol w:w="2376"/>
        <w:gridCol w:w="2376"/>
        <w:gridCol w:w="2376"/>
        <w:gridCol w:w="2376"/>
      </w:tblGrid>
      <w:tr w14:paraId="3182744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1B81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Province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2ADD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DFBETAS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1F1A3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Absolute DFBETAS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017DE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Nurse effect after deletion, %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DE04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Screening threshold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EDC3B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5"/>
              </w:rPr>
              <w:t>Flagged</w:t>
            </w:r>
          </w:p>
        </w:tc>
      </w:tr>
      <w:tr w14:paraId="16060C5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B04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Tibet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6697F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-0.723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EB7E8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0.723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20E76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8.09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CF05A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7C6F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Yes</w:t>
            </w:r>
          </w:p>
        </w:tc>
      </w:tr>
      <w:tr w14:paraId="4C29462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40BA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Zhejiang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E6B2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0.334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76173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0.334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92D61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3.24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FCA3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7169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7CC350F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6983A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Shanghai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3892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0.233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72379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0.233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B86A3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3.70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FE885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03A62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35DA5FC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98424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Hainan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622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-0.188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D5555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0.188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2D51D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5.61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43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91FBD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60D5E5A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E62F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Anhui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020CF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-0.183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D665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0.183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2EDFF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5.59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4FE9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B1891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71D7D4C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D5E5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Hebei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4911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0.171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048D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0.171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D656D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3.98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4721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2539F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3748284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F84C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Ningxia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5E4B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0.171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5F576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0.171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9C02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3.98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214A9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8447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15665CC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6DF6D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Fujian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03876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-0.145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8B3D1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0.145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A58DD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5.41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D663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352F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0BFD56C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689B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Xinjiang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387C2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-0.127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040C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0.127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4362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5.33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BB106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FA92C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2C84A8D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C74F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Jiangxi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01BF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0.122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1A1E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0.122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DF4A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4.20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ADF4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DD361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7C5335F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DE25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Liaoning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3515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0.113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6E131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0.113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AB35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4.24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5594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D3F2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021A7C0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8C515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Chongqing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6122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0.086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5B4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0.086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D3E7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4.36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D14E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90770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3783E6F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ECE4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Beijing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D986E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-0.077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5C37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0.077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ADFB9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5.10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6EE1D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9FFC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12012418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831E2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Shandong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8DB4D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0.077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A5DD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0.077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9B51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4.40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89D7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860EF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16049F7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FE866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Jilin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E51A7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0.072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E25F8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0.072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66E7D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4.42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054A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ED38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45F30B4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3491A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Guangdong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C6CFA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0.056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0B13D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0.056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D992E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4.50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4D6E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13559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1863BE9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1512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Shaanxi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E23F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-0.050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1572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0.050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944B6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4.98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22C91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C6E4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65DE0A2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4A9A5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Guangxi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C600F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-0.043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ADBF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0.043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69A7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4.95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D76C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5E47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4007869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9BCB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Heilongjiang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0E7E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-0.043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3189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0.043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3E8B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4.95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5E00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AF24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28AB839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CA13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Jiangsu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FE20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0.037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91A3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0.037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26DE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4.58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EEDB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E7E2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58C1B2A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953E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Guizhou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5D42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-0.031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5D2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0.031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BDC9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4.89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9428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1B62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2562B0B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4270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Tianjin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AD31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-0.024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A62C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0.024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5354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4.86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FFF2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4DDE8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3FEEBCB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6BA2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Hubei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D643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0.023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750CF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0.023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E871B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4.65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1C37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6D367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5BF6007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670D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Hunan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50969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0.022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4F86D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0.022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D2AD3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4.65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5AD7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1B4EC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3BA7AD3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F91AD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Qinghai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A64D3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-0.022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BF30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0.022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600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4.85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3A1F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5BFF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066583A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8584B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Sichuan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7DFAD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0.020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0846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0.020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4A3F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4.66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3A28B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ADDF7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00873223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0C5C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Yunnan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ABD6A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0.012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4F29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0.012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9993E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4.70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B975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642E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405A37F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8195E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Henan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2DDF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-0.005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B68F4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0.005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D0525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4.78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E0A5C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D38A3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6C6022E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29E72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Shanxi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68B9D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-0.004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D86E9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0.004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B3E30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4.77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15A9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0D71F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16C2D0E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9E65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Inner Mongolia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3E34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0.003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E7E8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0.003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E19EC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4.74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786B6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D00A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  <w:tr w14:paraId="0B8B447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6DAD5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Gansu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9891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-0.001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CD5EA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0.001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27DB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4.76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19995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0.359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A955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5"/>
              </w:rPr>
              <w:t>No</w:t>
            </w:r>
          </w:p>
        </w:tc>
      </w:tr>
    </w:tbl>
    <w:p w14:paraId="4F5DD83B">
      <w:pPr>
        <w:pStyle w:val="166"/>
      </w:pPr>
      <w:r>
        <w:t>A province was flagged when |DFBETAS| exceeded 2/sqrt(31)=0.359. Flagging triggered parallel reporting and was not an automatic exclusion criterion.</w:t>
      </w:r>
    </w:p>
    <w:p w14:paraId="7578811B">
      <w:pPr>
        <w:sectPr>
          <w:pgSz w:w="15840" w:h="12240" w:orient="landscape"/>
          <w:pgMar w:top="936" w:right="792" w:bottom="936" w:left="792" w:header="720" w:footer="720" w:gutter="0"/>
          <w:lnNumType w:countBy="1" w:distance="360" w:restart="continuous"/>
          <w:cols w:space="720" w:num="1"/>
          <w:docGrid w:linePitch="360" w:charSpace="0"/>
        </w:sectPr>
      </w:pPr>
    </w:p>
    <w:p w14:paraId="4970936D">
      <w:pPr>
        <w:pStyle w:val="3"/>
        <w:keepNext/>
      </w:pPr>
      <w:r>
        <w:t>Supplementary Table S5 Largest provincial contributions to the 2020–2021 increase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2365"/>
        <w:gridCol w:w="2365"/>
        <w:gridCol w:w="2365"/>
      </w:tblGrid>
      <w:tr w14:paraId="16EFF2F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C651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Measure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22481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Province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0BAD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Absolute increase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D3831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Share of national increase, %</w:t>
            </w:r>
          </w:p>
        </w:tc>
      </w:tr>
      <w:tr w14:paraId="7912177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17EB94">
            <w:pPr>
              <w:spacing w:after="0" w:line="240" w:lineRule="auto"/>
              <w:jc w:val="center"/>
            </w:pPr>
            <w:bookmarkStart w:id="0" w:name="_GoBack" w:colFirst="0" w:colLast="3"/>
            <w:r>
              <w:rPr>
                <w:rFonts w:ascii="Times New Roman" w:hAnsi="Times New Roman"/>
                <w:b w:val="0"/>
                <w:sz w:val="17"/>
              </w:rPr>
              <w:t>Community-institution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E769B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Shandong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922C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2496375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AB2D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18.89</w:t>
            </w:r>
          </w:p>
        </w:tc>
      </w:tr>
      <w:tr w14:paraId="4B32798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6F09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Community-institution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6CC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Zhejiang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B82D6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2495720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63E0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18.89</w:t>
            </w:r>
          </w:p>
        </w:tc>
      </w:tr>
      <w:tr w14:paraId="7A04B48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0735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Community-institution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6290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Hubei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6447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828729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00DE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6.27</w:t>
            </w:r>
          </w:p>
        </w:tc>
      </w:tr>
      <w:tr w14:paraId="74F81AD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AB87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Community-institution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E3E6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Jiangsu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CCC3D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641503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EC5BF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4.85</w:t>
            </w:r>
          </w:p>
        </w:tc>
      </w:tr>
      <w:tr w14:paraId="21116368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647B3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Community-institution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E4395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Hunan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3204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616112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7428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4.66</w:t>
            </w:r>
          </w:p>
        </w:tc>
      </w:tr>
      <w:tr w14:paraId="50321D1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2CED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Total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FB617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Shandong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D1C2B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11248766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A40F1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20.96</w:t>
            </w:r>
          </w:p>
        </w:tc>
      </w:tr>
      <w:tr w14:paraId="0DA664BD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78CF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Total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F8129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Henan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FEAB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5753710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1520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10.72</w:t>
            </w:r>
          </w:p>
        </w:tc>
      </w:tr>
      <w:tr w14:paraId="783B198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A601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Total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F8EA3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Zhejiang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8CAD5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4856699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A474B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9.05</w:t>
            </w:r>
          </w:p>
        </w:tc>
      </w:tr>
      <w:tr w14:paraId="259A34D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DE599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Total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3433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Hubei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4A5C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3744755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F4E2E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6.98</w:t>
            </w:r>
          </w:p>
        </w:tc>
      </w:tr>
      <w:tr w14:paraId="15252E2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52028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Total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ED46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Hunan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E6E5D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3446967</w:t>
            </w:r>
          </w:p>
        </w:tc>
        <w:tc>
          <w:tcPr>
            <w:tcW w:w="236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B1188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7"/>
              </w:rPr>
              <w:t>6.42</w:t>
            </w:r>
          </w:p>
        </w:tc>
      </w:tr>
      <w:bookmarkEnd w:id="0"/>
    </w:tbl>
    <w:p w14:paraId="15440BCB">
      <w:pPr>
        <w:pStyle w:val="166"/>
      </w:pPr>
      <w:r>
        <w:t>For community-institution activity, 30 of 31 regions increased and Yunnan declined. For total activity, 30 regions increased and Tibet declined.</w:t>
      </w:r>
    </w:p>
    <w:p w14:paraId="121750D4">
      <w:pPr>
        <w:pStyle w:val="3"/>
        <w:keepNext/>
      </w:pPr>
      <w:r>
        <w:t>Supplementary Figure S1</w:t>
      </w:r>
    </w:p>
    <w:p w14:paraId="099562B3">
      <w:pPr>
        <w:jc w:val="center"/>
      </w:pPr>
      <w:r>
        <w:drawing>
          <wp:inline distT="0" distB="0" distL="114300" distR="114300">
            <wp:extent cx="5943600" cy="75399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F1E50">
      <w:pPr>
        <w:pStyle w:val="166"/>
        <w:jc w:val="center"/>
      </w:pPr>
      <w:r>
        <w:t>Province-year heatmap of community-institution physician home-visit rates, 2018–2023. Values are occasions per 1,000 residents.</w:t>
      </w:r>
    </w:p>
    <w:sectPr>
      <w:pgSz w:w="11909" w:h="16834"/>
      <w:pgMar w:top="1152" w:right="1224" w:bottom="1080" w:left="1224" w:header="720" w:footer="720" w:gutter="0"/>
      <w:lnNumType w:countBy="1" w:distance="360" w:restart="continuous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1F631">
    <w:pPr>
      <w:pStyle w:val="2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D872A">
    <w:pPr>
      <w:pStyle w:val="25"/>
      <w:jc w:val="center"/>
    </w:pPr>
    <w:r>
      <w:rPr>
        <w:rFonts w:ascii="Times New Roman" w:hAnsi="Times New Roman"/>
        <w:color w:val="5A5A5A"/>
        <w:sz w:val="16"/>
      </w:rPr>
      <w:t>Physician home-visit activity in China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549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480" w:lineRule="auto"/>
      <w:ind w:firstLine="0"/>
    </w:pPr>
    <w:rPr>
      <w:rFonts w:ascii="Times New Roman" w:hAnsi="Times New Roman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00" w:after="80"/>
      <w:outlineLvl w:val="0"/>
    </w:pPr>
    <w:rPr>
      <w:rFonts w:asciiTheme="majorHAnsi" w:hAnsiTheme="majorHAnsi" w:eastAsiaTheme="majorEastAsia" w:cstheme="majorBidi"/>
      <w:b/>
      <w:bCs/>
      <w:color w:val="1F4E79"/>
      <w:sz w:val="26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80"/>
      <w:outlineLvl w:val="1"/>
    </w:pPr>
    <w:rPr>
      <w:rFonts w:asciiTheme="majorHAnsi" w:hAnsiTheme="majorHAnsi" w:eastAsiaTheme="majorEastAsia" w:cstheme="majorBidi"/>
      <w:b/>
      <w:bCs/>
      <w:color w:val="1F4E79"/>
      <w:sz w:val="23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80"/>
      <w:outlineLvl w:val="2"/>
    </w:pPr>
    <w:rPr>
      <w:rFonts w:asciiTheme="majorHAnsi" w:hAnsiTheme="majorHAnsi" w:eastAsiaTheme="majorEastAsia" w:cstheme="majorBidi"/>
      <w:b/>
      <w:bCs/>
      <w:color w:val="333333"/>
      <w:sz w:val="22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keepNext/>
      <w:pBdr>
        <w:bottom w:val="single" w:color="4F81BD" w:themeColor="accent1" w:sz="8" w:space="4"/>
      </w:pBdr>
      <w:spacing w:before="200" w:after="80" w:line="240" w:lineRule="auto"/>
      <w:contextualSpacing/>
    </w:pPr>
    <w:rPr>
      <w:rFonts w:asciiTheme="majorHAnsi" w:hAnsiTheme="majorHAnsi" w:eastAsiaTheme="majorEastAsia" w:cstheme="majorBidi"/>
      <w:b/>
      <w:color w:val="1F1F1F"/>
      <w:spacing w:val="5"/>
      <w:kern w:val="28"/>
      <w:sz w:val="3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AbstractText"/>
    <w:uiPriority w:val="0"/>
    <w:pPr>
      <w:spacing w:after="80" w:line="300" w:lineRule="auto"/>
    </w:pPr>
    <w:rPr>
      <w:rFonts w:ascii="Times New Roman" w:hAnsi="Times New Roman" w:eastAsiaTheme="minorEastAsia" w:cstheme="minorBidi"/>
      <w:sz w:val="21"/>
      <w:szCs w:val="22"/>
      <w:lang w:val="en-US" w:eastAsia="en-US" w:bidi="ar-SA"/>
    </w:rPr>
  </w:style>
  <w:style w:type="paragraph" w:customStyle="1" w:styleId="165">
    <w:name w:val="Reference"/>
    <w:uiPriority w:val="0"/>
    <w:pPr>
      <w:spacing w:after="40" w:line="240" w:lineRule="auto"/>
      <w:ind w:left="360" w:hanging="360"/>
    </w:pPr>
    <w:rPr>
      <w:rFonts w:ascii="Times New Roman" w:hAnsi="Times New Roman" w:eastAsiaTheme="minorEastAsia" w:cstheme="minorBidi"/>
      <w:sz w:val="19"/>
      <w:szCs w:val="22"/>
      <w:lang w:val="en-US" w:eastAsia="en-US" w:bidi="ar-SA"/>
    </w:rPr>
  </w:style>
  <w:style w:type="paragraph" w:customStyle="1" w:styleId="166">
    <w:name w:val="TableNote"/>
    <w:qFormat/>
    <w:uiPriority w:val="0"/>
    <w:pPr>
      <w:spacing w:after="40" w:line="240" w:lineRule="auto"/>
    </w:pPr>
    <w:rPr>
      <w:rFonts w:ascii="Times New Roman" w:hAnsi="Times New Roman" w:eastAsiaTheme="minorEastAsia" w:cstheme="minorBidi"/>
      <w:sz w:val="17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519</Words>
  <Characters>3184</Characters>
  <Lines>0</Lines>
  <Paragraphs>0</Paragraphs>
  <TotalTime>2</TotalTime>
  <ScaleCrop>false</ScaleCrop>
  <LinksUpToDate>false</LinksUpToDate>
  <CharactersWithSpaces>3427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Qiufeng Liu</cp:lastModifiedBy>
  <dcterms:modified xsi:type="dcterms:W3CDTF">2026-08-01T00:04:03Z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eyJoZGlkIjoiN2I1ZmM2MDk5YTg1ZDc4MDhkZGNlNDRiZDBiZDRjODYiLCJ1c2VySWQiOiIzNTE1NDcwOTIifQ==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68F55B74C32A4B2BAEDC0891923993A5_12</vt:lpwstr>
  </property>
</Properties>
</file>