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75DFF2" w14:textId="7D1AAC23" w:rsidR="00F5755D" w:rsidRDefault="00E6026F">
      <w:pPr>
        <w:pStyle w:val="Title"/>
        <w:spacing w:after="120"/>
      </w:pPr>
      <w:r>
        <w:rPr>
          <w:b/>
          <w:bCs/>
          <w:sz w:val="40"/>
          <w:szCs w:val="40"/>
        </w:rPr>
        <w:t xml:space="preserve">Implementation Failure Assessment </w:t>
      </w:r>
      <w:r w:rsidR="00AE1842">
        <w:rPr>
          <w:b/>
          <w:bCs/>
          <w:sz w:val="40"/>
          <w:szCs w:val="40"/>
        </w:rPr>
        <w:t>Guide</w:t>
      </w:r>
    </w:p>
    <w:p w14:paraId="511D3548" w14:textId="532922EF" w:rsidR="00F5755D" w:rsidRDefault="00E6026F">
      <w:pPr>
        <w:spacing w:after="240"/>
      </w:pPr>
      <w:r>
        <w:rPr>
          <w:i/>
          <w:iCs/>
          <w:color w:val="5B5F66"/>
          <w:sz w:val="21"/>
          <w:szCs w:val="21"/>
        </w:rPr>
        <w:t>Questions researchers and implementation teams can ask</w:t>
      </w:r>
      <w:r w:rsidR="00AE1842">
        <w:rPr>
          <w:i/>
          <w:iCs/>
          <w:color w:val="5B5F66"/>
          <w:sz w:val="21"/>
          <w:szCs w:val="21"/>
        </w:rPr>
        <w:t xml:space="preserve"> before</w:t>
      </w:r>
      <w:r>
        <w:rPr>
          <w:i/>
          <w:iCs/>
          <w:color w:val="5B5F66"/>
          <w:sz w:val="21"/>
          <w:szCs w:val="21"/>
        </w:rPr>
        <w:t>, during, and after implementation — organized around four concepts contextual conditions, types of failure, power &amp; equity, and responses/learning.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2"/>
        <w:gridCol w:w="2988"/>
        <w:gridCol w:w="2989"/>
        <w:gridCol w:w="2989"/>
      </w:tblGrid>
      <w:tr w:rsidR="00F5755D" w14:paraId="21A3776B" w14:textId="77777777" w:rsidTr="00EE2318">
        <w:trPr>
          <w:tblHeader/>
        </w:trPr>
        <w:tc>
          <w:tcPr>
            <w:tcW w:w="1802" w:type="dxa"/>
            <w:shd w:val="clear" w:color="auto" w:fill="2B2E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1FA6C" w14:textId="77777777" w:rsidR="00F5755D" w:rsidRDefault="00E6026F">
            <w:r>
              <w:rPr>
                <w:b/>
                <w:bCs/>
                <w:color w:val="FFFFFF"/>
                <w:sz w:val="19"/>
                <w:szCs w:val="19"/>
              </w:rPr>
              <w:t>Theme</w:t>
            </w:r>
          </w:p>
        </w:tc>
        <w:tc>
          <w:tcPr>
            <w:tcW w:w="2988" w:type="dxa"/>
            <w:shd w:val="clear" w:color="auto" w:fill="2B2E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40F752" w14:textId="3DADA762" w:rsidR="00F5755D" w:rsidRDefault="00AE1842">
            <w:r>
              <w:rPr>
                <w:b/>
                <w:bCs/>
                <w:color w:val="FFFFFF"/>
                <w:sz w:val="19"/>
                <w:szCs w:val="19"/>
              </w:rPr>
              <w:t>B</w:t>
            </w:r>
            <w:r w:rsidR="00E6026F">
              <w:rPr>
                <w:b/>
                <w:bCs/>
                <w:color w:val="FFFFFF"/>
                <w:sz w:val="19"/>
                <w:szCs w:val="19"/>
              </w:rPr>
              <w:t>efore</w:t>
            </w:r>
          </w:p>
        </w:tc>
        <w:tc>
          <w:tcPr>
            <w:tcW w:w="2989" w:type="dxa"/>
            <w:shd w:val="clear" w:color="auto" w:fill="2B2E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5CE8D2" w14:textId="77777777" w:rsidR="00F5755D" w:rsidRDefault="00E6026F">
            <w:r>
              <w:rPr>
                <w:b/>
                <w:bCs/>
                <w:color w:val="FFFFFF"/>
                <w:sz w:val="19"/>
                <w:szCs w:val="19"/>
              </w:rPr>
              <w:t>During</w:t>
            </w:r>
          </w:p>
        </w:tc>
        <w:tc>
          <w:tcPr>
            <w:tcW w:w="2989" w:type="dxa"/>
            <w:shd w:val="clear" w:color="auto" w:fill="2B2E3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5C8693" w14:textId="0D22F9CC" w:rsidR="00F5755D" w:rsidRDefault="00E6026F">
            <w:r>
              <w:rPr>
                <w:b/>
                <w:bCs/>
                <w:color w:val="FFFFFF"/>
                <w:sz w:val="19"/>
                <w:szCs w:val="19"/>
              </w:rPr>
              <w:t>After</w:t>
            </w:r>
          </w:p>
        </w:tc>
      </w:tr>
      <w:tr w:rsidR="00F5755D" w14:paraId="19CB4153" w14:textId="77777777" w:rsidTr="00EE2318">
        <w:tc>
          <w:tcPr>
            <w:tcW w:w="10768" w:type="dxa"/>
            <w:gridSpan w:val="4"/>
            <w:shd w:val="clear" w:color="auto" w:fill="1F6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728F853" w14:textId="526E1587" w:rsidR="00F5755D" w:rsidRDefault="00E6026F">
            <w:r>
              <w:rPr>
                <w:b/>
                <w:bCs/>
                <w:color w:val="FFFFFF"/>
                <w:sz w:val="24"/>
                <w:szCs w:val="24"/>
              </w:rPr>
              <w:t>1. Context &amp; Recurring Determinants</w:t>
            </w:r>
            <w:r>
              <w:rPr>
                <w:i/>
                <w:iCs/>
                <w:color w:val="FFFFFF"/>
                <w:sz w:val="19"/>
                <w:szCs w:val="19"/>
              </w:rPr>
              <w:t xml:space="preserve">   —   Under what conditions?</w:t>
            </w:r>
            <w:r w:rsidR="00A9382F">
              <w:rPr>
                <w:i/>
                <w:iCs/>
                <w:color w:val="FFFFFF"/>
                <w:sz w:val="19"/>
                <w:szCs w:val="19"/>
              </w:rPr>
              <w:t xml:space="preserve"> At what system/organizational level?</w:t>
            </w:r>
          </w:p>
        </w:tc>
      </w:tr>
      <w:tr w:rsidR="00F5755D" w14:paraId="2ECE75E1" w14:textId="77777777" w:rsidTr="00EE2318">
        <w:tc>
          <w:tcPr>
            <w:tcW w:w="1802" w:type="dxa"/>
            <w:shd w:val="clear" w:color="auto" w:fill="E7F1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95D755" w14:textId="77777777" w:rsidR="00F5755D" w:rsidRDefault="00E6026F">
            <w:r>
              <w:rPr>
                <w:b/>
                <w:bCs/>
                <w:color w:val="20232A"/>
              </w:rPr>
              <w:t>Structural &amp; systemic foundations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72AAFB" w14:textId="77777777" w:rsidR="00F5755D" w:rsidRDefault="00E6026F">
            <w:pPr>
              <w:spacing w:after="60"/>
            </w:pPr>
            <w:r>
              <w:t>☐ Do staffing, workflows &amp; technical infrastructure allow this without overburdening frontline teams?</w:t>
            </w:r>
          </w:p>
          <w:p w14:paraId="4A15FD28" w14:textId="77777777" w:rsidR="00F5755D" w:rsidRDefault="00E6026F">
            <w:pPr>
              <w:spacing w:after="60"/>
            </w:pPr>
            <w:r>
              <w:t>☐ Does the policy mandate include clear, specific milestones?</w:t>
            </w:r>
          </w:p>
          <w:p w14:paraId="489DB42F" w14:textId="77777777" w:rsidR="00F5755D" w:rsidRDefault="00E6026F">
            <w:pPr>
              <w:spacing w:after="60"/>
            </w:pPr>
            <w:r>
              <w:t>☐ Is decision-making authority clearly assigned between funders/system actors and the implementing organization?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164D68" w14:textId="77777777" w:rsidR="00F5755D" w:rsidRDefault="00E6026F">
            <w:pPr>
              <w:spacing w:after="60"/>
            </w:pPr>
            <w:r>
              <w:t>☐ Is frontline capacity (staffing, workload, turnover) holding up as conditions change?</w:t>
            </w:r>
          </w:p>
          <w:p w14:paraId="23A482EC" w14:textId="77777777" w:rsidR="00F5755D" w:rsidRDefault="00E6026F">
            <w:pPr>
              <w:spacing w:after="60"/>
            </w:pPr>
            <w:r>
              <w:t>☐ Are outer-setting policies and inner-setting resources still aligned?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3F6009" w14:textId="77777777" w:rsidR="00F5755D" w:rsidRDefault="00E6026F">
            <w:pPr>
              <w:spacing w:after="60"/>
            </w:pPr>
            <w:r>
              <w:t>☐ Did staffing instability, restricted autonomy, vague mandates, or underfunding contribute to the shortfall?</w:t>
            </w:r>
          </w:p>
          <w:p w14:paraId="0F544457" w14:textId="77777777" w:rsidR="00F5755D" w:rsidRDefault="00E6026F">
            <w:pPr>
              <w:spacing w:after="60"/>
            </w:pPr>
            <w:r>
              <w:t>☐ At which level — inner, outer, or the misalignment between them — did it originate?</w:t>
            </w:r>
          </w:p>
        </w:tc>
      </w:tr>
      <w:tr w:rsidR="00F5755D" w14:paraId="78F4DBFD" w14:textId="77777777" w:rsidTr="00EE2318">
        <w:tc>
          <w:tcPr>
            <w:tcW w:w="1802" w:type="dxa"/>
            <w:shd w:val="clear" w:color="auto" w:fill="E7F1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8CFC06" w14:textId="77777777" w:rsidR="00F5755D" w:rsidRDefault="00E6026F">
            <w:r>
              <w:rPr>
                <w:b/>
                <w:bCs/>
                <w:color w:val="20232A"/>
              </w:rPr>
              <w:t>Gaps in implementation planning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AD505D" w14:textId="77777777" w:rsidR="00F5755D" w:rsidRDefault="00E6026F">
            <w:pPr>
              <w:spacing w:after="60"/>
            </w:pPr>
            <w:r>
              <w:t>☐ Has a needs assessment and contextual analysis been done?</w:t>
            </w:r>
          </w:p>
          <w:p w14:paraId="0BF0E5FE" w14:textId="77777777" w:rsidR="00F5755D" w:rsidRDefault="00E6026F">
            <w:pPr>
              <w:spacing w:after="60"/>
            </w:pPr>
            <w:r>
              <w:t>☐ Are roles, responsibilities &amp; milestones defined?</w:t>
            </w:r>
          </w:p>
          <w:p w14:paraId="33B3EB76" w14:textId="77777777" w:rsidR="00F5755D" w:rsidRDefault="00E6026F">
            <w:pPr>
              <w:spacing w:after="60"/>
            </w:pPr>
            <w:r>
              <w:t>☐ Have those affected by (or delivering) the innovation been engaged in shaping it?</w:t>
            </w:r>
          </w:p>
          <w:p w14:paraId="185CCB76" w14:textId="77777777" w:rsidR="00F5755D" w:rsidRDefault="00E6026F">
            <w:pPr>
              <w:spacing w:after="60"/>
            </w:pPr>
            <w:r>
              <w:t>☐ Is a facilitation/coaching plan in place?</w:t>
            </w:r>
          </w:p>
          <w:p w14:paraId="3AF62D2F" w14:textId="77777777" w:rsidR="00F5755D" w:rsidRDefault="00E6026F">
            <w:pPr>
              <w:spacing w:after="60"/>
            </w:pPr>
            <w:r>
              <w:t>☐ Has this initiative's priority relative to competing demands been assessed honestly?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302A36" w14:textId="77777777" w:rsidR="00F5755D" w:rsidRDefault="00E6026F">
            <w:pPr>
              <w:spacing w:after="60"/>
            </w:pPr>
            <w:r>
              <w:t>☐ Are engagement and facilitation actually happening as planned?</w:t>
            </w:r>
          </w:p>
          <w:p w14:paraId="7FD00DB0" w14:textId="77777777" w:rsidR="00F5755D" w:rsidRDefault="00E6026F">
            <w:pPr>
              <w:spacing w:after="60"/>
            </w:pPr>
            <w:r>
              <w:t>☐ Has the initiative slipped down the priority list?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AA225B" w14:textId="77777777" w:rsidR="00F5755D" w:rsidRDefault="00E6026F">
            <w:pPr>
              <w:spacing w:after="60"/>
            </w:pPr>
            <w:r>
              <w:t>☐ Which planning gap — missed assessment, weak engagement, thin facilitation, competing priorities — best explains what happened?</w:t>
            </w:r>
          </w:p>
        </w:tc>
      </w:tr>
      <w:tr w:rsidR="00F5755D" w14:paraId="641F7267" w14:textId="77777777" w:rsidTr="00EE2318">
        <w:tc>
          <w:tcPr>
            <w:tcW w:w="1802" w:type="dxa"/>
            <w:shd w:val="clear" w:color="auto" w:fill="E7F1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A87E81" w14:textId="77777777" w:rsidR="00F5755D" w:rsidRDefault="00E6026F">
            <w:r>
              <w:rPr>
                <w:b/>
                <w:bCs/>
                <w:color w:val="20232A"/>
              </w:rPr>
              <w:t>Individual capability, opportunity &amp; motivation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0A15F9" w14:textId="77777777" w:rsidR="00F5755D" w:rsidRDefault="00E6026F">
            <w:pPr>
              <w:spacing w:after="60"/>
            </w:pPr>
            <w:r>
              <w:t>☐ Do implementers have the needed skills?</w:t>
            </w:r>
          </w:p>
          <w:p w14:paraId="30F9B5A5" w14:textId="77777777" w:rsidR="00F5755D" w:rsidRDefault="00E6026F">
            <w:pPr>
              <w:spacing w:after="60"/>
            </w:pPr>
            <w:r>
              <w:t>☐ Do they have the time, authority &amp; supervisory support to act?</w:t>
            </w:r>
          </w:p>
          <w:p w14:paraId="76BA39A7" w14:textId="77777777" w:rsidR="00F5755D" w:rsidRDefault="00E6026F">
            <w:pPr>
              <w:spacing w:after="60"/>
            </w:pPr>
            <w:r>
              <w:t>☐ Do frontline staff even know the initiative exists?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42BD24" w14:textId="77777777" w:rsidR="00F5755D" w:rsidRDefault="00E6026F">
            <w:pPr>
              <w:spacing w:after="60"/>
            </w:pPr>
            <w:r>
              <w:t>☐ Is motivation holding, or is the innovation experienced as an administrative burden?</w:t>
            </w:r>
          </w:p>
          <w:p w14:paraId="585F097C" w14:textId="77777777" w:rsidR="00F5755D" w:rsidRDefault="00E6026F">
            <w:pPr>
              <w:spacing w:after="60"/>
            </w:pPr>
            <w:r>
              <w:t>☐ Are people getting the information/training they need as new demands arise?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FBBA1B" w14:textId="77777777" w:rsidR="00F5755D" w:rsidRDefault="00E6026F">
            <w:pPr>
              <w:spacing w:after="60"/>
            </w:pPr>
            <w:r>
              <w:t>☐ Which COM-B element — capability, opportunity, or motivation — broke down, and for which group of implementers?</w:t>
            </w:r>
          </w:p>
        </w:tc>
      </w:tr>
      <w:tr w:rsidR="00F5755D" w14:paraId="7C183DF9" w14:textId="77777777" w:rsidTr="00EE2318">
        <w:tc>
          <w:tcPr>
            <w:tcW w:w="1802" w:type="dxa"/>
            <w:shd w:val="clear" w:color="auto" w:fill="E7F1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74B608" w14:textId="77777777" w:rsidR="00F5755D" w:rsidRDefault="00E6026F">
            <w:r>
              <w:rPr>
                <w:b/>
                <w:bCs/>
                <w:color w:val="20232A"/>
              </w:rPr>
              <w:t>Innovation–context fit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7817DE" w14:textId="77777777" w:rsidR="00F5755D" w:rsidRDefault="00E6026F">
            <w:pPr>
              <w:spacing w:after="60"/>
            </w:pPr>
            <w:r>
              <w:t>☐ Does the innovation address local priorities?</w:t>
            </w:r>
          </w:p>
          <w:p w14:paraId="5F3853A6" w14:textId="77777777" w:rsidR="00F5755D" w:rsidRDefault="00E6026F">
            <w:pPr>
              <w:spacing w:after="60"/>
            </w:pPr>
            <w:r>
              <w:t>☐ Were recipients engaged in adapting its design?</w:t>
            </w:r>
          </w:p>
          <w:p w14:paraId="0EEDE365" w14:textId="77777777" w:rsidR="00F5755D" w:rsidRDefault="00E6026F">
            <w:pPr>
              <w:spacing w:after="60"/>
            </w:pPr>
            <w:r>
              <w:t>☐ Is its complexity manageable for the roles that must deliver it?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39563B" w14:textId="77777777" w:rsidR="00F5755D" w:rsidRDefault="00E6026F">
            <w:pPr>
              <w:spacing w:after="60"/>
            </w:pPr>
            <w:r>
              <w:t>☐ Where is the innovation clashing with existing workflows, culture, or recipient needs as they evolve?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AE0CA5" w14:textId="77777777" w:rsidR="00F5755D" w:rsidRDefault="00E6026F">
            <w:pPr>
              <w:spacing w:after="60"/>
            </w:pPr>
            <w:r>
              <w:t>☐ Did a mismatch between the innovation, recipients &amp; context drive the outcome?</w:t>
            </w:r>
          </w:p>
          <w:p w14:paraId="2927EF68" w14:textId="77777777" w:rsidR="00F5755D" w:rsidRDefault="00E6026F">
            <w:pPr>
              <w:spacing w:after="60"/>
            </w:pPr>
            <w:r>
              <w:t>☐ Was there room for legitimate adaptation, or was fidelity enforced too rigidly (or too loosely)?</w:t>
            </w:r>
          </w:p>
        </w:tc>
      </w:tr>
      <w:tr w:rsidR="00F5755D" w14:paraId="1D30D438" w14:textId="77777777" w:rsidTr="00EE2318">
        <w:tc>
          <w:tcPr>
            <w:tcW w:w="1802" w:type="dxa"/>
            <w:shd w:val="clear" w:color="auto" w:fill="E7F1F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0E6774" w14:textId="77777777" w:rsidR="00F5755D" w:rsidRDefault="00E6026F">
            <w:r>
              <w:rPr>
                <w:b/>
                <w:bCs/>
                <w:color w:val="20232A"/>
              </w:rPr>
              <w:t>Temporal phase transitions (Exploration → Sustainment)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A3997E" w14:textId="77777777" w:rsidR="00F5755D" w:rsidRDefault="00E6026F">
            <w:pPr>
              <w:spacing w:after="60"/>
            </w:pPr>
            <w:r>
              <w:t xml:space="preserve">☐ Exploration: is the environment actually ready to receive this, or is there a “wall” of </w:t>
            </w:r>
            <w:r>
              <w:lastRenderedPageBreak/>
              <w:t>hesitancy despite stated enthusiasm?</w:t>
            </w:r>
          </w:p>
          <w:p w14:paraId="47445422" w14:textId="77777777" w:rsidR="00F5755D" w:rsidRDefault="00E6026F">
            <w:pPr>
              <w:spacing w:after="60"/>
            </w:pPr>
            <w:r>
              <w:t>☐ Preparation: has assessment and stakeholder engagement genuinely happened before adoption, not just been assumed?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5C82A1" w14:textId="77777777" w:rsidR="00F5755D" w:rsidRDefault="00E6026F">
            <w:pPr>
              <w:spacing w:after="60"/>
            </w:pPr>
            <w:r>
              <w:lastRenderedPageBreak/>
              <w:t>☐ Implementation: is there a defensible balance between fidelity and adaptation?</w:t>
            </w:r>
          </w:p>
          <w:p w14:paraId="2F0C3202" w14:textId="77777777" w:rsidR="00F5755D" w:rsidRDefault="00E6026F">
            <w:pPr>
              <w:spacing w:after="60"/>
            </w:pPr>
            <w:r>
              <w:lastRenderedPageBreak/>
              <w:t>☐ Are chosen strategies being deployed as intended?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E73033" w14:textId="77777777" w:rsidR="00F5755D" w:rsidRDefault="00E6026F">
            <w:pPr>
              <w:spacing w:after="60"/>
            </w:pPr>
            <w:r>
              <w:lastRenderedPageBreak/>
              <w:t>☐ Sustainment: are structures and monitoring in place to prevent reversion once formal support ends?</w:t>
            </w:r>
          </w:p>
        </w:tc>
      </w:tr>
      <w:tr w:rsidR="00F5755D" w14:paraId="395ED5D7" w14:textId="77777777" w:rsidTr="00EE2318">
        <w:tc>
          <w:tcPr>
            <w:tcW w:w="10768" w:type="dxa"/>
            <w:gridSpan w:val="4"/>
            <w:shd w:val="clear" w:color="auto" w:fill="B9803A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4A2AF4" w14:textId="77777777" w:rsidR="00F5755D" w:rsidRDefault="00E6026F">
            <w:r>
              <w:rPr>
                <w:b/>
                <w:bCs/>
                <w:color w:val="FFFFFF"/>
                <w:sz w:val="24"/>
                <w:szCs w:val="24"/>
              </w:rPr>
              <w:t>2. Types &amp; Manifestations of Failure</w:t>
            </w:r>
            <w:r>
              <w:rPr>
                <w:i/>
                <w:iCs/>
                <w:color w:val="FFFFFF"/>
                <w:sz w:val="19"/>
                <w:szCs w:val="19"/>
              </w:rPr>
              <w:t xml:space="preserve">   —   What — and for whom?</w:t>
            </w:r>
          </w:p>
        </w:tc>
      </w:tr>
      <w:tr w:rsidR="00F5755D" w14:paraId="0B4FE635" w14:textId="77777777" w:rsidTr="00EE2318">
        <w:tc>
          <w:tcPr>
            <w:tcW w:w="1802" w:type="dxa"/>
            <w:shd w:val="clear" w:color="auto" w:fill="FBF3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3E750C" w14:textId="77777777" w:rsidR="00F5755D" w:rsidRDefault="00E6026F">
            <w:r>
              <w:rPr>
                <w:b/>
                <w:bCs/>
                <w:color w:val="20232A"/>
              </w:rPr>
              <w:t>Implementation vs. innovation failure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1CFBF7" w14:textId="77777777" w:rsidR="00F5755D" w:rsidRDefault="00E6026F">
            <w:pPr>
              <w:spacing w:after="60"/>
            </w:pPr>
            <w:r>
              <w:t>☐ How will we distinguish implementation failure from innovation/intervention failure?</w:t>
            </w:r>
          </w:p>
          <w:p w14:paraId="63FB0BD1" w14:textId="77777777" w:rsidR="00F5755D" w:rsidRDefault="00E6026F">
            <w:pPr>
              <w:spacing w:after="60"/>
            </w:pPr>
            <w:r>
              <w:t>☐ Will process measures (fidelity, reach) be tracked separately from clinical/programmatic outcomes?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015001" w14:textId="77777777" w:rsidR="00F5755D" w:rsidRDefault="00E6026F">
            <w:pPr>
              <w:spacing w:after="60"/>
            </w:pPr>
            <w:r>
              <w:t>☐ Are process and outcome data both being collected, so either type of failure would be visible?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67129A" w14:textId="77777777" w:rsidR="00F5755D" w:rsidRDefault="00E6026F">
            <w:pPr>
              <w:spacing w:after="60"/>
            </w:pPr>
            <w:r>
              <w:t>☐ Was this an innovation failure, an implementation failure, or both?</w:t>
            </w:r>
          </w:p>
          <w:p w14:paraId="7F41686C" w14:textId="77777777" w:rsidR="00F5755D" w:rsidRDefault="00E6026F">
            <w:pPr>
              <w:spacing w:after="60"/>
            </w:pPr>
            <w:r>
              <w:t>☐ What evidence separates the two?</w:t>
            </w:r>
          </w:p>
        </w:tc>
      </w:tr>
      <w:tr w:rsidR="00F5755D" w14:paraId="7E2E19B8" w14:textId="77777777" w:rsidTr="00EE2318">
        <w:tc>
          <w:tcPr>
            <w:tcW w:w="1802" w:type="dxa"/>
            <w:shd w:val="clear" w:color="auto" w:fill="FBF3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3F332F" w14:textId="77777777" w:rsidR="00F5755D" w:rsidRDefault="00E6026F">
            <w:r>
              <w:rPr>
                <w:b/>
                <w:bCs/>
                <w:color w:val="20232A"/>
              </w:rPr>
              <w:t>Manifestations (mis-implementation, unanticipated impacts, pseudo-compliance)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9B40D4" w14:textId="77777777" w:rsidR="00F5755D" w:rsidRDefault="00E6026F">
            <w:pPr>
              <w:spacing w:after="60"/>
            </w:pPr>
            <w:r>
              <w:t>☐ What would mis-implementation, unanticipated harm, or pseudo-compliance look like here?</w:t>
            </w:r>
          </w:p>
          <w:p w14:paraId="3112EC0B" w14:textId="77777777" w:rsidR="00F5755D" w:rsidRDefault="00E6026F">
            <w:pPr>
              <w:spacing w:after="60"/>
            </w:pPr>
            <w:r>
              <w:t>☐ How would each be detected if it occurred?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F6328B" w14:textId="77777777" w:rsidR="00F5755D" w:rsidRDefault="00E6026F">
            <w:pPr>
              <w:spacing w:after="60"/>
            </w:pPr>
            <w:r>
              <w:t>☐ Are we continuing something ineffective, or terminating something that was working (mis-implementation)?</w:t>
            </w:r>
          </w:p>
          <w:p w14:paraId="28FDE274" w14:textId="77777777" w:rsidR="00F5755D" w:rsidRDefault="00E6026F">
            <w:pPr>
              <w:spacing w:after="60"/>
            </w:pPr>
            <w:r>
              <w:t>☐ Are ripple effects emerging — burnout, stigmatization, loss of autonomy, eroded trust?</w:t>
            </w:r>
          </w:p>
          <w:p w14:paraId="2EE53B75" w14:textId="77777777" w:rsidR="00F5755D" w:rsidRDefault="00E6026F">
            <w:pPr>
              <w:spacing w:after="60"/>
            </w:pPr>
            <w:r>
              <w:t>☐ Is there outward compliance masking covert workarounds (shadow systems, quiet resistance)?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26BDA3" w14:textId="77777777" w:rsidR="00F5755D" w:rsidRDefault="00E6026F">
            <w:pPr>
              <w:spacing w:after="60"/>
            </w:pPr>
            <w:r>
              <w:t>☐ For whom did it fail — which recipients or communities bore the cost?</w:t>
            </w:r>
          </w:p>
          <w:p w14:paraId="0845F0A8" w14:textId="77777777" w:rsidR="00F5755D" w:rsidRDefault="00E6026F">
            <w:pPr>
              <w:spacing w:after="60"/>
            </w:pPr>
            <w:r>
              <w:t>☐ Which specific type of failure occurred, and what distinguishes it from ordinary, appropriate adaptation?</w:t>
            </w:r>
          </w:p>
        </w:tc>
      </w:tr>
      <w:tr w:rsidR="00F5755D" w14:paraId="41025D92" w14:textId="77777777" w:rsidTr="009221D7">
        <w:tc>
          <w:tcPr>
            <w:tcW w:w="10768" w:type="dxa"/>
            <w:gridSpan w:val="4"/>
            <w:shd w:val="clear" w:color="auto" w:fill="4A234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9DACFE" w14:textId="77777777" w:rsidR="00F5755D" w:rsidRDefault="00E6026F">
            <w:r>
              <w:rPr>
                <w:b/>
                <w:bCs/>
                <w:color w:val="FFFFFF"/>
                <w:sz w:val="24"/>
                <w:szCs w:val="24"/>
              </w:rPr>
              <w:t>3. Power &amp; Equity</w:t>
            </w:r>
            <w:r>
              <w:rPr>
                <w:i/>
                <w:iCs/>
                <w:color w:val="FFFFFF"/>
                <w:sz w:val="19"/>
                <w:szCs w:val="19"/>
              </w:rPr>
              <w:t xml:space="preserve">   —   According to whom?</w:t>
            </w:r>
          </w:p>
        </w:tc>
      </w:tr>
      <w:tr w:rsidR="00F5755D" w14:paraId="51D9FF78" w14:textId="77777777" w:rsidTr="00EE2318">
        <w:tc>
          <w:tcPr>
            <w:tcW w:w="1802" w:type="dxa"/>
            <w:shd w:val="clear" w:color="auto" w:fill="F1E9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CC86F4" w14:textId="77777777" w:rsidR="00F5755D" w:rsidRDefault="00E6026F">
            <w:r>
              <w:rPr>
                <w:b/>
                <w:bCs/>
                <w:color w:val="20232A"/>
              </w:rPr>
              <w:t>Whose definitions &amp; authority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61FB1B" w14:textId="77777777" w:rsidR="00F5755D" w:rsidRDefault="00E6026F">
            <w:pPr>
              <w:spacing w:after="60"/>
            </w:pPr>
            <w:r>
              <w:t>☐ Whose definition of “success” is guiding this work?</w:t>
            </w:r>
          </w:p>
          <w:p w14:paraId="08EB2B0E" w14:textId="77777777" w:rsidR="00F5755D" w:rsidRDefault="00E6026F">
            <w:pPr>
              <w:spacing w:after="60"/>
            </w:pPr>
            <w:r>
              <w:t>☐ Who holds the structural authority to decide which adaptations are acceptable?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DF6F4F" w14:textId="77777777" w:rsidR="00F5755D" w:rsidRDefault="00E6026F">
            <w:pPr>
              <w:spacing w:after="60"/>
            </w:pPr>
            <w:r>
              <w:t>☐ Who currently holds the power to approve, halt, or redirect adaptations?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BDFE84" w14:textId="77777777" w:rsidR="00F5755D" w:rsidRDefault="00E6026F">
            <w:pPr>
              <w:spacing w:after="60"/>
            </w:pPr>
            <w:r>
              <w:t>☐ Who decided this was (or wasn't) a failure, and from what vantage point?</w:t>
            </w:r>
          </w:p>
        </w:tc>
      </w:tr>
      <w:tr w:rsidR="00F5755D" w14:paraId="563B9817" w14:textId="77777777" w:rsidTr="00EE2318">
        <w:tc>
          <w:tcPr>
            <w:tcW w:w="1802" w:type="dxa"/>
            <w:shd w:val="clear" w:color="auto" w:fill="F1E9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2A7F8D" w14:textId="77777777" w:rsidR="00F5755D" w:rsidRDefault="00E6026F">
            <w:r>
              <w:rPr>
                <w:b/>
                <w:bCs/>
                <w:color w:val="20232A"/>
              </w:rPr>
              <w:t>Voice, safety &amp; whose knowledge counts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6C1FB7" w14:textId="77777777" w:rsidR="00F5755D" w:rsidRDefault="00E6026F">
            <w:pPr>
              <w:spacing w:after="60"/>
            </w:pPr>
            <w:r>
              <w:t>☐ Have recipient and frontline voices been included in defining what “working” means?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095AA3" w14:textId="77777777" w:rsidR="00F5755D" w:rsidRDefault="00E6026F">
            <w:pPr>
              <w:spacing w:after="60"/>
            </w:pPr>
            <w:r>
              <w:t>☐ Can staff or recipients raise concerns without fear of surveillance or punishment?</w:t>
            </w:r>
          </w:p>
          <w:p w14:paraId="34E71108" w14:textId="77777777" w:rsidR="00F5755D" w:rsidRDefault="00E6026F">
            <w:pPr>
              <w:spacing w:after="60"/>
            </w:pPr>
            <w:r>
              <w:t>☐ Whose knowledge is being privileged when adaptation decisions get made?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8541D7" w14:textId="77777777" w:rsidR="00F5755D" w:rsidRDefault="00E6026F">
            <w:pPr>
              <w:spacing w:after="60"/>
            </w:pPr>
            <w:r>
              <w:t>☐ Whose knowledge counted when this was evaluated — and whose was missing?</w:t>
            </w:r>
          </w:p>
        </w:tc>
      </w:tr>
      <w:tr w:rsidR="00F5755D" w14:paraId="1C1338AA" w14:textId="77777777" w:rsidTr="00EE2318">
        <w:tc>
          <w:tcPr>
            <w:tcW w:w="1802" w:type="dxa"/>
            <w:shd w:val="clear" w:color="auto" w:fill="F1E9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469308" w14:textId="77777777" w:rsidR="00F5755D" w:rsidRDefault="00E6026F">
            <w:r>
              <w:rPr>
                <w:b/>
                <w:bCs/>
                <w:color w:val="20232A"/>
              </w:rPr>
              <w:t>Distribution of benefits &amp; burden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836A3A" w14:textId="77777777" w:rsidR="00F5755D" w:rsidRDefault="00E6026F">
            <w:pPr>
              <w:spacing w:after="60"/>
            </w:pPr>
            <w:r>
              <w:t>☐ Could this disproportionately burden or exclude historically marginalized groups?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8F287C" w14:textId="77777777" w:rsidR="00F5755D" w:rsidRDefault="00E6026F">
            <w:pPr>
              <w:spacing w:after="60"/>
            </w:pPr>
            <w:r>
              <w:t>☐ Are benefits and burdens being distributed evenly across sites, roles, or populations?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10E8CD" w14:textId="77777777" w:rsidR="00F5755D" w:rsidRDefault="00E6026F">
            <w:pPr>
              <w:spacing w:after="60"/>
            </w:pPr>
            <w:r>
              <w:t>☐ Were benefits and burdens distributed equitably?</w:t>
            </w:r>
          </w:p>
          <w:p w14:paraId="1FBFCC74" w14:textId="77777777" w:rsidR="00F5755D" w:rsidRDefault="00E6026F">
            <w:pPr>
              <w:spacing w:after="60"/>
            </w:pPr>
            <w:r>
              <w:t>☐ Could this be read as a rights issue — a population deprived of benefits it was entitled to share in?</w:t>
            </w:r>
          </w:p>
        </w:tc>
      </w:tr>
      <w:tr w:rsidR="00F5755D" w14:paraId="254509A7" w14:textId="77777777" w:rsidTr="00EE2318">
        <w:tc>
          <w:tcPr>
            <w:tcW w:w="10768" w:type="dxa"/>
            <w:gridSpan w:val="4"/>
            <w:shd w:val="clear" w:color="auto" w:fill="8C4A3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717FEA" w14:textId="77777777" w:rsidR="00F5755D" w:rsidRDefault="00E6026F">
            <w:r>
              <w:rPr>
                <w:b/>
                <w:bCs/>
                <w:color w:val="FFFFFF"/>
                <w:sz w:val="24"/>
                <w:szCs w:val="24"/>
              </w:rPr>
              <w:t>4. Responses &amp; Learning</w:t>
            </w:r>
            <w:r>
              <w:rPr>
                <w:i/>
                <w:iCs/>
                <w:color w:val="FFFFFF"/>
                <w:sz w:val="19"/>
                <w:szCs w:val="19"/>
              </w:rPr>
              <w:t xml:space="preserve">   —   So what?</w:t>
            </w:r>
          </w:p>
        </w:tc>
      </w:tr>
      <w:tr w:rsidR="00F5755D" w14:paraId="79F27382" w14:textId="77777777" w:rsidTr="00EE2318">
        <w:tc>
          <w:tcPr>
            <w:tcW w:w="1802" w:type="dxa"/>
            <w:shd w:val="clear" w:color="auto" w:fill="F7EF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9016BF" w14:textId="77777777" w:rsidR="00F5755D" w:rsidRDefault="00E6026F">
            <w:r>
              <w:rPr>
                <w:b/>
                <w:bCs/>
                <w:color w:val="20232A"/>
              </w:rPr>
              <w:lastRenderedPageBreak/>
              <w:t>Proactive preparation for learning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C57761" w14:textId="77777777" w:rsidR="00F5755D" w:rsidRDefault="00E6026F">
            <w:pPr>
              <w:spacing w:after="60"/>
            </w:pPr>
            <w:r>
              <w:t>☐ Has a premortem, predictive process evaluation, or FMEA been used to anticipate failure points?</w:t>
            </w:r>
          </w:p>
          <w:p w14:paraId="60817D7B" w14:textId="190396E5" w:rsidR="00F5755D" w:rsidRDefault="00E6026F">
            <w:pPr>
              <w:spacing w:after="60"/>
            </w:pPr>
            <w:r>
              <w:t>☐ Are implementation strategies specified up front (e.g., via ERIC) so limitations are traceable later?</w:t>
            </w:r>
            <w:r w:rsidR="001B5CB4">
              <w:fldChar w:fldCharType="begin"/>
            </w:r>
            <w:r w:rsidR="001B5CB4">
              <w:instrText xml:space="preserve"> ADDIN EN.CITE &lt;EndNote&gt;&lt;Cite&gt;&lt;Author&gt;Proctor&lt;/Author&gt;&lt;Year&gt;2013&lt;/Year&gt;&lt;RecNum&gt;2675&lt;/RecNum&gt;&lt;DisplayText&gt;(1)&lt;/DisplayText&gt;&lt;record&gt;&lt;rec-number&gt;2675&lt;/rec-number&gt;&lt;foreign-keys&gt;&lt;key app="EN" db-id="pxe5eadeu0dx94exv91va52t5ze2t2pffzvw" timestamp="1782514549" guid="18a075fb-2beb-4204-b022-54fba31523ac"&gt;2675&lt;/key&gt;&lt;/foreign-keys&gt;&lt;ref-type name="Journal Article"&gt;17&lt;/ref-type&gt;&lt;contributors&gt;&lt;authors&gt;&lt;author&gt;Proctor, E. K.&lt;/author&gt;&lt;author&gt;Powell, B. J.&lt;/author&gt;&lt;author&gt;McMillen, J. C.&lt;/author&gt;&lt;/authors&gt;&lt;/contributors&gt;&lt;auth-address&gt;George Warren Brown School of Social Work, Washington University in St, Louis, One Brookings Drive, Campus Box 1196, St, Louis, MO, USA. ekp@wustl.edu.&lt;/auth-address&gt;&lt;titles&gt;&lt;title&gt;Implementation strategies: recommendations for specifying and reporting&lt;/title&gt;&lt;secondary-title&gt;Implement Sci&lt;/secondary-title&gt;&lt;/titles&gt;&lt;periodical&gt;&lt;full-title&gt;Implement Sci&lt;/full-title&gt;&lt;/periodical&gt;&lt;pages&gt;139&lt;/pages&gt;&lt;volume&gt;8&lt;/volume&gt;&lt;edition&gt;20131201&lt;/edition&gt;&lt;keywords&gt;&lt;keyword&gt;Delivery of Health Care/*organization &amp;amp; administration&lt;/keyword&gt;&lt;keyword&gt;*Diffusion of Innovation&lt;/keyword&gt;&lt;keyword&gt;Program Development/*methods&lt;/keyword&gt;&lt;keyword&gt;Research&lt;/keyword&gt;&lt;/keywords&gt;&lt;dates&gt;&lt;year&gt;2013&lt;/year&gt;&lt;pub-dates&gt;&lt;date&gt;Dec 1&lt;/date&gt;&lt;/pub-dates&gt;&lt;/dates&gt;&lt;isbn&gt;1748-5908&lt;/isbn&gt;&lt;accession-num&gt;24289295&lt;/accession-num&gt;&lt;urls&gt;&lt;/urls&gt;&lt;custom2&gt;PMC3882890&lt;/custom2&gt;&lt;electronic-resource-num&gt;10.1186/1748-5908-8-139&lt;/electronic-resource-num&gt;&lt;remote-database-provider&gt;NLM&lt;/remote-database-provider&gt;&lt;language&gt;eng&lt;/language&gt;&lt;/record&gt;&lt;/Cite&gt;&lt;/EndNote&gt;</w:instrText>
            </w:r>
            <w:r w:rsidR="001B5CB4">
              <w:fldChar w:fldCharType="separate"/>
            </w:r>
            <w:r w:rsidR="001B5CB4">
              <w:rPr>
                <w:noProof/>
              </w:rPr>
              <w:t>(1)</w:t>
            </w:r>
            <w:r w:rsidR="001B5CB4">
              <w:fldChar w:fldCharType="end"/>
            </w:r>
          </w:p>
          <w:p w14:paraId="62B7CF31" w14:textId="4E1A1116" w:rsidR="00F5755D" w:rsidRDefault="00E6026F">
            <w:pPr>
              <w:spacing w:after="60"/>
            </w:pPr>
            <w:r>
              <w:t>☐ Is there a plan to report implementation outcomes (Proctor taxonomy) separately from clinical outcomes?</w:t>
            </w:r>
            <w:r w:rsidR="001B5CB4">
              <w:fldChar w:fldCharType="begin">
                <w:fldData xml:space="preserve">PEVuZE5vdGU+PENpdGU+PEF1dGhvcj5Qcm9jdG9yPC9BdXRob3I+PFllYXI+MjAxMTwvWWVhcj48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</w:fldData>
              </w:fldChar>
            </w:r>
            <w:r w:rsidR="001B5CB4">
              <w:instrText xml:space="preserve"> ADDIN EN.CITE </w:instrText>
            </w:r>
            <w:r w:rsidR="001B5CB4">
              <w:fldChar w:fldCharType="begin">
                <w:fldData xml:space="preserve">PEVuZE5vdGU+PENpdGU+PEF1dGhvcj5Qcm9jdG9yPC9BdXRob3I+PFllYXI+MjAxMTwvWWVhcj48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</w:fldData>
              </w:fldChar>
            </w:r>
            <w:r w:rsidR="001B5CB4">
              <w:instrText xml:space="preserve"> ADDIN EN.CITE.DATA </w:instrText>
            </w:r>
            <w:r w:rsidR="001B5CB4">
              <w:fldChar w:fldCharType="end"/>
            </w:r>
            <w:r w:rsidR="001B5CB4">
              <w:fldChar w:fldCharType="separate"/>
            </w:r>
            <w:r w:rsidR="001B5CB4">
              <w:rPr>
                <w:noProof/>
              </w:rPr>
              <w:t>(2)</w:t>
            </w:r>
            <w:r w:rsidR="001B5CB4">
              <w:fldChar w:fldCharType="end"/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948024" w14:textId="77777777" w:rsidR="00F5755D" w:rsidRDefault="00E6026F">
            <w:pPr>
              <w:spacing w:after="60"/>
            </w:pPr>
            <w:r>
              <w:t>☐ Are early warning signs being tracked against the anticipated failure points?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04A9CA" w14:textId="77777777" w:rsidR="00F5755D" w:rsidRDefault="00E6026F">
            <w:pPr>
              <w:spacing w:after="60"/>
            </w:pPr>
            <w:r>
              <w:t>☐ Did the premortem/predictive work anticipate what actually happened? What would we add next time?</w:t>
            </w:r>
          </w:p>
        </w:tc>
      </w:tr>
      <w:tr w:rsidR="00F5755D" w14:paraId="0D1D969C" w14:textId="77777777" w:rsidTr="00EE2318">
        <w:tc>
          <w:tcPr>
            <w:tcW w:w="1802" w:type="dxa"/>
            <w:shd w:val="clear" w:color="auto" w:fill="F7EF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464D37" w14:textId="53610593" w:rsidR="00F5755D" w:rsidRDefault="00174B97">
            <w:r>
              <w:rPr>
                <w:b/>
                <w:bCs/>
                <w:color w:val="20232A"/>
              </w:rPr>
              <w:t>Cultural</w:t>
            </w:r>
            <w:r w:rsidR="00E6026F">
              <w:rPr>
                <w:b/>
                <w:bCs/>
                <w:color w:val="20232A"/>
              </w:rPr>
              <w:t xml:space="preserve"> safety &amp; determinant tracking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D3515" w14:textId="77777777" w:rsidR="00F5755D" w:rsidRDefault="00E6026F">
            <w:pPr>
              <w:spacing w:after="60"/>
            </w:pPr>
            <w:r>
              <w:t>☐ Is there a plan for staff to report problems without it being read as personal failure?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BA5B5D" w14:textId="72D33983" w:rsidR="00F5755D" w:rsidRDefault="00E6026F">
            <w:pPr>
              <w:spacing w:after="60"/>
            </w:pPr>
            <w:r>
              <w:t xml:space="preserve">☐ Is there </w:t>
            </w:r>
            <w:r w:rsidR="00174B97">
              <w:t>cultural</w:t>
            </w:r>
            <w:r>
              <w:t xml:space="preserve"> safety for staff to report emerging problems as they arise?</w:t>
            </w:r>
          </w:p>
          <w:p w14:paraId="664FFED6" w14:textId="77777777" w:rsidR="00F5755D" w:rsidRDefault="00E6026F">
            <w:pPr>
              <w:spacing w:after="60"/>
            </w:pPr>
            <w:r>
              <w:t>☐ Are we tracking multi-level determinants rather than defaulting to individual blame?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F041EB" w14:textId="77777777" w:rsidR="00F5755D" w:rsidRDefault="00E6026F">
            <w:pPr>
              <w:spacing w:after="60"/>
            </w:pPr>
            <w:r>
              <w:t>☐ Did the team feel safe naming what went wrong, or was blame individualized?</w:t>
            </w:r>
          </w:p>
        </w:tc>
      </w:tr>
      <w:tr w:rsidR="00F5755D" w14:paraId="7AD85B0E" w14:textId="77777777" w:rsidTr="00EE2318">
        <w:tc>
          <w:tcPr>
            <w:tcW w:w="1802" w:type="dxa"/>
            <w:shd w:val="clear" w:color="auto" w:fill="F7EF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27A807" w14:textId="77777777" w:rsidR="00F5755D" w:rsidRDefault="00E6026F">
            <w:r>
              <w:rPr>
                <w:b/>
                <w:bCs/>
                <w:color w:val="20232A"/>
              </w:rPr>
              <w:t>Structured learning &amp; reporting</w:t>
            </w:r>
          </w:p>
        </w:tc>
        <w:tc>
          <w:tcPr>
            <w:tcW w:w="298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65E7B6" w14:textId="77777777" w:rsidR="00F5755D" w:rsidRDefault="00E6026F">
            <w:pPr>
              <w:spacing w:after="60"/>
            </w:pPr>
            <w:r>
              <w:t>☐ Is equity built in as an explicit outcome to be assessed, not an afterthought?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7722C8" w14:textId="77777777" w:rsidR="00F5755D" w:rsidRDefault="00E6026F">
            <w:pPr>
              <w:spacing w:after="60"/>
            </w:pPr>
            <w:r>
              <w:t>☐ Is learning being captured as it happens, not deferred entirely to a final report?</w:t>
            </w:r>
          </w:p>
        </w:tc>
        <w:tc>
          <w:tcPr>
            <w:tcW w:w="298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7E418E" w14:textId="77777777" w:rsidR="00F5755D" w:rsidRDefault="00E6026F">
            <w:pPr>
              <w:spacing w:after="60"/>
            </w:pPr>
            <w:r>
              <w:t>☐ What structured learning process follows — something more than a tokenistic “lessons learned”?</w:t>
            </w:r>
          </w:p>
          <w:p w14:paraId="56A59178" w14:textId="77777777" w:rsidR="00F5755D" w:rsidRDefault="00E6026F">
            <w:pPr>
              <w:spacing w:after="60"/>
            </w:pPr>
            <w:r>
              <w:t>☐ Should this be reimplemented — and if so, because of a failed initial attempt, a need for modification, or a sustainment failure?</w:t>
            </w:r>
          </w:p>
          <w:p w14:paraId="28CA7ADE" w14:textId="77777777" w:rsidR="00F5755D" w:rsidRDefault="00E6026F">
            <w:pPr>
              <w:spacing w:after="60"/>
            </w:pPr>
            <w:r>
              <w:t>☐ Will this be reported in a way journals/funders will accept, including null or negative findings?</w:t>
            </w:r>
          </w:p>
        </w:tc>
      </w:tr>
    </w:tbl>
    <w:p w14:paraId="28DD71BE" w14:textId="77777777" w:rsidR="001B5CB4" w:rsidRDefault="001B5CB4"/>
    <w:p w14:paraId="7C3FF79C" w14:textId="77777777" w:rsidR="001B5CB4" w:rsidRDefault="001B5CB4"/>
    <w:p w14:paraId="436B29C0" w14:textId="77777777" w:rsidR="001B5CB4" w:rsidRPr="001B5CB4" w:rsidRDefault="001B5CB4" w:rsidP="001B5CB4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1B5CB4">
        <w:rPr>
          <w:noProof/>
        </w:rPr>
        <w:t>1.</w:t>
      </w:r>
      <w:r w:rsidRPr="001B5CB4">
        <w:rPr>
          <w:noProof/>
        </w:rPr>
        <w:tab/>
        <w:t>Proctor EK, Powell BJ, McMillen JC. Implementation strategies: recommendations for specifying and reporting. Implement Sci. 2013;8:139.</w:t>
      </w:r>
    </w:p>
    <w:p w14:paraId="5EAA6A96" w14:textId="77777777" w:rsidR="001B5CB4" w:rsidRPr="001B5CB4" w:rsidRDefault="001B5CB4" w:rsidP="001B5CB4">
      <w:pPr>
        <w:pStyle w:val="EndNoteBibliography"/>
        <w:rPr>
          <w:noProof/>
        </w:rPr>
      </w:pPr>
      <w:r w:rsidRPr="001B5CB4">
        <w:rPr>
          <w:noProof/>
        </w:rPr>
        <w:t>2.</w:t>
      </w:r>
      <w:r w:rsidRPr="001B5CB4">
        <w:rPr>
          <w:noProof/>
        </w:rPr>
        <w:tab/>
        <w:t>Proctor E, Silmere H, Raghavan R, Hovmand P, Aarons G, Bunger A, et al. Outcomes for Implementation Research: Conceptual Distinctions, Measurement Challenges, and Research Agenda. Administration &amp; Policy in Mental Health &amp; Mental Health Services Research. 2011;38(2):65-76.</w:t>
      </w:r>
    </w:p>
    <w:p w14:paraId="592A2211" w14:textId="49D72B71" w:rsidR="00E6026F" w:rsidRDefault="001B5CB4">
      <w:r>
        <w:fldChar w:fldCharType="end"/>
      </w:r>
    </w:p>
    <w:sectPr w:rsidR="00E6026F" w:rsidSect="00EE2318">
      <w:headerReference w:type="default" r:id="rId7"/>
      <w:footerReference w:type="default" r:id="rId8"/>
      <w:pgSz w:w="12240" w:h="158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4D1C6D" w14:textId="77777777" w:rsidR="00745B6E" w:rsidRDefault="00745B6E">
      <w:r>
        <w:separator/>
      </w:r>
    </w:p>
  </w:endnote>
  <w:endnote w:type="continuationSeparator" w:id="0">
    <w:p w14:paraId="2A2DFD47" w14:textId="77777777" w:rsidR="00745B6E" w:rsidRDefault="0074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63F6A" w14:textId="1FE93266" w:rsidR="00F5755D" w:rsidRDefault="001B5CB4">
    <w:pPr>
      <w:jc w:val="center"/>
    </w:pPr>
    <w:r>
      <w:rPr>
        <w:color w:val="8A8D93"/>
        <w:sz w:val="16"/>
        <w:szCs w:val="16"/>
      </w:rPr>
      <w:t>Accompanies</w:t>
    </w:r>
    <w:r w:rsidR="00E6026F">
      <w:rPr>
        <w:color w:val="8A8D93"/>
        <w:sz w:val="16"/>
        <w:szCs w:val="16"/>
      </w:rPr>
      <w:t xml:space="preserve"> Thomson et al., “Conceptualizing Implementation Failure: A Scoping </w:t>
    </w:r>
    <w:proofErr w:type="gramStart"/>
    <w:r w:rsidR="00E6026F">
      <w:rPr>
        <w:color w:val="8A8D93"/>
        <w:sz w:val="16"/>
        <w:szCs w:val="16"/>
      </w:rPr>
      <w:t>Review”  •</w:t>
    </w:r>
    <w:proofErr w:type="gramEnd"/>
    <w:r w:rsidR="00E6026F">
      <w:rPr>
        <w:color w:val="8A8D93"/>
        <w:sz w:val="16"/>
        <w:szCs w:val="16"/>
      </w:rPr>
      <w:t xml:space="preserve">  Page </w:t>
    </w:r>
    <w:r w:rsidR="00E6026F">
      <w:rPr>
        <w:color w:val="8A8D93"/>
        <w:sz w:val="16"/>
        <w:szCs w:val="16"/>
      </w:rPr>
      <w:fldChar w:fldCharType="begin"/>
    </w:r>
    <w:r w:rsidR="00E6026F">
      <w:rPr>
        <w:color w:val="8A8D93"/>
        <w:sz w:val="16"/>
        <w:szCs w:val="16"/>
      </w:rPr>
      <w:instrText>PAGE</w:instrText>
    </w:r>
    <w:r w:rsidR="00E6026F">
      <w:rPr>
        <w:color w:val="8A8D93"/>
        <w:sz w:val="16"/>
        <w:szCs w:val="16"/>
      </w:rPr>
      <w:fldChar w:fldCharType="separate"/>
    </w:r>
    <w:r w:rsidR="007C1E42">
      <w:rPr>
        <w:noProof/>
        <w:color w:val="8A8D93"/>
        <w:sz w:val="16"/>
        <w:szCs w:val="16"/>
      </w:rPr>
      <w:t>1</w:t>
    </w:r>
    <w:r w:rsidR="00E6026F">
      <w:rPr>
        <w:color w:val="8A8D93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74EE04" w14:textId="77777777" w:rsidR="00745B6E" w:rsidRDefault="00745B6E">
      <w:r>
        <w:separator/>
      </w:r>
    </w:p>
  </w:footnote>
  <w:footnote w:type="continuationSeparator" w:id="0">
    <w:p w14:paraId="1307631C" w14:textId="77777777" w:rsidR="00745B6E" w:rsidRDefault="00745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7633AE" w14:textId="26C9DD5C" w:rsidR="00F5755D" w:rsidRDefault="00F5755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72BF6"/>
    <w:multiLevelType w:val="hybridMultilevel"/>
    <w:tmpl w:val="6AFE2F1C"/>
    <w:lvl w:ilvl="0" w:tplc="B5CA9928">
      <w:start w:val="1"/>
      <w:numFmt w:val="bullet"/>
      <w:lvlText w:val="●"/>
      <w:lvlJc w:val="left"/>
      <w:pPr>
        <w:ind w:left="720" w:hanging="360"/>
      </w:pPr>
    </w:lvl>
    <w:lvl w:ilvl="1" w:tplc="258E04D4">
      <w:start w:val="1"/>
      <w:numFmt w:val="bullet"/>
      <w:lvlText w:val="○"/>
      <w:lvlJc w:val="left"/>
      <w:pPr>
        <w:ind w:left="1440" w:hanging="360"/>
      </w:pPr>
    </w:lvl>
    <w:lvl w:ilvl="2" w:tplc="7CD6A6F6">
      <w:start w:val="1"/>
      <w:numFmt w:val="bullet"/>
      <w:lvlText w:val="■"/>
      <w:lvlJc w:val="left"/>
      <w:pPr>
        <w:ind w:left="2160" w:hanging="360"/>
      </w:pPr>
    </w:lvl>
    <w:lvl w:ilvl="3" w:tplc="9C8E9D78">
      <w:start w:val="1"/>
      <w:numFmt w:val="bullet"/>
      <w:lvlText w:val="●"/>
      <w:lvlJc w:val="left"/>
      <w:pPr>
        <w:ind w:left="2880" w:hanging="360"/>
      </w:pPr>
    </w:lvl>
    <w:lvl w:ilvl="4" w:tplc="B2088A1E">
      <w:start w:val="1"/>
      <w:numFmt w:val="bullet"/>
      <w:lvlText w:val="○"/>
      <w:lvlJc w:val="left"/>
      <w:pPr>
        <w:ind w:left="3600" w:hanging="360"/>
      </w:pPr>
    </w:lvl>
    <w:lvl w:ilvl="5" w:tplc="3EF21CC8">
      <w:start w:val="1"/>
      <w:numFmt w:val="bullet"/>
      <w:lvlText w:val="■"/>
      <w:lvlJc w:val="left"/>
      <w:pPr>
        <w:ind w:left="4320" w:hanging="360"/>
      </w:pPr>
    </w:lvl>
    <w:lvl w:ilvl="6" w:tplc="75747ADC">
      <w:start w:val="1"/>
      <w:numFmt w:val="bullet"/>
      <w:lvlText w:val="●"/>
      <w:lvlJc w:val="left"/>
      <w:pPr>
        <w:ind w:left="5040" w:hanging="360"/>
      </w:pPr>
    </w:lvl>
    <w:lvl w:ilvl="7" w:tplc="DB60912C">
      <w:start w:val="1"/>
      <w:numFmt w:val="bullet"/>
      <w:lvlText w:val="●"/>
      <w:lvlJc w:val="left"/>
      <w:pPr>
        <w:ind w:left="5760" w:hanging="360"/>
      </w:pPr>
    </w:lvl>
    <w:lvl w:ilvl="8" w:tplc="E906336A">
      <w:start w:val="1"/>
      <w:numFmt w:val="bullet"/>
      <w:lvlText w:val="●"/>
      <w:lvlJc w:val="left"/>
      <w:pPr>
        <w:ind w:left="6480" w:hanging="360"/>
      </w:pPr>
    </w:lvl>
  </w:abstractNum>
  <w:num w:numId="1" w16cid:durableId="11951963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xe5eadeu0dx94exv91va52t5ze2t2pffzvw&quot;&gt;Thomson references Feb 2024&lt;record-ids&gt;&lt;item&gt;1186&lt;/item&gt;&lt;item&gt;2675&lt;/item&gt;&lt;/record-ids&gt;&lt;/item&gt;&lt;/Libraries&gt;"/>
  </w:docVars>
  <w:rsids>
    <w:rsidRoot w:val="00F5755D"/>
    <w:rsid w:val="00174B97"/>
    <w:rsid w:val="001B5CB4"/>
    <w:rsid w:val="002E4462"/>
    <w:rsid w:val="00381146"/>
    <w:rsid w:val="0055173E"/>
    <w:rsid w:val="00690C9B"/>
    <w:rsid w:val="007456D0"/>
    <w:rsid w:val="00745B6E"/>
    <w:rsid w:val="007C1E42"/>
    <w:rsid w:val="008C02A2"/>
    <w:rsid w:val="008E2183"/>
    <w:rsid w:val="009221D7"/>
    <w:rsid w:val="00A9382F"/>
    <w:rsid w:val="00AE1842"/>
    <w:rsid w:val="00DC2F27"/>
    <w:rsid w:val="00E6026F"/>
    <w:rsid w:val="00EE2318"/>
    <w:rsid w:val="00F5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182B0"/>
  <w15:docId w15:val="{AD6251B6-5260-4E27-895A-BE831985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E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E42"/>
  </w:style>
  <w:style w:type="paragraph" w:styleId="Footer">
    <w:name w:val="footer"/>
    <w:basedOn w:val="Normal"/>
    <w:link w:val="FooterChar"/>
    <w:uiPriority w:val="99"/>
    <w:unhideWhenUsed/>
    <w:rsid w:val="007C1E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E42"/>
  </w:style>
  <w:style w:type="paragraph" w:customStyle="1" w:styleId="EndNoteBibliographyTitle">
    <w:name w:val="EndNote Bibliography Title"/>
    <w:basedOn w:val="Normal"/>
    <w:link w:val="EndNoteBibliographyTitleChar"/>
    <w:rsid w:val="001B5CB4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B5CB4"/>
  </w:style>
  <w:style w:type="paragraph" w:customStyle="1" w:styleId="EndNoteBibliography">
    <w:name w:val="EndNote Bibliography"/>
    <w:basedOn w:val="Normal"/>
    <w:link w:val="EndNoteBibliographyChar"/>
    <w:rsid w:val="001B5CB4"/>
  </w:style>
  <w:style w:type="character" w:customStyle="1" w:styleId="EndNoteBibliographyChar">
    <w:name w:val="EndNote Bibliography Char"/>
    <w:basedOn w:val="DefaultParagraphFont"/>
    <w:link w:val="EndNoteBibliography"/>
    <w:rsid w:val="001B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Cody Alba</cp:lastModifiedBy>
  <cp:revision>4</cp:revision>
  <dcterms:created xsi:type="dcterms:W3CDTF">2026-07-30T21:50:00Z</dcterms:created>
  <dcterms:modified xsi:type="dcterms:W3CDTF">2026-07-31T20:50:00Z</dcterms:modified>
</cp:coreProperties>
</file>