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043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 S1. Covariate balance and effective sample size after CBPS-based overlap weighting</w:t>
      </w:r>
    </w:p>
    <w:p w14:paraId="311935EB">
      <w:pPr>
        <w:rPr>
          <w:rFonts w:hint="default" w:ascii="Times New Roman" w:hAnsi="Times New Roman" w:cs="Times New Roman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1047"/>
        <w:gridCol w:w="1499"/>
        <w:gridCol w:w="1906"/>
        <w:gridCol w:w="1094"/>
      </w:tblGrid>
      <w:tr w14:paraId="290A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3CEE1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A. Covariate balance</w:t>
            </w:r>
          </w:p>
        </w:tc>
        <w:tc>
          <w:tcPr>
            <w:tcW w:w="61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388221C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5BD4C51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2C46C9D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05A03DF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16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EB973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Covariate</w:t>
            </w:r>
          </w:p>
        </w:tc>
        <w:tc>
          <w:tcPr>
            <w:tcW w:w="61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0016F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Type</w:t>
            </w:r>
          </w:p>
        </w:tc>
        <w:tc>
          <w:tcPr>
            <w:tcW w:w="87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298F1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Before weighting (Max SMD)</w:t>
            </w:r>
          </w:p>
        </w:tc>
        <w:tc>
          <w:tcPr>
            <w:tcW w:w="111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F9A09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After CBPS-ATO weighting (Max SMD)</w:t>
            </w:r>
          </w:p>
        </w:tc>
        <w:tc>
          <w:tcPr>
            <w:tcW w:w="64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7ED6E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Balance assessment</w:t>
            </w:r>
          </w:p>
        </w:tc>
      </w:tr>
      <w:tr w14:paraId="2562E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9B1D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 category (≥15 years)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25ED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Binary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AFD8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0.3127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9C2F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0.000002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3ED7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Balanced (&lt;0.1)</w:t>
            </w:r>
          </w:p>
        </w:tc>
      </w:tr>
      <w:tr w14:paraId="5E949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9168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Monthly headache days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27F3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5225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0.9436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C46C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0.000002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20EC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Balanced (&lt;0.1)</w:t>
            </w:r>
          </w:p>
        </w:tc>
      </w:tr>
      <w:tr w14:paraId="56E1F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144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Headache duration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F4F1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DC54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0.6987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DF2C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0.000002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9C81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Balanced (&lt;0.1)</w:t>
            </w:r>
          </w:p>
        </w:tc>
      </w:tr>
      <w:tr w14:paraId="23675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9FDF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Migraine phenotype (CM)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3B17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Binary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C351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1.0318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9E7F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9884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Balanced (&lt;0.1)</w:t>
            </w:r>
          </w:p>
        </w:tc>
      </w:tr>
      <w:tr w14:paraId="7B17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0E11D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Baseline preventive medication burden (≥2 medications)</w:t>
            </w:r>
          </w:p>
          <w:p w14:paraId="0A36AA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Previous analgeisics 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30CBB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Binary</w:t>
            </w:r>
          </w:p>
          <w:p w14:paraId="1E7070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077EB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Binary 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8FF78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0.3423</w:t>
            </w:r>
          </w:p>
          <w:p w14:paraId="41EAF2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E6E5F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0.6190</w:t>
            </w:r>
          </w:p>
        </w:tc>
        <w:tc>
          <w:tcPr>
            <w:tcW w:w="111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91F5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0.000006</w:t>
            </w:r>
          </w:p>
          <w:p w14:paraId="5E019C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BE82A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0.00000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64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DBEBA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Balanced (&lt;0.1)</w:t>
            </w:r>
          </w:p>
          <w:p w14:paraId="4B8DA7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Balanced (&lt;0.1)</w:t>
            </w:r>
          </w:p>
        </w:tc>
      </w:tr>
      <w:tr w14:paraId="27223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E254C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B. Effective sample size after CBPS-ATO weighting</w:t>
            </w:r>
          </w:p>
        </w:tc>
        <w:tc>
          <w:tcPr>
            <w:tcW w:w="61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96A2657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83886E5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715D041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B40825E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8F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EC6B3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 strategy</w:t>
            </w:r>
          </w:p>
        </w:tc>
        <w:tc>
          <w:tcPr>
            <w:tcW w:w="61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FA827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Original n</w:t>
            </w:r>
          </w:p>
        </w:tc>
        <w:tc>
          <w:tcPr>
            <w:tcW w:w="87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4445C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Sum of weights</w:t>
            </w:r>
          </w:p>
        </w:tc>
        <w:tc>
          <w:tcPr>
            <w:tcW w:w="111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7B5DE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Effective sample size</w:t>
            </w:r>
          </w:p>
        </w:tc>
        <w:tc>
          <w:tcPr>
            <w:tcW w:w="64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4CD3DA2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D00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5818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without rimegepant integration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5005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B029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6.2356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37FC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16.49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E15EB8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4A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B4EC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acute-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on-demand rimegepant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integration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A9ED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F4E1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6.2356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85AB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13.83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E52827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BD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2BC1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Conventional preventive therapy plus regular rimegepant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integration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2213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D4E1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6.2356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5E78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ABC3FA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62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B6CFE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A4B5F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1CD54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18.7068</w:t>
            </w:r>
          </w:p>
        </w:tc>
        <w:tc>
          <w:tcPr>
            <w:tcW w:w="111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9B577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57.04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1FE408B">
            <w:pP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77A47178">
      <w:pPr>
        <w:rPr>
          <w:rFonts w:hint="default" w:ascii="Times New Roman" w:hAnsi="Times New Roman" w:cs="Times New Roman"/>
        </w:rPr>
      </w:pPr>
    </w:p>
    <w:p w14:paraId="4DEB140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Note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</w:rPr>
        <w:t>ATO, average treatment effect in the overlap population; CBPS, covariate balancing propensity score; SMD, standardized mean difference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n, number of patients</w:t>
      </w:r>
      <w:r>
        <w:rPr>
          <w:rFonts w:hint="default" w:ascii="Times New Roman" w:hAnsi="Times New Roman" w:cs="Times New Roma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811D5"/>
    <w:rsid w:val="0AF800F6"/>
    <w:rsid w:val="13F866C4"/>
    <w:rsid w:val="19044D6F"/>
    <w:rsid w:val="331D6167"/>
    <w:rsid w:val="34931DC5"/>
    <w:rsid w:val="3547747F"/>
    <w:rsid w:val="360B1E2F"/>
    <w:rsid w:val="36301896"/>
    <w:rsid w:val="376A72BA"/>
    <w:rsid w:val="37B7226F"/>
    <w:rsid w:val="422E5823"/>
    <w:rsid w:val="637065DA"/>
    <w:rsid w:val="697176A5"/>
    <w:rsid w:val="6B2644DE"/>
    <w:rsid w:val="73E01C2A"/>
    <w:rsid w:val="7B656EB9"/>
    <w:rsid w:val="7EEA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986</Characters>
  <Lines>0</Lines>
  <Paragraphs>0</Paragraphs>
  <TotalTime>5</TotalTime>
  <ScaleCrop>false</ScaleCrop>
  <LinksUpToDate>false</LinksUpToDate>
  <CharactersWithSpaces>1075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2026-07-30T04:06:00Z</dcterms:created>
  <dc:creator>Zhaozexian</dc:creator>
  <cp:lastModifiedBy>葬花冷月</cp:lastModifiedBy>
  <dcterms:modified xsi:type="dcterms:W3CDTF">2026-08-20T18:05:30Z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eyJoZGlkIjoiOWJmZTM0ZTc3ZmY2MzMzMDk1MGIyNmUyMDc2MTE5NTAiLCJ1c2VySWQiOiIxMDE1MTY3MCJ9</vt:lpwstr>
  </property>
  <property fmtid="{D5CDD505-2E9C-101B-9397-08002B2CF9AE}" pid="4" name="ICV">
    <vt:lpwstr>62930746FCAC4E6B96B753C7AE4E2ED6_12</vt:lpwstr>
  </property>
</Properties>
</file>