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3B5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 S2. Sensitivity analyses of treatment response associations according to initial preventive treatment strategy</w:t>
      </w:r>
    </w:p>
    <w:p w14:paraId="195FB6A4">
      <w:pPr>
        <w:rPr>
          <w:rFonts w:hint="default" w:ascii="Times New Roman" w:hAnsi="Times New Roman" w:cs="Times New Roman"/>
        </w:rPr>
      </w:pP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882"/>
        <w:gridCol w:w="1306"/>
        <w:gridCol w:w="621"/>
        <w:gridCol w:w="1824"/>
        <w:gridCol w:w="621"/>
        <w:gridCol w:w="1166"/>
      </w:tblGrid>
      <w:tr w14:paraId="5DC4C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4" w:type="pct"/>
            <w:tcBorders>
              <w:top w:val="single" w:color="000000" w:sz="4" w:space="0"/>
              <w:left w:val="single" w:color="B7C9D6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D6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Outcome</w:t>
            </w:r>
          </w:p>
        </w:tc>
        <w:tc>
          <w:tcPr>
            <w:tcW w:w="110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6A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Comparison</w:t>
            </w:r>
          </w:p>
        </w:tc>
        <w:tc>
          <w:tcPr>
            <w:tcW w:w="76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6F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Primary CBPS-ATO analysis,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OR (95% CI)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73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07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4C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Unweighted Firth sensitivity analysis,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OR (95% CI)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12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68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B7C9D6" w:sz="4" w:space="0"/>
            </w:tcBorders>
            <w:shd w:val="clear" w:color="auto" w:fill="auto"/>
            <w:vAlign w:val="center"/>
          </w:tcPr>
          <w:p w14:paraId="5CDC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Directionally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consistent</w:t>
            </w:r>
          </w:p>
        </w:tc>
      </w:tr>
      <w:tr w14:paraId="7473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restart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BE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≥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50% reduction in monthly headache days</w:t>
            </w:r>
          </w:p>
        </w:tc>
        <w:tc>
          <w:tcPr>
            <w:tcW w:w="11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E1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acute-o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n-demand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vs conventional preventive therapy alone</w:t>
            </w:r>
          </w:p>
        </w:tc>
        <w:tc>
          <w:tcPr>
            <w:tcW w:w="7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C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 (0.87–20.16)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3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</w:t>
            </w:r>
          </w:p>
        </w:tc>
        <w:tc>
          <w:tcPr>
            <w:tcW w:w="10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3.86 (1.02–16.28)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6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D0D7DE" w:sz="4" w:space="0"/>
              <w:bottom w:val="nil"/>
              <w:right w:val="single" w:color="D0D7DE" w:sz="4" w:space="0"/>
            </w:tcBorders>
            <w:shd w:val="clear" w:color="auto" w:fill="auto"/>
            <w:vAlign w:val="center"/>
          </w:tcPr>
          <w:p w14:paraId="0B7D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055E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continue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1B7AA2">
            <w:pPr>
              <w:jc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76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r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egular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vs conventional preventive therapy alone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D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 (0.65–7.50)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3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0.207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 (0.82–6.72)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0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684" w:type="pct"/>
            <w:tcBorders>
              <w:top w:val="nil"/>
              <w:left w:val="single" w:color="D0D7DE" w:sz="4" w:space="0"/>
              <w:bottom w:val="nil"/>
              <w:right w:val="single" w:color="D0D7DE" w:sz="4" w:space="0"/>
            </w:tcBorders>
            <w:shd w:val="clear" w:color="auto" w:fill="auto"/>
            <w:vAlign w:val="center"/>
          </w:tcPr>
          <w:p w14:paraId="267E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3A40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continue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3B1E55">
            <w:pPr>
              <w:jc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9AA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acute-o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n-demand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vs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plus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regular rimegepant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34C6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†</w:t>
            </w:r>
          </w:p>
        </w:tc>
        <w:tc>
          <w:tcPr>
            <w:tcW w:w="76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CF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 (0.52–6.94)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2F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16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 (0.53–5.87)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8D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0.392</w:t>
            </w:r>
          </w:p>
        </w:tc>
        <w:tc>
          <w:tcPr>
            <w:tcW w:w="684" w:type="pct"/>
            <w:tcBorders>
              <w:top w:val="nil"/>
              <w:left w:val="single" w:color="D0D7DE" w:sz="4" w:space="0"/>
              <w:bottom w:val="single" w:color="000000" w:sz="4" w:space="0"/>
              <w:right w:val="single" w:color="D0D7DE" w:sz="4" w:space="0"/>
            </w:tcBorders>
            <w:shd w:val="clear" w:color="auto" w:fill="auto"/>
            <w:vAlign w:val="center"/>
          </w:tcPr>
          <w:p w14:paraId="5F24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22319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restart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91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≥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 w:bidi="ar"/>
              </w:rPr>
              <w:t>75% reduction in monthly headache days</w:t>
            </w:r>
          </w:p>
        </w:tc>
        <w:tc>
          <w:tcPr>
            <w:tcW w:w="1104" w:type="pct"/>
            <w:tcBorders>
              <w:top w:val="single" w:color="000000" w:sz="4" w:space="0"/>
              <w:left w:val="nil"/>
              <w:bottom w:val="single" w:color="D0D7DE" w:sz="4" w:space="0"/>
              <w:right w:val="nil"/>
            </w:tcBorders>
            <w:shd w:val="clear" w:color="auto" w:fill="auto"/>
            <w:vAlign w:val="center"/>
          </w:tcPr>
          <w:p w14:paraId="09CD4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acute-o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n-demand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vs conventional preventive therapy alone</w:t>
            </w:r>
          </w:p>
        </w:tc>
        <w:tc>
          <w:tcPr>
            <w:tcW w:w="766" w:type="pct"/>
            <w:tcBorders>
              <w:top w:val="single" w:color="000000" w:sz="4" w:space="0"/>
              <w:left w:val="nil"/>
              <w:bottom w:val="single" w:color="D0D7DE" w:sz="4" w:space="0"/>
              <w:right w:val="nil"/>
            </w:tcBorders>
            <w:shd w:val="clear" w:color="auto" w:fill="auto"/>
            <w:vAlign w:val="center"/>
          </w:tcPr>
          <w:p w14:paraId="1DD4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8.47 (1.62–44.20)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single" w:color="D0D7DE" w:sz="4" w:space="0"/>
              <w:right w:val="nil"/>
            </w:tcBorders>
            <w:shd w:val="clear" w:color="auto" w:fill="auto"/>
            <w:vAlign w:val="center"/>
          </w:tcPr>
          <w:p w14:paraId="341B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1070" w:type="pct"/>
            <w:tcBorders>
              <w:top w:val="single" w:color="000000" w:sz="4" w:space="0"/>
              <w:left w:val="nil"/>
              <w:bottom w:val="single" w:color="D0D7DE" w:sz="4" w:space="0"/>
              <w:right w:val="nil"/>
            </w:tcBorders>
            <w:shd w:val="clear" w:color="auto" w:fill="auto"/>
            <w:vAlign w:val="center"/>
          </w:tcPr>
          <w:p w14:paraId="03F9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4.97 (1.33–20.67)</w:t>
            </w:r>
          </w:p>
        </w:tc>
        <w:tc>
          <w:tcPr>
            <w:tcW w:w="364" w:type="pct"/>
            <w:tcBorders>
              <w:top w:val="single" w:color="000000" w:sz="4" w:space="0"/>
              <w:left w:val="nil"/>
              <w:bottom w:val="single" w:color="D0D7DE" w:sz="4" w:space="0"/>
              <w:right w:val="nil"/>
            </w:tcBorders>
            <w:shd w:val="clear" w:color="auto" w:fill="auto"/>
            <w:vAlign w:val="center"/>
          </w:tcPr>
          <w:p w14:paraId="3240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D0D7DE" w:sz="4" w:space="0"/>
              <w:bottom w:val="single" w:color="D0D7DE" w:sz="4" w:space="0"/>
              <w:right w:val="single" w:color="D0D7DE" w:sz="4" w:space="0"/>
            </w:tcBorders>
            <w:shd w:val="clear" w:color="auto" w:fill="auto"/>
            <w:vAlign w:val="center"/>
          </w:tcPr>
          <w:p w14:paraId="04DA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08E6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continue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4935EA">
            <w:pPr>
              <w:jc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r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egular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vs conventional preventive therapy alone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 (1.03–10.74)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6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2.62 (0.92–7.99)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4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684" w:type="pct"/>
            <w:tcBorders>
              <w:top w:val="nil"/>
              <w:left w:val="single" w:color="D0D7DE" w:sz="4" w:space="0"/>
              <w:bottom w:val="nil"/>
              <w:right w:val="single" w:color="D0D7DE" w:sz="4" w:space="0"/>
            </w:tcBorders>
            <w:shd w:val="clear" w:color="auto" w:fill="auto"/>
            <w:vAlign w:val="center"/>
          </w:tcPr>
          <w:p w14:paraId="485E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08903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44" w:type="pct"/>
            <w:vMerge w:val="continue"/>
            <w:tcBorders>
              <w:top w:val="single" w:color="000000" w:sz="4" w:space="0"/>
              <w:left w:val="single" w:color="D0D7DE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94EF42">
            <w:pPr>
              <w:jc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0A0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Plus acute-o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n-demand rimegepant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vs 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plus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regular rimegepant</w:t>
            </w: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 w14:paraId="08EC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integration </w:t>
            </w: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†</w:t>
            </w:r>
          </w:p>
        </w:tc>
        <w:tc>
          <w:tcPr>
            <w:tcW w:w="76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AE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2.55 (0.69–9.43)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9E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</w:t>
            </w:r>
          </w:p>
        </w:tc>
        <w:tc>
          <w:tcPr>
            <w:tcW w:w="107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06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 (0.63–6.24)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AB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0.261</w:t>
            </w:r>
          </w:p>
        </w:tc>
        <w:tc>
          <w:tcPr>
            <w:tcW w:w="684" w:type="pct"/>
            <w:tcBorders>
              <w:top w:val="nil"/>
              <w:left w:val="single" w:color="D0D7DE" w:sz="4" w:space="0"/>
              <w:bottom w:val="single" w:color="000000" w:sz="4" w:space="0"/>
              <w:right w:val="single" w:color="D0D7DE" w:sz="4" w:space="0"/>
            </w:tcBorders>
            <w:shd w:val="clear" w:color="auto" w:fill="auto"/>
            <w:vAlign w:val="center"/>
          </w:tcPr>
          <w:p w14:paraId="4A68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</w:tbl>
    <w:p w14:paraId="6FD65138">
      <w:pPr>
        <w:rPr>
          <w:rFonts w:hint="default" w:ascii="Times New Roman" w:hAnsi="Times New Roman" w:cs="Times New Roman"/>
        </w:rPr>
      </w:pPr>
    </w:p>
    <w:p w14:paraId="59365F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Note: ATO, average treatment effect in the overlap population; CBPS, covariate balancing propensity score; CI, confidence interval; OR, odds ratio.</w:t>
      </w:r>
    </w:p>
    <w:p w14:paraId="43A00CC3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initial preventive treatment strateg</w:t>
      </w:r>
      <w:r>
        <w:rPr>
          <w:rFonts w:hint="eastAsia" w:ascii="Times New Roman" w:hAnsi="Times New Roman" w:cs="Times New Roman"/>
          <w:lang w:val="en-US" w:eastAsia="zh-CN"/>
        </w:rPr>
        <w:t xml:space="preserve">y: </w:t>
      </w:r>
    </w:p>
    <w:p w14:paraId="57398539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Arial Black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conventional preventive therapy alone</w:t>
      </w:r>
      <w:r>
        <w:rPr>
          <w:rFonts w:hint="eastAsia" w:ascii="Times New Roman" w:hAnsi="Times New Roman" w:eastAsia="Arial Black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: </w:t>
      </w:r>
      <w:r>
        <w:rPr>
          <w:rFonts w:hint="eastAsia" w:ascii="Times New Roman" w:hAnsi="Times New Roman" w:cs="Times New Roman"/>
          <w:lang w:eastAsia="zh-CN"/>
        </w:rPr>
        <w:t>conventional preventive therapy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without rimegepant integration</w:t>
      </w:r>
      <w:r>
        <w:rPr>
          <w:rFonts w:hint="eastAsia" w:ascii="Times New Roman" w:hAnsi="Times New Roman" w:cs="Times New Roman"/>
          <w:lang w:val="en-US" w:eastAsia="zh-CN"/>
        </w:rPr>
        <w:t>;</w:t>
      </w:r>
    </w:p>
    <w:p w14:paraId="19144248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plus regular rimegepant integration</w:t>
      </w:r>
      <w:r>
        <w:rPr>
          <w:rFonts w:hint="eastAsia" w:ascii="Times New Roman" w:hAnsi="Times New Roman" w:cs="Times New Roman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lang w:eastAsia="zh-CN"/>
        </w:rPr>
        <w:t>conventional preventive therapy plus regular rimegepant integration</w:t>
      </w:r>
      <w:r>
        <w:rPr>
          <w:rFonts w:hint="eastAsia" w:ascii="Times New Roman" w:hAnsi="Times New Roman" w:cs="Times New Roman"/>
          <w:lang w:val="en-US" w:eastAsia="zh-CN"/>
        </w:rPr>
        <w:t>;</w:t>
      </w:r>
    </w:p>
    <w:p w14:paraId="3C7CA30B"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 xml:space="preserve">plus </w:t>
      </w:r>
      <w:r>
        <w:rPr>
          <w:rFonts w:hint="eastAsia" w:ascii="Times New Roman" w:hAnsi="Times New Roman" w:cs="Times New Roman"/>
          <w:lang w:val="en-US" w:eastAsia="zh-CN"/>
        </w:rPr>
        <w:t>acute-on-demand</w:t>
      </w:r>
      <w:r>
        <w:rPr>
          <w:rFonts w:hint="eastAsia" w:ascii="Times New Roman" w:hAnsi="Times New Roman" w:cs="Times New Roman"/>
          <w:lang w:eastAsia="zh-CN"/>
        </w:rPr>
        <w:t xml:space="preserve"> rimegepant integration</w:t>
      </w:r>
      <w:r>
        <w:rPr>
          <w:rFonts w:hint="eastAsia" w:ascii="Times New Roman" w:hAnsi="Times New Roman" w:cs="Times New Roman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lang w:eastAsia="zh-CN"/>
        </w:rPr>
        <w:t>conventional preventive therapy plus acute-on-demand rimegepant integration.</w:t>
      </w:r>
      <w:bookmarkStart w:id="0" w:name="_GoBack"/>
      <w:bookmarkEnd w:id="0"/>
    </w:p>
    <w:p w14:paraId="00EFC19A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rlito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758D7"/>
    <w:rsid w:val="20EC6F01"/>
    <w:rsid w:val="239F100A"/>
    <w:rsid w:val="28DE416C"/>
    <w:rsid w:val="294F2DD3"/>
    <w:rsid w:val="35657300"/>
    <w:rsid w:val="41DB36DD"/>
    <w:rsid w:val="570109B9"/>
    <w:rsid w:val="576D5E8A"/>
    <w:rsid w:val="6585041D"/>
    <w:rsid w:val="6B4D0219"/>
    <w:rsid w:val="763224E5"/>
    <w:rsid w:val="797A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Carlito" w:hAnsi="Carlito" w:eastAsia="Carlito" w:cs="Carlito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default" w:ascii="Arial Black" w:hAnsi="Arial Black" w:eastAsia="Arial Black" w:cs="Arial Blac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994</Characters>
  <Lines>0</Lines>
  <Paragraphs>0</Paragraphs>
  <TotalTime>0</TotalTime>
  <ScaleCrop>false</ScaleCrop>
  <LinksUpToDate>false</LinksUpToDate>
  <CharactersWithSpaces>1092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2026-07-30T04:14:00Z</dcterms:created>
  <dc:creator>Zhaozexian</dc:creator>
  <cp:lastModifiedBy>葬花冷月</cp:lastModifiedBy>
  <dcterms:modified xsi:type="dcterms:W3CDTF">2026-08-20T18:11:09Z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eyJoZGlkIjoiOWJmZTM0ZTc3ZmY2MzMzMDk1MGIyNmUyMDc2MTE5NTAiLCJ1c2VySWQiOiIxMDE1MTY3MCJ9</vt:lpwstr>
  </property>
  <property fmtid="{D5CDD505-2E9C-101B-9397-08002B2CF9AE}" pid="4" name="ICV">
    <vt:lpwstr>FDD468BD7EA84A199E48C9FDF8E5CB86_12</vt:lpwstr>
  </property>
</Properties>
</file>