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6C81" w14:textId="66A970B4" w:rsidR="00604835" w:rsidRPr="009F7B53" w:rsidRDefault="00604835" w:rsidP="009F7B53">
      <w:pPr>
        <w:spacing w:after="0" w:line="480" w:lineRule="auto"/>
        <w:jc w:val="center"/>
        <w:rPr>
          <w:rFonts w:ascii="Arial" w:hAnsi="Arial" w:cs="Arial"/>
          <w:b/>
          <w:bCs/>
          <w:color w:val="0D0D0D" w:themeColor="text1" w:themeTint="F2"/>
          <w:u w:val="single"/>
        </w:rPr>
      </w:pPr>
      <w:r w:rsidRPr="009F7B53">
        <w:rPr>
          <w:rFonts w:ascii="Arial" w:hAnsi="Arial" w:cs="Arial"/>
          <w:b/>
          <w:bCs/>
          <w:color w:val="0D0D0D" w:themeColor="text1" w:themeTint="F2"/>
          <w:u w:val="single"/>
        </w:rPr>
        <w:t>Supplementary File</w:t>
      </w:r>
    </w:p>
    <w:p w14:paraId="6E0F337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57F920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t>Table S1.</w:t>
      </w:r>
      <w:r w:rsidRPr="00F81B8E">
        <w:rPr>
          <w:rFonts w:ascii="Arial" w:hAnsi="Arial" w:cs="Arial"/>
          <w:color w:val="0D0D0D" w:themeColor="text1" w:themeTint="F2"/>
        </w:rPr>
        <w:t xml:space="preserve"> Ancillary environmental, socio</w:t>
      </w:r>
      <w:r w:rsidRPr="00F81B8E">
        <w:rPr>
          <w:rFonts w:ascii="Arial" w:hAnsi="Arial" w:cs="Arial"/>
          <w:color w:val="0D0D0D" w:themeColor="text1" w:themeTint="F2"/>
        </w:rPr>
        <w:noBreakHyphen/>
        <w:t>economic, and ground</w:t>
      </w:r>
      <w:r w:rsidRPr="00F81B8E">
        <w:rPr>
          <w:rFonts w:ascii="Arial" w:hAnsi="Arial" w:cs="Arial"/>
          <w:color w:val="0D0D0D" w:themeColor="text1" w:themeTint="F2"/>
        </w:rPr>
        <w:noBreakHyphen/>
        <w:t>truth datasets used in the study.</w:t>
      </w:r>
    </w:p>
    <w:p w14:paraId="3A12692B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t>Table S2.</w:t>
      </w:r>
      <w:r w:rsidRPr="00F81B8E">
        <w:rPr>
          <w:rFonts w:ascii="Arial" w:hAnsi="Arial" w:cs="Arial"/>
          <w:color w:val="0D0D0D" w:themeColor="text1" w:themeTint="F2"/>
        </w:rPr>
        <w:t xml:space="preserve"> Confusion matrix for 2025 land</w:t>
      </w:r>
      <w:r w:rsidRPr="00F81B8E">
        <w:rPr>
          <w:rFonts w:ascii="Arial" w:hAnsi="Arial" w:cs="Arial"/>
          <w:color w:val="0D0D0D" w:themeColor="text1" w:themeTint="F2"/>
        </w:rPr>
        <w:noBreakHyphen/>
        <w:t>cover classification.</w:t>
      </w:r>
    </w:p>
    <w:p w14:paraId="6F5960D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t>Table S3.</w:t>
      </w:r>
      <w:r w:rsidRPr="00F81B8E">
        <w:rPr>
          <w:rFonts w:ascii="Arial" w:hAnsi="Arial" w:cs="Arial"/>
          <w:color w:val="0D0D0D" w:themeColor="text1" w:themeTint="F2"/>
        </w:rPr>
        <w:t xml:space="preserve"> Model performance metrics for LSTM forecasting.</w:t>
      </w:r>
    </w:p>
    <w:p w14:paraId="52E64B70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t xml:space="preserve">Table S4. </w:t>
      </w:r>
      <w:r w:rsidRPr="00F81B8E">
        <w:rPr>
          <w:rFonts w:ascii="Arial" w:hAnsi="Arial" w:cs="Arial"/>
          <w:color w:val="0D0D0D" w:themeColor="text1" w:themeTint="F2"/>
        </w:rPr>
        <w:t>Scenario assumptions for Business as Usual (BAU) and Strict Protection (SP) projections.</w:t>
      </w:r>
    </w:p>
    <w:p w14:paraId="6CA03229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2D535146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6F94152E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7AF6A291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1DFAA9A9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517B01E0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66F99997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058A4982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24951888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1503B3FB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3DA37153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p w14:paraId="5EF9CCED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EEE3416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89F4EC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86D62D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D31BC76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56103CD" w14:textId="4775CC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lastRenderedPageBreak/>
        <w:t>Table S1.</w:t>
      </w:r>
      <w:r w:rsidRPr="00F81B8E">
        <w:rPr>
          <w:rFonts w:ascii="Arial" w:hAnsi="Arial" w:cs="Arial"/>
          <w:color w:val="0D0D0D" w:themeColor="text1" w:themeTint="F2"/>
        </w:rPr>
        <w:t xml:space="preserve"> Ancillary environmental, socio</w:t>
      </w:r>
      <w:r w:rsidRPr="00F81B8E">
        <w:rPr>
          <w:rFonts w:ascii="Arial" w:hAnsi="Arial" w:cs="Arial"/>
          <w:color w:val="0D0D0D" w:themeColor="text1" w:themeTint="F2"/>
        </w:rPr>
        <w:noBreakHyphen/>
        <w:t>economic, and ground</w:t>
      </w:r>
      <w:r w:rsidRPr="00F81B8E">
        <w:rPr>
          <w:rFonts w:ascii="Arial" w:hAnsi="Arial" w:cs="Arial"/>
          <w:color w:val="0D0D0D" w:themeColor="text1" w:themeTint="F2"/>
        </w:rPr>
        <w:noBreakHyphen/>
        <w:t>truth datasets used in the study.</w:t>
      </w:r>
    </w:p>
    <w:tbl>
      <w:tblPr>
        <w:tblStyle w:val="TableGrid"/>
        <w:tblW w:w="11340" w:type="dxa"/>
        <w:tblInd w:w="-108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2250"/>
        <w:gridCol w:w="1980"/>
        <w:gridCol w:w="1260"/>
        <w:gridCol w:w="2250"/>
        <w:gridCol w:w="1985"/>
      </w:tblGrid>
      <w:tr w:rsidR="00F81B8E" w:rsidRPr="00F81B8E" w14:paraId="3B152D26" w14:textId="77777777" w:rsidTr="001A69E6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75DB795B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Dataset Type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FCB8680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Variables / Attributes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DF3D2D0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Spatial / Temporal Resolution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EB4835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Years Covered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63E0081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Purpose / Application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A63A3E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Source / Institution</w:t>
            </w:r>
          </w:p>
        </w:tc>
      </w:tr>
      <w:tr w:rsidR="00F81B8E" w:rsidRPr="00F81B8E" w14:paraId="416C40A5" w14:textId="77777777" w:rsidTr="001A69E6">
        <w:tc>
          <w:tcPr>
            <w:tcW w:w="1615" w:type="dxa"/>
            <w:tcBorders>
              <w:top w:val="single" w:sz="4" w:space="0" w:color="auto"/>
            </w:tcBorders>
          </w:tcPr>
          <w:p w14:paraId="3671CF5D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Topographic Data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472D0457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Elevation, slope, aspect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50C6A7A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30 m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85DA13C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2000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AFF6F9C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Terrain correction and forest fragmentation analysis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4699454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Shuttle Radar Topography Mission (SRTM)</w:t>
            </w:r>
          </w:p>
        </w:tc>
      </w:tr>
      <w:tr w:rsidR="00F81B8E" w:rsidRPr="00F81B8E" w14:paraId="79242CA0" w14:textId="77777777" w:rsidTr="001A69E6">
        <w:tc>
          <w:tcPr>
            <w:tcW w:w="1615" w:type="dxa"/>
          </w:tcPr>
          <w:p w14:paraId="70F8C385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Climate Data</w:t>
            </w:r>
          </w:p>
        </w:tc>
        <w:tc>
          <w:tcPr>
            <w:tcW w:w="2250" w:type="dxa"/>
          </w:tcPr>
          <w:p w14:paraId="1271AD65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Rainfall, temperature, humidity</w:t>
            </w:r>
          </w:p>
        </w:tc>
        <w:tc>
          <w:tcPr>
            <w:tcW w:w="1980" w:type="dxa"/>
          </w:tcPr>
          <w:p w14:paraId="2E15BAB5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Monthly averages</w:t>
            </w:r>
          </w:p>
        </w:tc>
        <w:tc>
          <w:tcPr>
            <w:tcW w:w="1260" w:type="dxa"/>
          </w:tcPr>
          <w:p w14:paraId="12A88261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1988–2025</w:t>
            </w:r>
          </w:p>
        </w:tc>
        <w:tc>
          <w:tcPr>
            <w:tcW w:w="2250" w:type="dxa"/>
          </w:tcPr>
          <w:p w14:paraId="659E87CC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Contextualizing forest cover change with climatic variability</w:t>
            </w:r>
          </w:p>
        </w:tc>
        <w:tc>
          <w:tcPr>
            <w:tcW w:w="1985" w:type="dxa"/>
          </w:tcPr>
          <w:p w14:paraId="0DCC7EAB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Bangladesh Meteorological Department (BMD)</w:t>
            </w:r>
          </w:p>
        </w:tc>
      </w:tr>
      <w:tr w:rsidR="00F81B8E" w:rsidRPr="00F81B8E" w14:paraId="180A9B73" w14:textId="77777777" w:rsidTr="001A69E6">
        <w:tc>
          <w:tcPr>
            <w:tcW w:w="1615" w:type="dxa"/>
          </w:tcPr>
          <w:p w14:paraId="7BD0F367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Socio economic Data</w:t>
            </w:r>
          </w:p>
        </w:tc>
        <w:tc>
          <w:tcPr>
            <w:tcW w:w="2250" w:type="dxa"/>
          </w:tcPr>
          <w:p w14:paraId="1A16AB3C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Population density, agricultural expansion, settlement growth</w:t>
            </w:r>
          </w:p>
        </w:tc>
        <w:tc>
          <w:tcPr>
            <w:tcW w:w="1980" w:type="dxa"/>
          </w:tcPr>
          <w:p w14:paraId="72B3D72A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District level statistics</w:t>
            </w:r>
          </w:p>
        </w:tc>
        <w:tc>
          <w:tcPr>
            <w:tcW w:w="1260" w:type="dxa"/>
          </w:tcPr>
          <w:p w14:paraId="78525333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1988–2025</w:t>
            </w:r>
          </w:p>
        </w:tc>
        <w:tc>
          <w:tcPr>
            <w:tcW w:w="2250" w:type="dxa"/>
          </w:tcPr>
          <w:p w14:paraId="094ECFEE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Identifying anthropogenic drivers of forest change</w:t>
            </w:r>
          </w:p>
        </w:tc>
        <w:tc>
          <w:tcPr>
            <w:tcW w:w="1985" w:type="dxa"/>
          </w:tcPr>
          <w:p w14:paraId="2F8B8F70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Bangladesh Bureau of Statistics (BBS)</w:t>
            </w:r>
          </w:p>
        </w:tc>
      </w:tr>
      <w:tr w:rsidR="00F81B8E" w:rsidRPr="00F81B8E" w14:paraId="23497768" w14:textId="77777777" w:rsidTr="001A69E6">
        <w:tc>
          <w:tcPr>
            <w:tcW w:w="1615" w:type="dxa"/>
          </w:tcPr>
          <w:p w14:paraId="69FA437F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Historical Land Use Maps</w:t>
            </w:r>
          </w:p>
        </w:tc>
        <w:tc>
          <w:tcPr>
            <w:tcW w:w="2250" w:type="dxa"/>
          </w:tcPr>
          <w:p w14:paraId="40FC4C3C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Forest management zones, protected areas</w:t>
            </w:r>
          </w:p>
        </w:tc>
        <w:tc>
          <w:tcPr>
            <w:tcW w:w="1980" w:type="dxa"/>
          </w:tcPr>
          <w:p w14:paraId="2A055F42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Regional maps</w:t>
            </w:r>
          </w:p>
        </w:tc>
        <w:tc>
          <w:tcPr>
            <w:tcW w:w="1260" w:type="dxa"/>
          </w:tcPr>
          <w:p w14:paraId="2B242911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1988–2025</w:t>
            </w:r>
          </w:p>
        </w:tc>
        <w:tc>
          <w:tcPr>
            <w:tcW w:w="2250" w:type="dxa"/>
          </w:tcPr>
          <w:p w14:paraId="25482C99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Validation of classification outputs and management context</w:t>
            </w:r>
          </w:p>
        </w:tc>
        <w:tc>
          <w:tcPr>
            <w:tcW w:w="1985" w:type="dxa"/>
          </w:tcPr>
          <w:p w14:paraId="5CE39EA1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Bangladesh Forest Department</w:t>
            </w:r>
          </w:p>
        </w:tc>
      </w:tr>
      <w:tr w:rsidR="00F81B8E" w:rsidRPr="00F81B8E" w14:paraId="508B239D" w14:textId="77777777" w:rsidTr="001A69E6">
        <w:tc>
          <w:tcPr>
            <w:tcW w:w="1615" w:type="dxa"/>
          </w:tcPr>
          <w:p w14:paraId="5476A05B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Ground Truth Data</w:t>
            </w:r>
          </w:p>
        </w:tc>
        <w:tc>
          <w:tcPr>
            <w:tcW w:w="2250" w:type="dxa"/>
          </w:tcPr>
          <w:p w14:paraId="65F29926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GPS points, participatory mapping</w:t>
            </w:r>
          </w:p>
        </w:tc>
        <w:tc>
          <w:tcPr>
            <w:tcW w:w="1980" w:type="dxa"/>
          </w:tcPr>
          <w:p w14:paraId="26EA3BB2" w14:textId="7DD3FBD7" w:rsidR="00604835" w:rsidRPr="00F81B8E" w:rsidRDefault="00F43FD2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</w:t>
            </w:r>
            <w:r w:rsidR="00604835"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50 points</w:t>
            </w:r>
          </w:p>
        </w:tc>
        <w:tc>
          <w:tcPr>
            <w:tcW w:w="1260" w:type="dxa"/>
          </w:tcPr>
          <w:p w14:paraId="0300DCEE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2025</w:t>
            </w:r>
          </w:p>
        </w:tc>
        <w:tc>
          <w:tcPr>
            <w:tcW w:w="2250" w:type="dxa"/>
          </w:tcPr>
          <w:p w14:paraId="532851F4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Accuracy assessment of classification outputs</w:t>
            </w:r>
          </w:p>
        </w:tc>
        <w:tc>
          <w:tcPr>
            <w:tcW w:w="1985" w:type="dxa"/>
          </w:tcPr>
          <w:p w14:paraId="4CDCE006" w14:textId="77777777" w:rsidR="00604835" w:rsidRPr="00F81B8E" w:rsidRDefault="00604835" w:rsidP="001A69E6">
            <w:pPr>
              <w:spacing w:line="360" w:lineRule="auto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Field surveys, local communities</w:t>
            </w:r>
          </w:p>
        </w:tc>
      </w:tr>
    </w:tbl>
    <w:p w14:paraId="04E22B4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1A49F54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D6B4970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23A1EF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4780A0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877D2AD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3B3822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1E57CE3B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C859C50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1C0B074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3A33C8C" w14:textId="6F75FA2A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lastRenderedPageBreak/>
        <w:t>Table S2.</w:t>
      </w:r>
      <w:r w:rsidRPr="00F81B8E">
        <w:rPr>
          <w:rFonts w:ascii="Arial" w:hAnsi="Arial" w:cs="Arial"/>
          <w:color w:val="0D0D0D" w:themeColor="text1" w:themeTint="F2"/>
        </w:rPr>
        <w:t xml:space="preserve"> Confusion matrix for 2025 land</w:t>
      </w:r>
      <w:r w:rsidRPr="00F81B8E">
        <w:rPr>
          <w:rFonts w:ascii="Arial" w:hAnsi="Arial" w:cs="Arial"/>
          <w:color w:val="0D0D0D" w:themeColor="text1" w:themeTint="F2"/>
        </w:rPr>
        <w:noBreakHyphen/>
        <w:t>cover classification.</w:t>
      </w:r>
    </w:p>
    <w:tbl>
      <w:tblPr>
        <w:tblStyle w:val="TableGrid"/>
        <w:tblW w:w="9455" w:type="dxa"/>
        <w:tblInd w:w="-27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990"/>
        <w:gridCol w:w="979"/>
        <w:gridCol w:w="1283"/>
        <w:gridCol w:w="1346"/>
        <w:gridCol w:w="2332"/>
      </w:tblGrid>
      <w:tr w:rsidR="00F81B8E" w:rsidRPr="00F81B8E" w14:paraId="573D45F0" w14:textId="77777777" w:rsidTr="001A69E6"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</w:tcPr>
          <w:p w14:paraId="5856CD6E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Reference Class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513D77F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Forest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53ED125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Shrub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</w:tcPr>
          <w:p w14:paraId="45EA402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Agriculture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46ABC52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Bare Land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14:paraId="46B635D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User’s Accuracy (%)</w:t>
            </w:r>
          </w:p>
        </w:tc>
      </w:tr>
      <w:tr w:rsidR="00F81B8E" w:rsidRPr="00F81B8E" w14:paraId="3D5B8F16" w14:textId="77777777" w:rsidTr="001A69E6">
        <w:tc>
          <w:tcPr>
            <w:tcW w:w="2525" w:type="dxa"/>
            <w:tcBorders>
              <w:top w:val="single" w:sz="4" w:space="0" w:color="auto"/>
            </w:tcBorders>
          </w:tcPr>
          <w:p w14:paraId="64B0DC2E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Forest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FFBC24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47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2859EBE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1CBBAE0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670EE88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41FA60A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90.4</w:t>
            </w:r>
          </w:p>
        </w:tc>
      </w:tr>
      <w:tr w:rsidR="00F81B8E" w:rsidRPr="00F81B8E" w14:paraId="63DD11CD" w14:textId="77777777" w:rsidTr="001A69E6">
        <w:tc>
          <w:tcPr>
            <w:tcW w:w="2525" w:type="dxa"/>
          </w:tcPr>
          <w:p w14:paraId="7C8D0858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Shrub </w:t>
            </w:r>
          </w:p>
        </w:tc>
        <w:tc>
          <w:tcPr>
            <w:tcW w:w="990" w:type="dxa"/>
          </w:tcPr>
          <w:p w14:paraId="4986118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979" w:type="dxa"/>
          </w:tcPr>
          <w:p w14:paraId="375A4D5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152</w:t>
            </w:r>
          </w:p>
        </w:tc>
        <w:tc>
          <w:tcPr>
            <w:tcW w:w="1283" w:type="dxa"/>
          </w:tcPr>
          <w:p w14:paraId="1E54F2E5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346" w:type="dxa"/>
          </w:tcPr>
          <w:p w14:paraId="3BF70632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2332" w:type="dxa"/>
          </w:tcPr>
          <w:p w14:paraId="0EB57F3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96.2</w:t>
            </w:r>
          </w:p>
        </w:tc>
      </w:tr>
      <w:tr w:rsidR="00F81B8E" w:rsidRPr="00F81B8E" w14:paraId="63983373" w14:textId="77777777" w:rsidTr="001A69E6">
        <w:tc>
          <w:tcPr>
            <w:tcW w:w="2525" w:type="dxa"/>
          </w:tcPr>
          <w:p w14:paraId="3300DC9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Agriculture </w:t>
            </w:r>
          </w:p>
        </w:tc>
        <w:tc>
          <w:tcPr>
            <w:tcW w:w="990" w:type="dxa"/>
          </w:tcPr>
          <w:p w14:paraId="431C1F2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79" w:type="dxa"/>
          </w:tcPr>
          <w:p w14:paraId="28E48DF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283" w:type="dxa"/>
          </w:tcPr>
          <w:p w14:paraId="6325F77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1346" w:type="dxa"/>
          </w:tcPr>
          <w:p w14:paraId="4292A04A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332" w:type="dxa"/>
          </w:tcPr>
          <w:p w14:paraId="0E1C027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88.9</w:t>
            </w:r>
          </w:p>
        </w:tc>
      </w:tr>
      <w:tr w:rsidR="00F81B8E" w:rsidRPr="00F81B8E" w14:paraId="1E2BD330" w14:textId="77777777" w:rsidTr="009F7B53">
        <w:tc>
          <w:tcPr>
            <w:tcW w:w="2525" w:type="dxa"/>
            <w:tcBorders>
              <w:bottom w:val="nil"/>
            </w:tcBorders>
          </w:tcPr>
          <w:p w14:paraId="60FAABE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Bare Land </w:t>
            </w:r>
          </w:p>
        </w:tc>
        <w:tc>
          <w:tcPr>
            <w:tcW w:w="990" w:type="dxa"/>
            <w:tcBorders>
              <w:bottom w:val="nil"/>
            </w:tcBorders>
          </w:tcPr>
          <w:p w14:paraId="0BA190B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79" w:type="dxa"/>
            <w:tcBorders>
              <w:bottom w:val="nil"/>
            </w:tcBorders>
          </w:tcPr>
          <w:p w14:paraId="50388CA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bottom w:val="nil"/>
            </w:tcBorders>
          </w:tcPr>
          <w:p w14:paraId="2477A40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346" w:type="dxa"/>
            <w:tcBorders>
              <w:bottom w:val="nil"/>
            </w:tcBorders>
          </w:tcPr>
          <w:p w14:paraId="1CDD5CF8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27</w:t>
            </w:r>
          </w:p>
        </w:tc>
        <w:tc>
          <w:tcPr>
            <w:tcW w:w="2332" w:type="dxa"/>
            <w:tcBorders>
              <w:bottom w:val="nil"/>
            </w:tcBorders>
          </w:tcPr>
          <w:p w14:paraId="73444C3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87.1</w:t>
            </w:r>
          </w:p>
        </w:tc>
      </w:tr>
      <w:tr w:rsidR="00F81B8E" w:rsidRPr="00F81B8E" w14:paraId="1B9A6453" w14:textId="77777777" w:rsidTr="009F7B53">
        <w:tc>
          <w:tcPr>
            <w:tcW w:w="2525" w:type="dxa"/>
            <w:tcBorders>
              <w:top w:val="nil"/>
              <w:bottom w:val="single" w:sz="4" w:space="0" w:color="auto"/>
            </w:tcBorders>
          </w:tcPr>
          <w:p w14:paraId="125194C2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Producer’s Accuracy (%)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5EC4926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94</w:t>
            </w: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14:paraId="3631F8B3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95</w:t>
            </w: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</w:tcPr>
          <w:p w14:paraId="361EBF1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80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14:paraId="5495F447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90</w:t>
            </w:r>
          </w:p>
        </w:tc>
        <w:tc>
          <w:tcPr>
            <w:tcW w:w="2332" w:type="dxa"/>
            <w:tcBorders>
              <w:top w:val="nil"/>
              <w:bottom w:val="single" w:sz="4" w:space="0" w:color="auto"/>
            </w:tcBorders>
          </w:tcPr>
          <w:p w14:paraId="17C92B9A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—</w:t>
            </w:r>
          </w:p>
        </w:tc>
      </w:tr>
    </w:tbl>
    <w:p w14:paraId="0D07928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56F13CC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15AE0C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62D3E1A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0F4FA9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9A2248D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3A55DC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53DBAC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E4C43A5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58C8C4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491BFEA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1AD4633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529BEBF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B58873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EDFF5C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CBCBDB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552586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B6FE902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FFB0A2C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68D1EBB" w14:textId="5F4AB47D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lastRenderedPageBreak/>
        <w:t>Table S3.</w:t>
      </w:r>
      <w:r w:rsidRPr="00F81B8E">
        <w:rPr>
          <w:rFonts w:ascii="Arial" w:hAnsi="Arial" w:cs="Arial"/>
          <w:color w:val="0D0D0D" w:themeColor="text1" w:themeTint="F2"/>
        </w:rPr>
        <w:t xml:space="preserve"> Model performance metrics for LSTM forecasting.</w:t>
      </w:r>
    </w:p>
    <w:tbl>
      <w:tblPr>
        <w:tblStyle w:val="TableGrid"/>
        <w:tblW w:w="0" w:type="auto"/>
        <w:tblInd w:w="-36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353"/>
        <w:gridCol w:w="1460"/>
        <w:gridCol w:w="1447"/>
        <w:gridCol w:w="1356"/>
        <w:gridCol w:w="1356"/>
      </w:tblGrid>
      <w:tr w:rsidR="00F81B8E" w:rsidRPr="00F81B8E" w14:paraId="1B3283FE" w14:textId="77777777" w:rsidTr="001A69E6"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EE0D60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Dataset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14:paraId="327FD28A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RMSE (km²)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6CBCC59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MAE (km²)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0F5C478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R²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0F7EFE7F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MAPE (%)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15F60BE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F1 Score</w:t>
            </w:r>
          </w:p>
        </w:tc>
      </w:tr>
      <w:tr w:rsidR="00F81B8E" w:rsidRPr="00F81B8E" w14:paraId="720B11FB" w14:textId="77777777" w:rsidTr="001A69E6">
        <w:tc>
          <w:tcPr>
            <w:tcW w:w="2409" w:type="dxa"/>
            <w:tcBorders>
              <w:top w:val="single" w:sz="4" w:space="0" w:color="auto"/>
            </w:tcBorders>
          </w:tcPr>
          <w:p w14:paraId="7BFE652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Training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697BD77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0.35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4F050C8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0.25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0FBD6D6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0.96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711AFFA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5.2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33CD9CF4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0.91</w:t>
            </w:r>
          </w:p>
        </w:tc>
      </w:tr>
      <w:tr w:rsidR="00F81B8E" w:rsidRPr="00F81B8E" w14:paraId="0A68F8ED" w14:textId="77777777" w:rsidTr="001A69E6">
        <w:tc>
          <w:tcPr>
            <w:tcW w:w="2409" w:type="dxa"/>
          </w:tcPr>
          <w:p w14:paraId="2DBDC61E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Validation</w:t>
            </w:r>
          </w:p>
        </w:tc>
        <w:tc>
          <w:tcPr>
            <w:tcW w:w="1353" w:type="dxa"/>
          </w:tcPr>
          <w:p w14:paraId="64663128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0.48</w:t>
            </w:r>
          </w:p>
        </w:tc>
        <w:tc>
          <w:tcPr>
            <w:tcW w:w="1460" w:type="dxa"/>
          </w:tcPr>
          <w:p w14:paraId="3F78B794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0.34</w:t>
            </w:r>
          </w:p>
        </w:tc>
        <w:tc>
          <w:tcPr>
            <w:tcW w:w="1447" w:type="dxa"/>
          </w:tcPr>
          <w:p w14:paraId="15277FC3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0.93</w:t>
            </w:r>
          </w:p>
        </w:tc>
        <w:tc>
          <w:tcPr>
            <w:tcW w:w="1356" w:type="dxa"/>
          </w:tcPr>
          <w:p w14:paraId="275D0AE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6.5</w:t>
            </w:r>
          </w:p>
        </w:tc>
        <w:tc>
          <w:tcPr>
            <w:tcW w:w="1356" w:type="dxa"/>
          </w:tcPr>
          <w:p w14:paraId="3777CFB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0.89</w:t>
            </w:r>
          </w:p>
        </w:tc>
      </w:tr>
      <w:tr w:rsidR="00F81B8E" w:rsidRPr="00F81B8E" w14:paraId="6EC69AF5" w14:textId="77777777" w:rsidTr="001A69E6">
        <w:tc>
          <w:tcPr>
            <w:tcW w:w="2409" w:type="dxa"/>
          </w:tcPr>
          <w:p w14:paraId="78225437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Projection (2025–2050)</w:t>
            </w:r>
          </w:p>
        </w:tc>
        <w:tc>
          <w:tcPr>
            <w:tcW w:w="1353" w:type="dxa"/>
          </w:tcPr>
          <w:p w14:paraId="5805C40E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0.62</w:t>
            </w:r>
          </w:p>
        </w:tc>
        <w:tc>
          <w:tcPr>
            <w:tcW w:w="1460" w:type="dxa"/>
          </w:tcPr>
          <w:p w14:paraId="703F3383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0.41</w:t>
            </w:r>
          </w:p>
        </w:tc>
        <w:tc>
          <w:tcPr>
            <w:tcW w:w="1447" w:type="dxa"/>
          </w:tcPr>
          <w:p w14:paraId="43A80E0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0.91</w:t>
            </w:r>
          </w:p>
        </w:tc>
        <w:tc>
          <w:tcPr>
            <w:tcW w:w="1356" w:type="dxa"/>
          </w:tcPr>
          <w:p w14:paraId="212F93B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7.8</w:t>
            </w:r>
          </w:p>
        </w:tc>
        <w:tc>
          <w:tcPr>
            <w:tcW w:w="1356" w:type="dxa"/>
          </w:tcPr>
          <w:p w14:paraId="3943880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0.88</w:t>
            </w:r>
          </w:p>
        </w:tc>
      </w:tr>
    </w:tbl>
    <w:p w14:paraId="5433931A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599F2E13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color w:val="0D0D0D" w:themeColor="text1" w:themeTint="F2"/>
        </w:rPr>
      </w:pPr>
    </w:p>
    <w:p w14:paraId="6F061A3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672D44A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374CB63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264AE090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597BEF4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BD4D769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B02E8D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0BCE72D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6C808D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05B4C45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15C6D72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6334607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3394F5C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710109D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68D76894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1C1AD01C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28A68F3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0C3309BF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AB782BE" w14:textId="12E8E8AE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  <w:r w:rsidRPr="00F81B8E">
        <w:rPr>
          <w:rFonts w:ascii="Arial" w:hAnsi="Arial" w:cs="Arial"/>
          <w:b/>
          <w:bCs/>
          <w:color w:val="0D0D0D" w:themeColor="text1" w:themeTint="F2"/>
        </w:rPr>
        <w:lastRenderedPageBreak/>
        <w:t xml:space="preserve">Table S4. </w:t>
      </w:r>
      <w:r w:rsidRPr="00F81B8E">
        <w:rPr>
          <w:rFonts w:ascii="Arial" w:hAnsi="Arial" w:cs="Arial"/>
          <w:color w:val="0D0D0D" w:themeColor="text1" w:themeTint="F2"/>
        </w:rPr>
        <w:t>Scenario assumptions for Business as Usual (BAU) and Strict Protection (SP) projections.</w:t>
      </w:r>
    </w:p>
    <w:tbl>
      <w:tblPr>
        <w:tblStyle w:val="TableGrid"/>
        <w:tblW w:w="10170" w:type="dxa"/>
        <w:tblInd w:w="-45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3775"/>
        <w:gridCol w:w="4050"/>
      </w:tblGrid>
      <w:tr w:rsidR="00F81B8E" w:rsidRPr="00F81B8E" w14:paraId="2DF930DC" w14:textId="77777777" w:rsidTr="001A69E6"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14:paraId="7D1F85D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Assumption Category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</w:tcBorders>
          </w:tcPr>
          <w:p w14:paraId="3D5D981D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Business as Usual (BAU)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AA16DA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Strict Protection (SP)</w:t>
            </w:r>
          </w:p>
        </w:tc>
      </w:tr>
      <w:tr w:rsidR="00F81B8E" w:rsidRPr="00F81B8E" w14:paraId="1DBD6FC4" w14:textId="77777777" w:rsidTr="001A69E6">
        <w:tc>
          <w:tcPr>
            <w:tcW w:w="2345" w:type="dxa"/>
            <w:tcBorders>
              <w:top w:val="single" w:sz="4" w:space="0" w:color="auto"/>
            </w:tcBorders>
          </w:tcPr>
          <w:p w14:paraId="4BD4257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Deforestation rate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24AD186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Continues at ~1–2% per year, driven by agriculture and fuelwood extraction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1F8DCB5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Reduced to &lt;0.5% per year through strict enforcement</w:t>
            </w:r>
          </w:p>
        </w:tc>
      </w:tr>
      <w:tr w:rsidR="00F81B8E" w:rsidRPr="00F81B8E" w14:paraId="59FF6A78" w14:textId="77777777" w:rsidTr="001A69E6">
        <w:tc>
          <w:tcPr>
            <w:tcW w:w="2345" w:type="dxa"/>
          </w:tcPr>
          <w:p w14:paraId="0775726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Forest regeneration</w:t>
            </w:r>
          </w:p>
        </w:tc>
        <w:tc>
          <w:tcPr>
            <w:tcW w:w="3775" w:type="dxa"/>
          </w:tcPr>
          <w:p w14:paraId="3FB33FE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Minimal natural regeneration (~0.1 km²/year), insufficient to offset losses</w:t>
            </w:r>
          </w:p>
        </w:tc>
        <w:tc>
          <w:tcPr>
            <w:tcW w:w="4050" w:type="dxa"/>
          </w:tcPr>
          <w:p w14:paraId="5AA729E7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Active regeneration programs (~0.5–1 km²/year) with assisted planting</w:t>
            </w:r>
          </w:p>
        </w:tc>
      </w:tr>
      <w:tr w:rsidR="00F81B8E" w:rsidRPr="00F81B8E" w14:paraId="3E5B0B9B" w14:textId="77777777" w:rsidTr="001A69E6">
        <w:tc>
          <w:tcPr>
            <w:tcW w:w="2345" w:type="dxa"/>
          </w:tcPr>
          <w:p w14:paraId="36A4587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Legal protection</w:t>
            </w:r>
          </w:p>
        </w:tc>
        <w:tc>
          <w:tcPr>
            <w:tcW w:w="3775" w:type="dxa"/>
          </w:tcPr>
          <w:p w14:paraId="59E34D2F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Weak enforcement of existing laws; encroachment persists</w:t>
            </w:r>
          </w:p>
        </w:tc>
        <w:tc>
          <w:tcPr>
            <w:tcW w:w="4050" w:type="dxa"/>
          </w:tcPr>
          <w:p w14:paraId="0014F080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Strong enforcement of forest laws; expansion of protected areas</w:t>
            </w:r>
          </w:p>
        </w:tc>
      </w:tr>
      <w:tr w:rsidR="00F81B8E" w:rsidRPr="00F81B8E" w14:paraId="0BD1578A" w14:textId="77777777" w:rsidTr="001A69E6">
        <w:tc>
          <w:tcPr>
            <w:tcW w:w="2345" w:type="dxa"/>
          </w:tcPr>
          <w:p w14:paraId="45D9207C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Anthropogenic pressure</w:t>
            </w:r>
          </w:p>
        </w:tc>
        <w:tc>
          <w:tcPr>
            <w:tcW w:w="3775" w:type="dxa"/>
          </w:tcPr>
          <w:p w14:paraId="35C02118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High, due to population growth, shifting cultivation, and fuelwood demand</w:t>
            </w:r>
          </w:p>
        </w:tc>
        <w:tc>
          <w:tcPr>
            <w:tcW w:w="4050" w:type="dxa"/>
          </w:tcPr>
          <w:p w14:paraId="26C26CB6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Controlled, with alternative livelihoods and reduced dependency</w:t>
            </w:r>
          </w:p>
        </w:tc>
      </w:tr>
      <w:tr w:rsidR="00F81B8E" w:rsidRPr="00F81B8E" w14:paraId="6C5411B0" w14:textId="77777777" w:rsidTr="001A69E6">
        <w:tc>
          <w:tcPr>
            <w:tcW w:w="2345" w:type="dxa"/>
          </w:tcPr>
          <w:p w14:paraId="7917FF4E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Community involvement</w:t>
            </w:r>
          </w:p>
        </w:tc>
        <w:tc>
          <w:tcPr>
            <w:tcW w:w="3775" w:type="dxa"/>
          </w:tcPr>
          <w:p w14:paraId="28AA39B1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Limited participation; local communities often excluded from management</w:t>
            </w:r>
          </w:p>
        </w:tc>
        <w:tc>
          <w:tcPr>
            <w:tcW w:w="4050" w:type="dxa"/>
          </w:tcPr>
          <w:p w14:paraId="2573F393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Strong co management; community forestry and benefit sharing schemes</w:t>
            </w:r>
          </w:p>
        </w:tc>
      </w:tr>
      <w:tr w:rsidR="00F81B8E" w:rsidRPr="00F81B8E" w14:paraId="07262B03" w14:textId="77777777" w:rsidTr="001A69E6">
        <w:tc>
          <w:tcPr>
            <w:tcW w:w="2345" w:type="dxa"/>
          </w:tcPr>
          <w:p w14:paraId="70376B1F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Projected forest cover by 2050</w:t>
            </w:r>
          </w:p>
        </w:tc>
        <w:tc>
          <w:tcPr>
            <w:tcW w:w="3775" w:type="dxa"/>
          </w:tcPr>
          <w:p w14:paraId="19156A8B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~8% (~8.5 km²) — fragmented patches</w:t>
            </w:r>
          </w:p>
        </w:tc>
        <w:tc>
          <w:tcPr>
            <w:tcW w:w="4050" w:type="dxa"/>
          </w:tcPr>
          <w:p w14:paraId="65A507B9" w14:textId="77777777" w:rsidR="00604835" w:rsidRPr="00F81B8E" w:rsidRDefault="00604835" w:rsidP="001A69E6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1B8E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~33% (~35.1 km²) — stabilized and regenerating forest</w:t>
            </w:r>
          </w:p>
        </w:tc>
      </w:tr>
    </w:tbl>
    <w:p w14:paraId="5E4CCDA8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37A8F61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4FDB64EA" w14:textId="77777777" w:rsidR="00604835" w:rsidRPr="00F81B8E" w:rsidRDefault="00604835" w:rsidP="00604835">
      <w:pPr>
        <w:spacing w:after="0" w:line="480" w:lineRule="auto"/>
        <w:jc w:val="both"/>
        <w:rPr>
          <w:rFonts w:ascii="Arial" w:hAnsi="Arial" w:cs="Arial"/>
          <w:b/>
          <w:bCs/>
          <w:color w:val="0D0D0D" w:themeColor="text1" w:themeTint="F2"/>
        </w:rPr>
      </w:pPr>
    </w:p>
    <w:p w14:paraId="117DB105" w14:textId="77777777" w:rsidR="00604835" w:rsidRPr="00F81B8E" w:rsidRDefault="00604835">
      <w:pPr>
        <w:rPr>
          <w:rFonts w:ascii="Arial" w:hAnsi="Arial" w:cs="Arial"/>
          <w:color w:val="0D0D0D" w:themeColor="text1" w:themeTint="F2"/>
        </w:rPr>
      </w:pPr>
    </w:p>
    <w:sectPr w:rsidR="00604835" w:rsidRPr="00F81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DA"/>
    <w:rsid w:val="00113C51"/>
    <w:rsid w:val="002C1E85"/>
    <w:rsid w:val="00364706"/>
    <w:rsid w:val="00443F56"/>
    <w:rsid w:val="005F0E64"/>
    <w:rsid w:val="00604835"/>
    <w:rsid w:val="00853641"/>
    <w:rsid w:val="0085757C"/>
    <w:rsid w:val="009D076F"/>
    <w:rsid w:val="009F7B53"/>
    <w:rsid w:val="00A42323"/>
    <w:rsid w:val="00B32582"/>
    <w:rsid w:val="00B62FDA"/>
    <w:rsid w:val="00BD0C38"/>
    <w:rsid w:val="00C44A49"/>
    <w:rsid w:val="00CA63C4"/>
    <w:rsid w:val="00CE55BD"/>
    <w:rsid w:val="00CE738B"/>
    <w:rsid w:val="00F43FD2"/>
    <w:rsid w:val="00F71C2A"/>
    <w:rsid w:val="00F8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A500"/>
  <w15:chartTrackingRefBased/>
  <w15:docId w15:val="{A20D2444-B21F-4E84-88E8-1252B93F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F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Niamjit Das</dc:creator>
  <cp:keywords/>
  <dc:description/>
  <cp:lastModifiedBy>Niamjit Das</cp:lastModifiedBy>
  <cp:revision>15</cp:revision>
  <dcterms:created xsi:type="dcterms:W3CDTF">2026-07-11T13:41:00Z</dcterms:created>
  <dcterms:modified xsi:type="dcterms:W3CDTF">2026-07-31T16:04:00Z</dcterms:modified>
</cp:coreProperties>
</file>