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183C8599" w:rsidP="001E679D" w:rsidRDefault="183C8599" w14:paraId="45126AEF" w14:textId="6B46FF2A">
      <w:pPr>
        <w:pStyle w:val="Heading1"/>
      </w:pPr>
      <w:r w:rsidRPr="4BB01474">
        <w:t>Supplementary Material 3</w:t>
      </w:r>
    </w:p>
    <w:p w:rsidR="001E679D" w:rsidP="00292865" w:rsidRDefault="001E679D" w14:paraId="01CFBBF8" w14:textId="77777777">
      <w:pPr>
        <w:spacing w:line="360" w:lineRule="auto"/>
        <w:rPr>
          <w:sz w:val="24"/>
          <w:szCs w:val="24"/>
        </w:rPr>
      </w:pPr>
    </w:p>
    <w:p w:rsidR="001E679D" w:rsidP="001E679D" w:rsidRDefault="001E679D" w14:paraId="31D7C779" w14:textId="7210B228">
      <w:pPr>
        <w:pStyle w:val="Heading2"/>
      </w:pPr>
      <w:r>
        <w:t>GRACE Evaluation</w:t>
      </w:r>
    </w:p>
    <w:p w:rsidR="001E679D" w:rsidP="00292865" w:rsidRDefault="00292865" w14:paraId="7C0DD181" w14:textId="781BAF74">
      <w:pPr>
        <w:spacing w:line="360" w:lineRule="auto"/>
        <w:rPr>
          <w:sz w:val="24"/>
          <w:szCs w:val="24"/>
        </w:rPr>
      </w:pPr>
      <w:proofErr w:type="gramStart"/>
      <w:r w:rsidRPr="0046709A">
        <w:rPr>
          <w:sz w:val="24"/>
          <w:szCs w:val="24"/>
        </w:rPr>
        <w:t>Grounded Review and Assessment of Computational Evidence (GRACE) framework,</w:t>
      </w:r>
      <w:proofErr w:type="gramEnd"/>
      <w:r w:rsidR="001E679D">
        <w:rPr>
          <w:sz w:val="24"/>
          <w:szCs w:val="24"/>
        </w:rPr>
        <w:t xml:space="preserve"> is</w:t>
      </w:r>
      <w:r w:rsidRPr="0046709A">
        <w:rPr>
          <w:sz w:val="24"/>
          <w:szCs w:val="24"/>
        </w:rPr>
        <w:t xml:space="preserve"> a human-centred reflexive framework for evaluating quality of outputs generated by NLP-based topic modelling</w:t>
      </w:r>
      <w:r>
        <w:rPr>
          <w:sz w:val="24"/>
          <w:szCs w:val="24"/>
        </w:rPr>
        <w:t xml:space="preserve">. </w:t>
      </w:r>
      <w:r w:rsidR="00C47AE4">
        <w:rPr>
          <w:sz w:val="24"/>
          <w:szCs w:val="24"/>
        </w:rPr>
        <w:t>GRACE</w:t>
      </w:r>
      <w:r w:rsidR="001E679D">
        <w:rPr>
          <w:sz w:val="24"/>
          <w:szCs w:val="24"/>
        </w:rPr>
        <w:t xml:space="preserve"> </w:t>
      </w:r>
      <w:r w:rsidR="005C5773">
        <w:rPr>
          <w:sz w:val="24"/>
          <w:szCs w:val="24"/>
        </w:rPr>
        <w:t xml:space="preserve">has been published as a pre-print and is currently under review. Please see - </w:t>
      </w:r>
      <w:r w:rsidRPr="006868B8" w:rsidR="006868B8">
        <w:rPr>
          <w:sz w:val="24"/>
          <w:szCs w:val="24"/>
        </w:rPr>
        <w:t>DOI:</w:t>
      </w:r>
      <w:r w:rsidR="006868B8">
        <w:rPr>
          <w:sz w:val="24"/>
          <w:szCs w:val="24"/>
        </w:rPr>
        <w:t xml:space="preserve"> </w:t>
      </w:r>
      <w:hyperlink w:history="1" r:id="rId5">
        <w:r w:rsidRPr="002F7F3D" w:rsidR="004C31B5">
          <w:rPr>
            <w:rStyle w:val="Hyperlink"/>
            <w:sz w:val="24"/>
            <w:szCs w:val="24"/>
          </w:rPr>
          <w:t>https://preprints.jmir.org/preprint/91433</w:t>
        </w:r>
      </w:hyperlink>
      <w:r w:rsidR="004C31B5">
        <w:rPr>
          <w:sz w:val="24"/>
          <w:szCs w:val="24"/>
        </w:rPr>
        <w:t xml:space="preserve"> </w:t>
      </w:r>
    </w:p>
    <w:p w:rsidR="00DB3148" w:rsidP="00292865" w:rsidRDefault="00C47AE4" w14:paraId="121AF716" w14:textId="5CEFF6DA">
      <w:pPr>
        <w:spacing w:line="360" w:lineRule="auto"/>
        <w:rPr>
          <w:sz w:val="24"/>
          <w:szCs w:val="24"/>
        </w:rPr>
      </w:pPr>
      <w:r>
        <w:rPr>
          <w:sz w:val="24"/>
          <w:szCs w:val="24"/>
        </w:rPr>
        <w:t>GRACE includes</w:t>
      </w:r>
      <w:r w:rsidR="00292865">
        <w:rPr>
          <w:sz w:val="24"/>
          <w:szCs w:val="24"/>
        </w:rPr>
        <w:t xml:space="preserve"> 15 items</w:t>
      </w:r>
      <w:r w:rsidRPr="0046709A" w:rsidR="00292865">
        <w:rPr>
          <w:sz w:val="24"/>
          <w:szCs w:val="24"/>
        </w:rPr>
        <w:t xml:space="preserve"> centred around four domains: interpretability, actionability, nuance, and redundancy. </w:t>
      </w:r>
      <w:r w:rsidR="00DB3148">
        <w:rPr>
          <w:sz w:val="24"/>
          <w:szCs w:val="24"/>
        </w:rPr>
        <w:t xml:space="preserve">Please see the table below for </w:t>
      </w:r>
      <w:r w:rsidR="00D60937">
        <w:rPr>
          <w:sz w:val="24"/>
          <w:szCs w:val="24"/>
        </w:rPr>
        <w:t>items which are sc</w:t>
      </w:r>
      <w:r w:rsidR="00CB7A61">
        <w:rPr>
          <w:sz w:val="24"/>
          <w:szCs w:val="24"/>
        </w:rPr>
        <w:t xml:space="preserve">ored out of </w:t>
      </w:r>
      <w:r w:rsidR="00B41FDF">
        <w:rPr>
          <w:sz w:val="24"/>
          <w:szCs w:val="24"/>
        </w:rPr>
        <w:t xml:space="preserve">5 using </w:t>
      </w:r>
      <w:r w:rsidR="00CB7A61">
        <w:rPr>
          <w:sz w:val="24"/>
          <w:szCs w:val="24"/>
        </w:rPr>
        <w:t xml:space="preserve">a </w:t>
      </w:r>
      <w:r w:rsidR="00B41FDF">
        <w:rPr>
          <w:sz w:val="24"/>
          <w:szCs w:val="24"/>
        </w:rPr>
        <w:t>Likert</w:t>
      </w:r>
      <w:r w:rsidR="00CB7A61">
        <w:rPr>
          <w:sz w:val="24"/>
          <w:szCs w:val="24"/>
        </w:rPr>
        <w:t xml:space="preserve"> scale </w:t>
      </w:r>
      <w:r w:rsidR="0093578D">
        <w:rPr>
          <w:sz w:val="24"/>
          <w:szCs w:val="24"/>
        </w:rPr>
        <w:t>‘Strongly disagree</w:t>
      </w:r>
      <w:r w:rsidR="00B41FDF">
        <w:rPr>
          <w:sz w:val="24"/>
          <w:szCs w:val="24"/>
        </w:rPr>
        <w:t>’ (1)</w:t>
      </w:r>
      <w:r w:rsidR="0093578D">
        <w:rPr>
          <w:sz w:val="24"/>
          <w:szCs w:val="24"/>
        </w:rPr>
        <w:t xml:space="preserve"> to </w:t>
      </w:r>
      <w:r w:rsidR="00B41FDF">
        <w:rPr>
          <w:sz w:val="24"/>
          <w:szCs w:val="24"/>
        </w:rPr>
        <w:t>‘</w:t>
      </w:r>
      <w:r w:rsidR="0093578D">
        <w:rPr>
          <w:sz w:val="24"/>
          <w:szCs w:val="24"/>
        </w:rPr>
        <w:t>strongly agree</w:t>
      </w:r>
      <w:r w:rsidR="004767A7">
        <w:rPr>
          <w:sz w:val="24"/>
          <w:szCs w:val="24"/>
        </w:rPr>
        <w:t>’</w:t>
      </w:r>
      <w:r w:rsidR="00B41FDF">
        <w:rPr>
          <w:sz w:val="24"/>
          <w:szCs w:val="24"/>
        </w:rPr>
        <w:t xml:space="preserve"> (5)</w:t>
      </w:r>
      <w:r w:rsidR="004767A7">
        <w:rPr>
          <w:sz w:val="24"/>
          <w:szCs w:val="24"/>
        </w:rPr>
        <w:t>.</w:t>
      </w:r>
      <w:r w:rsidRPr="00DB3148" w:rsidR="00DB3148">
        <w:rPr>
          <w:sz w:val="24"/>
          <w:szCs w:val="24"/>
        </w:rPr>
        <w:drawing>
          <wp:inline distT="0" distB="0" distL="0" distR="0" wp14:anchorId="45687F79" wp14:editId="1BCC455E">
            <wp:extent cx="5486400" cy="5417105"/>
            <wp:effectExtent l="0" t="0" r="0" b="0"/>
            <wp:docPr id="11708065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806558" name=""/>
                    <pic:cNvPicPr/>
                  </pic:nvPicPr>
                  <pic:blipFill>
                    <a:blip r:embed="rId6"/>
                    <a:stretch>
                      <a:fillRect/>
                    </a:stretch>
                  </pic:blipFill>
                  <pic:spPr>
                    <a:xfrm>
                      <a:off x="0" y="0"/>
                      <a:ext cx="5501290" cy="5431807"/>
                    </a:xfrm>
                    <a:prstGeom prst="rect">
                      <a:avLst/>
                    </a:prstGeom>
                  </pic:spPr>
                </pic:pic>
              </a:graphicData>
            </a:graphic>
          </wp:inline>
        </w:drawing>
      </w:r>
    </w:p>
    <w:p w:rsidR="0085729D" w:rsidP="0085729D" w:rsidRDefault="0085729D" w14:paraId="25BD37E2" w14:textId="280AD52E">
      <w:pPr>
        <w:pStyle w:val="Heading3"/>
      </w:pPr>
      <w:r>
        <w:t>Method</w:t>
      </w:r>
    </w:p>
    <w:p w:rsidR="00292865" w:rsidP="00292865" w:rsidRDefault="00292865" w14:paraId="00A9D4A5" w14:textId="22469FE6">
      <w:pPr>
        <w:spacing w:line="360" w:lineRule="auto"/>
        <w:rPr>
          <w:sz w:val="24"/>
          <w:szCs w:val="24"/>
        </w:rPr>
      </w:pPr>
      <w:r w:rsidRPr="31D28B08" w:rsidR="6CD5DABE">
        <w:rPr>
          <w:sz w:val="24"/>
          <w:szCs w:val="24"/>
        </w:rPr>
        <w:t>Following completion of the analytical process describe</w:t>
      </w:r>
      <w:r w:rsidRPr="31D28B08" w:rsidR="6CD5DABE">
        <w:rPr>
          <w:sz w:val="24"/>
          <w:szCs w:val="24"/>
        </w:rPr>
        <w:t>d</w:t>
      </w:r>
      <w:r w:rsidRPr="31D28B08" w:rsidR="6CD5DABE">
        <w:rPr>
          <w:sz w:val="24"/>
          <w:szCs w:val="24"/>
        </w:rPr>
        <w:t xml:space="preserve"> in Stage 4 </w:t>
      </w:r>
      <w:r w:rsidRPr="31D28B08" w:rsidR="2D4B4606">
        <w:rPr>
          <w:sz w:val="24"/>
          <w:szCs w:val="24"/>
        </w:rPr>
        <w:t>in the main paper</w:t>
      </w:r>
      <w:r w:rsidRPr="31D28B08" w:rsidR="6CD5DABE">
        <w:rPr>
          <w:sz w:val="24"/>
          <w:szCs w:val="24"/>
        </w:rPr>
        <w:t xml:space="preserve">, using the GRACE framework, </w:t>
      </w:r>
      <w:r w:rsidRPr="31D28B08" w:rsidR="2B8E6316">
        <w:rPr>
          <w:sz w:val="24"/>
          <w:szCs w:val="24"/>
        </w:rPr>
        <w:t>two researchers</w:t>
      </w:r>
      <w:r w:rsidRPr="31D28B08" w:rsidR="6CD5DABE">
        <w:rPr>
          <w:sz w:val="24"/>
          <w:szCs w:val="24"/>
        </w:rPr>
        <w:t xml:space="preserve"> independently scored the functionality of the model in each of the four domains and wrote notes justifying their scoring. They then met to discuss and come to a consensus of scoring and overall evaluation of functionality. </w:t>
      </w:r>
      <w:r w:rsidRPr="31D28B08" w:rsidR="03AC557B">
        <w:rPr>
          <w:sz w:val="24"/>
          <w:szCs w:val="24"/>
        </w:rPr>
        <w:t>The lead author</w:t>
      </w:r>
      <w:r w:rsidRPr="31D28B08" w:rsidR="6CD5DABE">
        <w:rPr>
          <w:sz w:val="24"/>
          <w:szCs w:val="24"/>
        </w:rPr>
        <w:t xml:space="preserve"> reviewed the scores, </w:t>
      </w:r>
      <w:r w:rsidRPr="31D28B08" w:rsidR="6CD5DABE">
        <w:rPr>
          <w:sz w:val="24"/>
          <w:szCs w:val="24"/>
        </w:rPr>
        <w:t>notes</w:t>
      </w:r>
      <w:r w:rsidRPr="31D28B08" w:rsidR="6CD5DABE">
        <w:rPr>
          <w:sz w:val="24"/>
          <w:szCs w:val="24"/>
        </w:rPr>
        <w:t xml:space="preserve"> and transcript of the meeting to complete the evaluation of quality of outputs. The outcome of this evaluation is discussed </w:t>
      </w:r>
      <w:r w:rsidRPr="31D28B08" w:rsidR="2D4B4606">
        <w:rPr>
          <w:sz w:val="24"/>
          <w:szCs w:val="24"/>
        </w:rPr>
        <w:t>below</w:t>
      </w:r>
      <w:r w:rsidRPr="31D28B08" w:rsidR="6CD5DABE">
        <w:rPr>
          <w:sz w:val="24"/>
          <w:szCs w:val="24"/>
        </w:rPr>
        <w:t>.</w:t>
      </w:r>
    </w:p>
    <w:p w:rsidRPr="00C47AE4" w:rsidR="00292865" w:rsidP="00C47AE4" w:rsidRDefault="00C47AE4" w14:paraId="6081C927" w14:textId="539462DE">
      <w:pPr>
        <w:pStyle w:val="Heading3"/>
      </w:pPr>
      <w:r w:rsidRPr="00C47AE4">
        <w:t>Findings</w:t>
      </w:r>
    </w:p>
    <w:p w:rsidRPr="00170D6A" w:rsidR="00292865" w:rsidP="00292865" w:rsidRDefault="00292865" w14:paraId="6E0ED44D" w14:textId="57F36823">
      <w:pPr>
        <w:spacing w:line="360" w:lineRule="auto"/>
        <w:rPr>
          <w:rFonts w:ascii="Aptos" w:hAnsi="Aptos" w:eastAsia="Aptos" w:cs="Aptos"/>
          <w:color w:val="000000" w:themeColor="text1"/>
          <w:sz w:val="24"/>
          <w:szCs w:val="24"/>
        </w:rPr>
      </w:pPr>
      <w:r w:rsidRPr="00170D6A">
        <w:rPr>
          <w:rFonts w:ascii="Aptos" w:hAnsi="Aptos" w:eastAsia="Aptos" w:cs="Aptos"/>
          <w:color w:val="000000" w:themeColor="text1"/>
          <w:sz w:val="24"/>
          <w:szCs w:val="24"/>
        </w:rPr>
        <w:t>T</w:t>
      </w:r>
      <w:r w:rsidR="00C47AE4">
        <w:rPr>
          <w:rFonts w:ascii="Aptos" w:hAnsi="Aptos" w:eastAsia="Aptos" w:cs="Aptos"/>
          <w:color w:val="000000" w:themeColor="text1"/>
          <w:sz w:val="24"/>
          <w:szCs w:val="24"/>
        </w:rPr>
        <w:t>he table below</w:t>
      </w:r>
      <w:r w:rsidRPr="00170D6A">
        <w:rPr>
          <w:rFonts w:ascii="Aptos" w:hAnsi="Aptos" w:eastAsia="Aptos" w:cs="Aptos"/>
          <w:color w:val="000000" w:themeColor="text1"/>
          <w:sz w:val="24"/>
          <w:szCs w:val="24"/>
        </w:rPr>
        <w:t xml:space="preserve"> summarises the GRACE evaluation of quality of NLP outputs. The evaluation showed high interpretability, with topics generally clear and easy to follow. Actionability was moderate to high, offering theoretical insights, but perhaps a lack of relevance for clinical or policy application. Nuance was moderate to high, capturing layered and contradictory perspectives, despite the limited depth of YouTube comments. Redundancy was low to moderate, with topics largely distinct and overlaps reflecting the complexity of the dataset rather than duplication.</w:t>
      </w:r>
      <w:r w:rsidR="00775C49">
        <w:rPr>
          <w:rFonts w:ascii="Aptos" w:hAnsi="Aptos" w:eastAsia="Aptos" w:cs="Aptos"/>
          <w:color w:val="000000" w:themeColor="text1"/>
          <w:sz w:val="24"/>
          <w:szCs w:val="24"/>
        </w:rPr>
        <w:t xml:space="preserve"> A summary of these findings is included in the ‘strengths and limi</w:t>
      </w:r>
      <w:r w:rsidR="005A3416">
        <w:rPr>
          <w:rFonts w:ascii="Aptos" w:hAnsi="Aptos" w:eastAsia="Aptos" w:cs="Aptos"/>
          <w:color w:val="000000" w:themeColor="text1"/>
          <w:sz w:val="24"/>
          <w:szCs w:val="24"/>
        </w:rPr>
        <w:t>tation’ section of the main paper.</w:t>
      </w:r>
    </w:p>
    <w:p w:rsidR="00292865" w:rsidP="00292865" w:rsidRDefault="00292865" w14:paraId="49F386D5" w14:textId="77777777">
      <w:pPr>
        <w:rPr>
          <w:rFonts w:ascii="Aptos" w:hAnsi="Aptos" w:eastAsia="Aptos" w:cs="Aptos"/>
          <w:color w:val="000000" w:themeColor="text1"/>
        </w:rPr>
      </w:pPr>
      <w:r>
        <w:rPr>
          <w:rFonts w:ascii="Aptos" w:hAnsi="Aptos" w:eastAsia="Aptos" w:cs="Aptos"/>
          <w:color w:val="000000" w:themeColor="text1"/>
        </w:rPr>
        <w:br w:type="page"/>
      </w:r>
    </w:p>
    <w:tbl>
      <w:tblPr>
        <w:tblW w:w="94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77"/>
        <w:gridCol w:w="1117"/>
        <w:gridCol w:w="6670"/>
      </w:tblGrid>
      <w:tr w:rsidRPr="00B903A9" w:rsidR="00292865" w:rsidTr="00456AE0" w14:paraId="73A7BDCA" w14:textId="77777777">
        <w:tc>
          <w:tcPr>
            <w:tcW w:w="9464" w:type="dxa"/>
            <w:gridSpan w:val="3"/>
          </w:tcPr>
          <w:p w:rsidR="00292865" w:rsidP="00456AE0" w:rsidRDefault="00292865" w14:paraId="1E8872C5" w14:textId="5964050E">
            <w:pPr>
              <w:rPr>
                <w:rFonts w:ascii="Aptos" w:hAnsi="Aptos"/>
                <w:b/>
                <w:bCs/>
                <w:sz w:val="20"/>
                <w:szCs w:val="20"/>
              </w:rPr>
            </w:pPr>
            <w:r>
              <w:rPr>
                <w:rFonts w:ascii="Aptos" w:hAnsi="Aptos"/>
                <w:b/>
                <w:bCs/>
                <w:sz w:val="20"/>
                <w:szCs w:val="20"/>
              </w:rPr>
              <w:t>Scoring and discussion summary of GRACE evaluation undertaken by EW and AV</w:t>
            </w:r>
          </w:p>
        </w:tc>
      </w:tr>
      <w:tr w:rsidRPr="00B903A9" w:rsidR="00292865" w:rsidTr="00456AE0" w14:paraId="1A3C984E" w14:textId="77777777">
        <w:tc>
          <w:tcPr>
            <w:tcW w:w="1677" w:type="dxa"/>
          </w:tcPr>
          <w:p w:rsidRPr="006A281A" w:rsidR="00292865" w:rsidP="00456AE0" w:rsidRDefault="00292865" w14:paraId="0528E081" w14:textId="77777777">
            <w:pPr>
              <w:rPr>
                <w:rFonts w:ascii="Aptos" w:hAnsi="Aptos"/>
                <w:b/>
                <w:bCs/>
                <w:sz w:val="20"/>
                <w:szCs w:val="20"/>
              </w:rPr>
            </w:pPr>
            <w:r w:rsidRPr="006A281A">
              <w:rPr>
                <w:rFonts w:ascii="Aptos" w:hAnsi="Aptos"/>
                <w:b/>
                <w:bCs/>
                <w:sz w:val="20"/>
                <w:szCs w:val="20"/>
              </w:rPr>
              <w:t>Domain</w:t>
            </w:r>
          </w:p>
        </w:tc>
        <w:tc>
          <w:tcPr>
            <w:tcW w:w="1117" w:type="dxa"/>
          </w:tcPr>
          <w:p w:rsidRPr="006A281A" w:rsidR="00292865" w:rsidP="00456AE0" w:rsidRDefault="00292865" w14:paraId="0C395A8E" w14:textId="77777777">
            <w:pPr>
              <w:rPr>
                <w:rFonts w:ascii="Aptos" w:hAnsi="Aptos"/>
                <w:b/>
                <w:bCs/>
                <w:sz w:val="20"/>
                <w:szCs w:val="20"/>
              </w:rPr>
            </w:pPr>
            <w:r w:rsidRPr="006A281A">
              <w:rPr>
                <w:rFonts w:ascii="Aptos" w:hAnsi="Aptos"/>
                <w:b/>
                <w:bCs/>
                <w:sz w:val="20"/>
                <w:szCs w:val="20"/>
              </w:rPr>
              <w:t>Mean Score out of 5</w:t>
            </w:r>
          </w:p>
        </w:tc>
        <w:tc>
          <w:tcPr>
            <w:tcW w:w="6670" w:type="dxa"/>
          </w:tcPr>
          <w:p w:rsidRPr="006A281A" w:rsidR="00292865" w:rsidP="00456AE0" w:rsidRDefault="00292865" w14:paraId="0F53BB14" w14:textId="77777777">
            <w:pPr>
              <w:rPr>
                <w:rFonts w:ascii="Aptos" w:hAnsi="Aptos"/>
                <w:b/>
                <w:bCs/>
                <w:sz w:val="20"/>
                <w:szCs w:val="20"/>
              </w:rPr>
            </w:pPr>
            <w:r>
              <w:rPr>
                <w:rFonts w:ascii="Aptos" w:hAnsi="Aptos"/>
                <w:b/>
                <w:bCs/>
                <w:sz w:val="20"/>
                <w:szCs w:val="20"/>
              </w:rPr>
              <w:t>Discussion s</w:t>
            </w:r>
            <w:r w:rsidRPr="006A281A">
              <w:rPr>
                <w:rFonts w:ascii="Aptos" w:hAnsi="Aptos"/>
                <w:b/>
                <w:bCs/>
                <w:sz w:val="20"/>
                <w:szCs w:val="20"/>
              </w:rPr>
              <w:t>ummar</w:t>
            </w:r>
            <w:r>
              <w:rPr>
                <w:rFonts w:ascii="Aptos" w:hAnsi="Aptos"/>
                <w:b/>
                <w:bCs/>
                <w:sz w:val="20"/>
                <w:szCs w:val="20"/>
              </w:rPr>
              <w:t>y</w:t>
            </w:r>
          </w:p>
        </w:tc>
      </w:tr>
      <w:tr w:rsidRPr="00B903A9" w:rsidR="00292865" w:rsidTr="00456AE0" w14:paraId="147DCC53" w14:textId="77777777">
        <w:tc>
          <w:tcPr>
            <w:tcW w:w="1677" w:type="dxa"/>
          </w:tcPr>
          <w:p w:rsidRPr="00B903A9" w:rsidR="00292865" w:rsidP="00456AE0" w:rsidRDefault="00292865" w14:paraId="21AB97FE" w14:textId="77777777">
            <w:pPr>
              <w:rPr>
                <w:rFonts w:ascii="Aptos" w:hAnsi="Aptos"/>
                <w:sz w:val="20"/>
                <w:szCs w:val="20"/>
              </w:rPr>
            </w:pPr>
            <w:r w:rsidRPr="00B903A9">
              <w:rPr>
                <w:rFonts w:ascii="Aptos" w:hAnsi="Aptos"/>
                <w:sz w:val="20"/>
                <w:szCs w:val="20"/>
              </w:rPr>
              <w:t>Interpretability</w:t>
            </w:r>
          </w:p>
        </w:tc>
        <w:tc>
          <w:tcPr>
            <w:tcW w:w="1117" w:type="dxa"/>
          </w:tcPr>
          <w:p w:rsidRPr="00B903A9" w:rsidR="00292865" w:rsidP="00456AE0" w:rsidRDefault="00292865" w14:paraId="4EF2B2D4" w14:textId="77777777">
            <w:pPr>
              <w:rPr>
                <w:rFonts w:ascii="Aptos" w:hAnsi="Aptos"/>
                <w:sz w:val="20"/>
                <w:szCs w:val="20"/>
              </w:rPr>
            </w:pPr>
            <w:r w:rsidRPr="00B903A9">
              <w:rPr>
                <w:rFonts w:ascii="Aptos" w:hAnsi="Aptos"/>
                <w:sz w:val="20"/>
                <w:szCs w:val="20"/>
              </w:rPr>
              <w:t>4.17</w:t>
            </w:r>
            <w:r>
              <w:rPr>
                <w:rFonts w:ascii="Aptos" w:hAnsi="Aptos"/>
                <w:sz w:val="20"/>
                <w:szCs w:val="20"/>
              </w:rPr>
              <w:t xml:space="preserve"> (High)</w:t>
            </w:r>
          </w:p>
        </w:tc>
        <w:tc>
          <w:tcPr>
            <w:tcW w:w="6670" w:type="dxa"/>
          </w:tcPr>
          <w:p w:rsidRPr="00B903A9" w:rsidR="00292865" w:rsidP="00456AE0" w:rsidRDefault="00292865" w14:paraId="4FC35AC3" w14:textId="77777777">
            <w:pPr>
              <w:rPr>
                <w:rFonts w:ascii="Aptos" w:hAnsi="Aptos"/>
                <w:sz w:val="20"/>
                <w:szCs w:val="20"/>
              </w:rPr>
            </w:pPr>
            <w:r w:rsidRPr="00B903A9">
              <w:rPr>
                <w:rFonts w:ascii="Aptos" w:hAnsi="Aptos"/>
                <w:sz w:val="20"/>
                <w:szCs w:val="20"/>
              </w:rPr>
              <w:t>The outputs were viewed as generally clear, logical, and easy to follow. The spreadsheet structure</w:t>
            </w:r>
            <w:r>
              <w:rPr>
                <w:rFonts w:ascii="Aptos" w:hAnsi="Aptos"/>
                <w:sz w:val="20"/>
                <w:szCs w:val="20"/>
              </w:rPr>
              <w:t xml:space="preserve">, </w:t>
            </w:r>
            <w:r w:rsidRPr="00B903A9">
              <w:rPr>
                <w:rFonts w:ascii="Aptos" w:hAnsi="Aptos"/>
                <w:sz w:val="20"/>
                <w:szCs w:val="20"/>
              </w:rPr>
              <w:t>with the top 30 high</w:t>
            </w:r>
            <w:r w:rsidRPr="00B903A9">
              <w:rPr>
                <w:rFonts w:ascii="Cambria Math" w:hAnsi="Cambria Math" w:cs="Cambria Math"/>
                <w:sz w:val="20"/>
                <w:szCs w:val="20"/>
              </w:rPr>
              <w:t>‑</w:t>
            </w:r>
            <w:r w:rsidRPr="00B903A9">
              <w:rPr>
                <w:rFonts w:ascii="Aptos" w:hAnsi="Aptos"/>
                <w:sz w:val="20"/>
                <w:szCs w:val="20"/>
              </w:rPr>
              <w:t>fit quotes per topic</w:t>
            </w:r>
            <w:r>
              <w:rPr>
                <w:rFonts w:ascii="Aptos" w:hAnsi="Aptos"/>
                <w:sz w:val="20"/>
                <w:szCs w:val="20"/>
              </w:rPr>
              <w:t xml:space="preserve">, </w:t>
            </w:r>
            <w:r w:rsidRPr="00B903A9">
              <w:rPr>
                <w:rFonts w:ascii="Aptos" w:hAnsi="Aptos"/>
                <w:sz w:val="20"/>
                <w:szCs w:val="20"/>
              </w:rPr>
              <w:t xml:space="preserve">helped </w:t>
            </w:r>
            <w:r>
              <w:rPr>
                <w:rFonts w:ascii="Aptos" w:hAnsi="Aptos"/>
                <w:sz w:val="20"/>
                <w:szCs w:val="20"/>
              </w:rPr>
              <w:t>interpret topics</w:t>
            </w:r>
            <w:r w:rsidRPr="00B903A9">
              <w:rPr>
                <w:rFonts w:ascii="Aptos" w:hAnsi="Aptos"/>
                <w:sz w:val="20"/>
                <w:szCs w:val="20"/>
              </w:rPr>
              <w:t xml:space="preserve">. </w:t>
            </w:r>
            <w:r>
              <w:rPr>
                <w:rFonts w:ascii="Aptos" w:hAnsi="Aptos"/>
                <w:sz w:val="20"/>
                <w:szCs w:val="20"/>
              </w:rPr>
              <w:t>4/5</w:t>
            </w:r>
            <w:r w:rsidRPr="00B903A9">
              <w:rPr>
                <w:rFonts w:ascii="Aptos" w:hAnsi="Aptos"/>
                <w:sz w:val="20"/>
                <w:szCs w:val="20"/>
              </w:rPr>
              <w:t xml:space="preserve"> topics were immediately recognizable </w:t>
            </w:r>
            <w:r>
              <w:rPr>
                <w:rFonts w:ascii="Aptos" w:hAnsi="Aptos"/>
                <w:sz w:val="20"/>
                <w:szCs w:val="20"/>
              </w:rPr>
              <w:t xml:space="preserve">on initial reading </w:t>
            </w:r>
            <w:r w:rsidRPr="00B903A9">
              <w:rPr>
                <w:rFonts w:ascii="Aptos" w:hAnsi="Aptos"/>
                <w:sz w:val="20"/>
                <w:szCs w:val="20"/>
              </w:rPr>
              <w:t xml:space="preserve">which reinforced confidence in interpretability. </w:t>
            </w:r>
            <w:r>
              <w:rPr>
                <w:rFonts w:ascii="Aptos" w:hAnsi="Aptos"/>
                <w:sz w:val="20"/>
                <w:szCs w:val="20"/>
              </w:rPr>
              <w:t>A</w:t>
            </w:r>
            <w:r w:rsidRPr="00B903A9">
              <w:rPr>
                <w:rFonts w:ascii="Aptos" w:hAnsi="Aptos"/>
                <w:sz w:val="20"/>
                <w:szCs w:val="20"/>
              </w:rPr>
              <w:t xml:space="preserve"> few </w:t>
            </w:r>
            <w:r>
              <w:rPr>
                <w:rFonts w:ascii="Aptos" w:hAnsi="Aptos"/>
                <w:sz w:val="20"/>
                <w:szCs w:val="20"/>
              </w:rPr>
              <w:t xml:space="preserve">comments </w:t>
            </w:r>
            <w:r w:rsidRPr="00B903A9">
              <w:rPr>
                <w:rFonts w:ascii="Aptos" w:hAnsi="Aptos"/>
                <w:sz w:val="20"/>
                <w:szCs w:val="20"/>
              </w:rPr>
              <w:t>didn</w:t>
            </w:r>
            <w:r w:rsidRPr="00B903A9">
              <w:rPr>
                <w:rFonts w:ascii="Aptos" w:hAnsi="Aptos" w:cs="Aptos"/>
                <w:sz w:val="20"/>
                <w:szCs w:val="20"/>
              </w:rPr>
              <w:t>’</w:t>
            </w:r>
            <w:r w:rsidRPr="00B903A9">
              <w:rPr>
                <w:rFonts w:ascii="Aptos" w:hAnsi="Aptos"/>
                <w:sz w:val="20"/>
                <w:szCs w:val="20"/>
              </w:rPr>
              <w:t xml:space="preserve">t fully fit their assigned </w:t>
            </w:r>
            <w:proofErr w:type="gramStart"/>
            <w:r w:rsidRPr="00B903A9">
              <w:rPr>
                <w:rFonts w:ascii="Aptos" w:hAnsi="Aptos"/>
                <w:sz w:val="20"/>
                <w:szCs w:val="20"/>
              </w:rPr>
              <w:t xml:space="preserve">topic, </w:t>
            </w:r>
            <w:r>
              <w:rPr>
                <w:rFonts w:ascii="Aptos" w:hAnsi="Aptos"/>
                <w:sz w:val="20"/>
                <w:szCs w:val="20"/>
              </w:rPr>
              <w:t>but</w:t>
            </w:r>
            <w:proofErr w:type="gramEnd"/>
            <w:r>
              <w:rPr>
                <w:rFonts w:ascii="Aptos" w:hAnsi="Aptos"/>
                <w:sz w:val="20"/>
                <w:szCs w:val="20"/>
              </w:rPr>
              <w:t xml:space="preserve"> were</w:t>
            </w:r>
            <w:r w:rsidRPr="00B903A9">
              <w:rPr>
                <w:rFonts w:ascii="Aptos" w:hAnsi="Aptos"/>
                <w:sz w:val="20"/>
                <w:szCs w:val="20"/>
              </w:rPr>
              <w:t xml:space="preserve"> redistribute</w:t>
            </w:r>
            <w:r>
              <w:rPr>
                <w:rFonts w:ascii="Aptos" w:hAnsi="Aptos"/>
                <w:sz w:val="20"/>
                <w:szCs w:val="20"/>
              </w:rPr>
              <w:t xml:space="preserve">d to other topics/themes following human interpretation. </w:t>
            </w:r>
            <w:r w:rsidRPr="00B903A9">
              <w:rPr>
                <w:rFonts w:ascii="Aptos" w:hAnsi="Aptos"/>
                <w:sz w:val="20"/>
                <w:szCs w:val="20"/>
              </w:rPr>
              <w:t xml:space="preserve">Overall, the model provided </w:t>
            </w:r>
            <w:r>
              <w:rPr>
                <w:rFonts w:ascii="Aptos" w:hAnsi="Aptos"/>
                <w:sz w:val="20"/>
                <w:szCs w:val="20"/>
              </w:rPr>
              <w:t>c</w:t>
            </w:r>
            <w:r w:rsidRPr="00B903A9">
              <w:rPr>
                <w:rFonts w:ascii="Aptos" w:hAnsi="Aptos"/>
                <w:sz w:val="20"/>
                <w:szCs w:val="20"/>
              </w:rPr>
              <w:t xml:space="preserve">oherent </w:t>
            </w:r>
            <w:r>
              <w:rPr>
                <w:rFonts w:ascii="Aptos" w:hAnsi="Aptos"/>
                <w:sz w:val="20"/>
                <w:szCs w:val="20"/>
              </w:rPr>
              <w:t>and interpretable topics</w:t>
            </w:r>
            <w:r w:rsidRPr="00B903A9">
              <w:rPr>
                <w:rFonts w:ascii="Aptos" w:hAnsi="Aptos"/>
                <w:sz w:val="20"/>
                <w:szCs w:val="20"/>
              </w:rPr>
              <w:t>.</w:t>
            </w:r>
          </w:p>
        </w:tc>
      </w:tr>
      <w:tr w:rsidRPr="00B903A9" w:rsidR="00292865" w:rsidTr="00456AE0" w14:paraId="55F9B264" w14:textId="77777777">
        <w:trPr>
          <w:trHeight w:val="2581"/>
        </w:trPr>
        <w:tc>
          <w:tcPr>
            <w:tcW w:w="1677" w:type="dxa"/>
          </w:tcPr>
          <w:p w:rsidRPr="00B903A9" w:rsidR="00292865" w:rsidP="00456AE0" w:rsidRDefault="00292865" w14:paraId="39144BB1" w14:textId="77777777">
            <w:pPr>
              <w:rPr>
                <w:rFonts w:ascii="Aptos" w:hAnsi="Aptos"/>
                <w:sz w:val="20"/>
                <w:szCs w:val="20"/>
              </w:rPr>
            </w:pPr>
            <w:r w:rsidRPr="00B903A9">
              <w:rPr>
                <w:rFonts w:ascii="Aptos" w:hAnsi="Aptos"/>
                <w:sz w:val="20"/>
                <w:szCs w:val="20"/>
              </w:rPr>
              <w:t>Actionability</w:t>
            </w:r>
          </w:p>
        </w:tc>
        <w:tc>
          <w:tcPr>
            <w:tcW w:w="1117" w:type="dxa"/>
          </w:tcPr>
          <w:p w:rsidRPr="00B903A9" w:rsidR="00292865" w:rsidP="00456AE0" w:rsidRDefault="00292865" w14:paraId="5AA8A056" w14:textId="77777777">
            <w:pPr>
              <w:rPr>
                <w:rFonts w:ascii="Aptos" w:hAnsi="Aptos"/>
                <w:sz w:val="20"/>
                <w:szCs w:val="20"/>
              </w:rPr>
            </w:pPr>
            <w:r w:rsidRPr="00B903A9">
              <w:rPr>
                <w:rFonts w:ascii="Aptos" w:hAnsi="Aptos"/>
                <w:sz w:val="20"/>
                <w:szCs w:val="20"/>
              </w:rPr>
              <w:t>3.67</w:t>
            </w:r>
            <w:r>
              <w:rPr>
                <w:rFonts w:ascii="Aptos" w:hAnsi="Aptos"/>
                <w:sz w:val="20"/>
                <w:szCs w:val="20"/>
              </w:rPr>
              <w:t xml:space="preserve"> (moderate to high)</w:t>
            </w:r>
          </w:p>
        </w:tc>
        <w:tc>
          <w:tcPr>
            <w:tcW w:w="6670" w:type="dxa"/>
          </w:tcPr>
          <w:p w:rsidRPr="006A281A" w:rsidR="00292865" w:rsidP="00456AE0" w:rsidRDefault="00292865" w14:paraId="121BF7AF" w14:textId="77777777">
            <w:pPr>
              <w:rPr>
                <w:rFonts w:ascii="Aptos" w:hAnsi="Aptos"/>
                <w:sz w:val="20"/>
                <w:szCs w:val="20"/>
              </w:rPr>
            </w:pPr>
            <w:r w:rsidRPr="0084501E">
              <w:rPr>
                <w:rFonts w:ascii="Aptos" w:hAnsi="Aptos"/>
                <w:sz w:val="20"/>
                <w:szCs w:val="20"/>
              </w:rPr>
              <w:t xml:space="preserve">The topics were considered relevant to the research question and provided insight into public discourse around nicotine pouches. </w:t>
            </w:r>
            <w:r>
              <w:rPr>
                <w:rFonts w:ascii="Aptos" w:hAnsi="Aptos"/>
                <w:sz w:val="20"/>
                <w:szCs w:val="20"/>
              </w:rPr>
              <w:t>T</w:t>
            </w:r>
            <w:r w:rsidRPr="0084501E">
              <w:rPr>
                <w:rFonts w:ascii="Aptos" w:hAnsi="Aptos"/>
                <w:sz w:val="20"/>
                <w:szCs w:val="20"/>
              </w:rPr>
              <w:t>he outputs supported theoretical contributions</w:t>
            </w:r>
            <w:r>
              <w:rPr>
                <w:rFonts w:ascii="Aptos" w:hAnsi="Aptos"/>
                <w:sz w:val="20"/>
                <w:szCs w:val="20"/>
              </w:rPr>
              <w:t xml:space="preserve">, </w:t>
            </w:r>
            <w:r w:rsidRPr="0084501E">
              <w:rPr>
                <w:rFonts w:ascii="Aptos" w:hAnsi="Aptos"/>
                <w:sz w:val="20"/>
                <w:szCs w:val="20"/>
              </w:rPr>
              <w:t xml:space="preserve">especially around identity, </w:t>
            </w:r>
            <w:r>
              <w:rPr>
                <w:rFonts w:ascii="Aptos" w:hAnsi="Aptos"/>
                <w:sz w:val="20"/>
                <w:szCs w:val="20"/>
              </w:rPr>
              <w:t xml:space="preserve">tobacco industry </w:t>
            </w:r>
            <w:r w:rsidRPr="0084501E">
              <w:rPr>
                <w:rFonts w:ascii="Aptos" w:hAnsi="Aptos"/>
                <w:sz w:val="20"/>
                <w:szCs w:val="20"/>
              </w:rPr>
              <w:t>scepticism,</w:t>
            </w:r>
            <w:r>
              <w:rPr>
                <w:rFonts w:ascii="Aptos" w:hAnsi="Aptos"/>
                <w:sz w:val="20"/>
                <w:szCs w:val="20"/>
              </w:rPr>
              <w:t xml:space="preserve"> identifying health risks,</w:t>
            </w:r>
            <w:r w:rsidRPr="0084501E">
              <w:rPr>
                <w:rFonts w:ascii="Aptos" w:hAnsi="Aptos"/>
                <w:sz w:val="20"/>
                <w:szCs w:val="20"/>
              </w:rPr>
              <w:t xml:space="preserve"> and cessation patterns. </w:t>
            </w:r>
            <w:r>
              <w:rPr>
                <w:rFonts w:ascii="Aptos" w:hAnsi="Aptos"/>
                <w:sz w:val="20"/>
                <w:szCs w:val="20"/>
              </w:rPr>
              <w:t xml:space="preserve">However, </w:t>
            </w:r>
            <w:r w:rsidRPr="0084501E">
              <w:rPr>
                <w:rFonts w:ascii="Aptos" w:hAnsi="Aptos"/>
                <w:sz w:val="20"/>
                <w:szCs w:val="20"/>
              </w:rPr>
              <w:t xml:space="preserve">the practical utility of some themes </w:t>
            </w:r>
            <w:r>
              <w:rPr>
                <w:rFonts w:ascii="Aptos" w:hAnsi="Aptos"/>
                <w:sz w:val="20"/>
                <w:szCs w:val="20"/>
              </w:rPr>
              <w:t xml:space="preserve">may be lacking </w:t>
            </w:r>
            <w:r w:rsidRPr="0084501E">
              <w:rPr>
                <w:rFonts w:ascii="Aptos" w:hAnsi="Aptos"/>
                <w:sz w:val="20"/>
                <w:szCs w:val="20"/>
              </w:rPr>
              <w:t xml:space="preserve">(e.g., niche identity debates) for clinicians or policymakers. While the model captured discourse well, </w:t>
            </w:r>
            <w:r>
              <w:rPr>
                <w:rFonts w:ascii="Aptos" w:hAnsi="Aptos"/>
                <w:sz w:val="20"/>
                <w:szCs w:val="20"/>
              </w:rPr>
              <w:t>it is</w:t>
            </w:r>
            <w:r w:rsidRPr="0084501E">
              <w:rPr>
                <w:rFonts w:ascii="Aptos" w:hAnsi="Aptos"/>
                <w:sz w:val="20"/>
                <w:szCs w:val="20"/>
              </w:rPr>
              <w:t xml:space="preserve"> question</w:t>
            </w:r>
            <w:r>
              <w:rPr>
                <w:rFonts w:ascii="Aptos" w:hAnsi="Aptos"/>
                <w:sz w:val="20"/>
                <w:szCs w:val="20"/>
              </w:rPr>
              <w:t>able</w:t>
            </w:r>
            <w:r w:rsidRPr="0084501E">
              <w:rPr>
                <w:rFonts w:ascii="Aptos" w:hAnsi="Aptos"/>
                <w:sz w:val="20"/>
                <w:szCs w:val="20"/>
              </w:rPr>
              <w:t xml:space="preserve"> whether this type of data translates into actionable recommendations. Overall, actionability was judged moderate, valuable for scholarship but more limited for applied settings.</w:t>
            </w:r>
          </w:p>
        </w:tc>
      </w:tr>
      <w:tr w:rsidRPr="00B903A9" w:rsidR="00292865" w:rsidTr="00456AE0" w14:paraId="1697D53C" w14:textId="77777777">
        <w:tc>
          <w:tcPr>
            <w:tcW w:w="1677" w:type="dxa"/>
          </w:tcPr>
          <w:p w:rsidRPr="00B903A9" w:rsidR="00292865" w:rsidP="00456AE0" w:rsidRDefault="00292865" w14:paraId="673D7A8C" w14:textId="77777777">
            <w:pPr>
              <w:rPr>
                <w:rFonts w:ascii="Aptos" w:hAnsi="Aptos"/>
                <w:sz w:val="20"/>
                <w:szCs w:val="20"/>
              </w:rPr>
            </w:pPr>
            <w:r w:rsidRPr="00B903A9">
              <w:rPr>
                <w:rFonts w:ascii="Aptos" w:hAnsi="Aptos"/>
                <w:sz w:val="20"/>
                <w:szCs w:val="20"/>
              </w:rPr>
              <w:t>Nuance</w:t>
            </w:r>
          </w:p>
        </w:tc>
        <w:tc>
          <w:tcPr>
            <w:tcW w:w="1117" w:type="dxa"/>
          </w:tcPr>
          <w:p w:rsidRPr="00B903A9" w:rsidR="00292865" w:rsidP="00456AE0" w:rsidRDefault="00292865" w14:paraId="3C932CFE" w14:textId="77777777">
            <w:pPr>
              <w:rPr>
                <w:rFonts w:ascii="Aptos" w:hAnsi="Aptos"/>
                <w:sz w:val="20"/>
                <w:szCs w:val="20"/>
              </w:rPr>
            </w:pPr>
            <w:r w:rsidRPr="00B903A9">
              <w:rPr>
                <w:rFonts w:ascii="Aptos" w:hAnsi="Aptos"/>
                <w:sz w:val="20"/>
                <w:szCs w:val="20"/>
              </w:rPr>
              <w:t>3.67</w:t>
            </w:r>
            <w:r>
              <w:rPr>
                <w:rFonts w:ascii="Aptos" w:hAnsi="Aptos"/>
                <w:sz w:val="20"/>
                <w:szCs w:val="20"/>
              </w:rPr>
              <w:t xml:space="preserve"> (moderate to high)</w:t>
            </w:r>
          </w:p>
        </w:tc>
        <w:tc>
          <w:tcPr>
            <w:tcW w:w="6670" w:type="dxa"/>
          </w:tcPr>
          <w:p w:rsidRPr="00B903A9" w:rsidR="00292865" w:rsidP="00456AE0" w:rsidRDefault="00292865" w14:paraId="7531E7D5" w14:textId="77777777">
            <w:pPr>
              <w:rPr>
                <w:rFonts w:ascii="Aptos" w:hAnsi="Aptos"/>
                <w:sz w:val="20"/>
                <w:szCs w:val="20"/>
              </w:rPr>
            </w:pPr>
            <w:r w:rsidRPr="006A281A">
              <w:rPr>
                <w:rFonts w:ascii="Aptos" w:hAnsi="Aptos"/>
                <w:sz w:val="20"/>
                <w:szCs w:val="20"/>
              </w:rPr>
              <w:t xml:space="preserve">The outputs captured layered and contradictory meanings, including conflicting views on harm, addiction, and morality. </w:t>
            </w:r>
            <w:r>
              <w:rPr>
                <w:rFonts w:ascii="Aptos" w:hAnsi="Aptos"/>
                <w:sz w:val="20"/>
                <w:szCs w:val="20"/>
              </w:rPr>
              <w:t>R</w:t>
            </w:r>
            <w:r w:rsidRPr="006A281A">
              <w:rPr>
                <w:rFonts w:ascii="Aptos" w:hAnsi="Aptos"/>
                <w:sz w:val="20"/>
                <w:szCs w:val="20"/>
              </w:rPr>
              <w:t>esponses contained diverse tones and contradiction</w:t>
            </w:r>
            <w:r>
              <w:rPr>
                <w:rFonts w:ascii="Aptos" w:hAnsi="Aptos"/>
                <w:sz w:val="20"/>
                <w:szCs w:val="20"/>
              </w:rPr>
              <w:t xml:space="preserve">s, </w:t>
            </w:r>
            <w:r w:rsidRPr="006A281A">
              <w:rPr>
                <w:rFonts w:ascii="Aptos" w:hAnsi="Aptos"/>
                <w:sz w:val="20"/>
                <w:szCs w:val="20"/>
              </w:rPr>
              <w:t>expert posturing, cynicism,</w:t>
            </w:r>
            <w:r>
              <w:rPr>
                <w:rFonts w:ascii="Aptos" w:hAnsi="Aptos"/>
                <w:sz w:val="20"/>
                <w:szCs w:val="20"/>
              </w:rPr>
              <w:t xml:space="preserve"> and</w:t>
            </w:r>
            <w:r w:rsidRPr="006A281A">
              <w:rPr>
                <w:rFonts w:ascii="Aptos" w:hAnsi="Aptos"/>
                <w:sz w:val="20"/>
                <w:szCs w:val="20"/>
              </w:rPr>
              <w:t xml:space="preserve"> defensiveness. </w:t>
            </w:r>
            <w:r>
              <w:rPr>
                <w:rFonts w:ascii="Aptos" w:hAnsi="Aptos"/>
                <w:sz w:val="20"/>
                <w:szCs w:val="20"/>
              </w:rPr>
              <w:t xml:space="preserve">However, </w:t>
            </w:r>
            <w:r w:rsidRPr="006A281A">
              <w:rPr>
                <w:rFonts w:ascii="Aptos" w:hAnsi="Aptos"/>
                <w:sz w:val="20"/>
                <w:szCs w:val="20"/>
              </w:rPr>
              <w:t xml:space="preserve">YouTube comments are not deeply narrative by nature, which limits the nuance achievable. </w:t>
            </w:r>
            <w:r>
              <w:rPr>
                <w:rFonts w:ascii="Aptos" w:hAnsi="Aptos"/>
                <w:sz w:val="20"/>
                <w:szCs w:val="20"/>
              </w:rPr>
              <w:t>T</w:t>
            </w:r>
            <w:r w:rsidRPr="006A281A">
              <w:rPr>
                <w:rFonts w:ascii="Aptos" w:hAnsi="Aptos"/>
                <w:sz w:val="20"/>
                <w:szCs w:val="20"/>
              </w:rPr>
              <w:t>he model forc</w:t>
            </w:r>
            <w:r>
              <w:rPr>
                <w:rFonts w:ascii="Aptos" w:hAnsi="Aptos"/>
                <w:sz w:val="20"/>
                <w:szCs w:val="20"/>
              </w:rPr>
              <w:t>ed best fit across 5 topics</w:t>
            </w:r>
            <w:r w:rsidRPr="006A281A">
              <w:rPr>
                <w:rFonts w:ascii="Aptos" w:hAnsi="Aptos"/>
                <w:sz w:val="20"/>
                <w:szCs w:val="20"/>
              </w:rPr>
              <w:t>, meaning divergent experiences or cross</w:t>
            </w:r>
            <w:r w:rsidRPr="006A281A">
              <w:rPr>
                <w:rFonts w:ascii="Cambria Math" w:hAnsi="Cambria Math" w:cs="Cambria Math"/>
                <w:sz w:val="20"/>
                <w:szCs w:val="20"/>
              </w:rPr>
              <w:t>‑</w:t>
            </w:r>
            <w:r w:rsidRPr="006A281A">
              <w:rPr>
                <w:rFonts w:ascii="Aptos" w:hAnsi="Aptos"/>
                <w:sz w:val="20"/>
                <w:szCs w:val="20"/>
              </w:rPr>
              <w:t xml:space="preserve">cutting issues (e.g., identity </w:t>
            </w:r>
            <w:r>
              <w:rPr>
                <w:rFonts w:ascii="Aptos" w:hAnsi="Aptos"/>
                <w:sz w:val="20"/>
                <w:szCs w:val="20"/>
              </w:rPr>
              <w:t>and tobacco-industry suspicion</w:t>
            </w:r>
            <w:r w:rsidRPr="006A281A">
              <w:rPr>
                <w:rFonts w:ascii="Aptos" w:hAnsi="Aptos"/>
                <w:sz w:val="20"/>
                <w:szCs w:val="20"/>
              </w:rPr>
              <w:t>) were co</w:t>
            </w:r>
            <w:r w:rsidRPr="006A281A">
              <w:rPr>
                <w:rFonts w:ascii="Cambria Math" w:hAnsi="Cambria Math" w:cs="Cambria Math"/>
                <w:sz w:val="20"/>
                <w:szCs w:val="20"/>
              </w:rPr>
              <w:t>‑</w:t>
            </w:r>
            <w:r w:rsidRPr="006A281A">
              <w:rPr>
                <w:rFonts w:ascii="Aptos" w:hAnsi="Aptos"/>
                <w:sz w:val="20"/>
                <w:szCs w:val="20"/>
              </w:rPr>
              <w:t>located</w:t>
            </w:r>
            <w:r>
              <w:rPr>
                <w:rFonts w:ascii="Aptos" w:hAnsi="Aptos"/>
                <w:sz w:val="20"/>
                <w:szCs w:val="20"/>
              </w:rPr>
              <w:t xml:space="preserve"> rather than separated</w:t>
            </w:r>
            <w:r w:rsidRPr="006A281A">
              <w:rPr>
                <w:rFonts w:ascii="Aptos" w:hAnsi="Aptos"/>
                <w:sz w:val="20"/>
                <w:szCs w:val="20"/>
              </w:rPr>
              <w:t>.</w:t>
            </w:r>
            <w:r>
              <w:rPr>
                <w:rFonts w:ascii="Aptos" w:hAnsi="Aptos"/>
                <w:sz w:val="20"/>
                <w:szCs w:val="20"/>
              </w:rPr>
              <w:t xml:space="preserve"> However, the ‘human-in-control’ approach allowed researchers to draw out this nuance. Overall</w:t>
            </w:r>
            <w:r w:rsidRPr="006A281A">
              <w:rPr>
                <w:rFonts w:ascii="Aptos" w:hAnsi="Aptos"/>
                <w:sz w:val="20"/>
                <w:szCs w:val="20"/>
              </w:rPr>
              <w:t>, the model produced conceptually rich themes relative to the dataset type.</w:t>
            </w:r>
          </w:p>
        </w:tc>
      </w:tr>
      <w:tr w:rsidRPr="00B903A9" w:rsidR="00292865" w:rsidTr="00456AE0" w14:paraId="4ABD9CFA" w14:textId="77777777">
        <w:tc>
          <w:tcPr>
            <w:tcW w:w="1677" w:type="dxa"/>
          </w:tcPr>
          <w:p w:rsidRPr="00B903A9" w:rsidR="00292865" w:rsidP="00456AE0" w:rsidRDefault="00292865" w14:paraId="59DC2634" w14:textId="77777777">
            <w:pPr>
              <w:rPr>
                <w:rFonts w:ascii="Aptos" w:hAnsi="Aptos"/>
                <w:sz w:val="20"/>
                <w:szCs w:val="20"/>
              </w:rPr>
            </w:pPr>
            <w:r w:rsidRPr="00B903A9">
              <w:rPr>
                <w:rFonts w:ascii="Aptos" w:hAnsi="Aptos"/>
                <w:sz w:val="20"/>
                <w:szCs w:val="20"/>
              </w:rPr>
              <w:t>Redundancy</w:t>
            </w:r>
          </w:p>
        </w:tc>
        <w:tc>
          <w:tcPr>
            <w:tcW w:w="1117" w:type="dxa"/>
          </w:tcPr>
          <w:p w:rsidRPr="00B903A9" w:rsidR="00292865" w:rsidP="00456AE0" w:rsidRDefault="00292865" w14:paraId="6DB276B3" w14:textId="77777777">
            <w:pPr>
              <w:rPr>
                <w:rFonts w:ascii="Aptos" w:hAnsi="Aptos"/>
                <w:sz w:val="20"/>
                <w:szCs w:val="20"/>
              </w:rPr>
            </w:pPr>
            <w:r w:rsidRPr="00B903A9">
              <w:rPr>
                <w:rFonts w:ascii="Aptos" w:hAnsi="Aptos"/>
                <w:sz w:val="20"/>
                <w:szCs w:val="20"/>
              </w:rPr>
              <w:t>3.67</w:t>
            </w:r>
            <w:r>
              <w:rPr>
                <w:rFonts w:ascii="Aptos" w:hAnsi="Aptos"/>
                <w:sz w:val="20"/>
                <w:szCs w:val="20"/>
              </w:rPr>
              <w:t xml:space="preserve"> (reverse: low-to-moderate)</w:t>
            </w:r>
          </w:p>
        </w:tc>
        <w:tc>
          <w:tcPr>
            <w:tcW w:w="6670" w:type="dxa"/>
          </w:tcPr>
          <w:p w:rsidRPr="00B903A9" w:rsidR="00292865" w:rsidP="00456AE0" w:rsidRDefault="00292865" w14:paraId="72809AC0" w14:textId="77777777">
            <w:pPr>
              <w:rPr>
                <w:rFonts w:ascii="Aptos" w:hAnsi="Aptos"/>
                <w:sz w:val="20"/>
                <w:szCs w:val="20"/>
              </w:rPr>
            </w:pPr>
            <w:r w:rsidRPr="00596383">
              <w:rPr>
                <w:rFonts w:ascii="Aptos" w:hAnsi="Aptos"/>
                <w:sz w:val="20"/>
                <w:szCs w:val="20"/>
              </w:rPr>
              <w:t xml:space="preserve">Topics were judged to be </w:t>
            </w:r>
            <w:proofErr w:type="gramStart"/>
            <w:r w:rsidRPr="00596383">
              <w:rPr>
                <w:rFonts w:ascii="Aptos" w:hAnsi="Aptos"/>
                <w:sz w:val="20"/>
                <w:szCs w:val="20"/>
              </w:rPr>
              <w:t>fairly distinct</w:t>
            </w:r>
            <w:proofErr w:type="gramEnd"/>
            <w:r w:rsidRPr="00596383">
              <w:rPr>
                <w:rFonts w:ascii="Aptos" w:hAnsi="Aptos"/>
                <w:sz w:val="20"/>
                <w:szCs w:val="20"/>
              </w:rPr>
              <w:t xml:space="preserve"> overall, with only modest overlap. Identity</w:t>
            </w:r>
            <w:r>
              <w:rPr>
                <w:rFonts w:ascii="Aptos" w:hAnsi="Aptos"/>
                <w:sz w:val="20"/>
                <w:szCs w:val="20"/>
              </w:rPr>
              <w:t xml:space="preserve">, addiction </w:t>
            </w:r>
            <w:r w:rsidRPr="00596383">
              <w:rPr>
                <w:rFonts w:ascii="Aptos" w:hAnsi="Aptos"/>
                <w:sz w:val="20"/>
                <w:szCs w:val="20"/>
              </w:rPr>
              <w:t xml:space="preserve">and </w:t>
            </w:r>
            <w:r>
              <w:rPr>
                <w:rFonts w:ascii="Aptos" w:hAnsi="Aptos"/>
                <w:sz w:val="20"/>
                <w:szCs w:val="20"/>
              </w:rPr>
              <w:t>tobacco-</w:t>
            </w:r>
            <w:r w:rsidRPr="00596383">
              <w:rPr>
                <w:rFonts w:ascii="Aptos" w:hAnsi="Aptos"/>
                <w:sz w:val="20"/>
                <w:szCs w:val="20"/>
              </w:rPr>
              <w:t>industry suspicion</w:t>
            </w:r>
            <w:r>
              <w:rPr>
                <w:rFonts w:ascii="Aptos" w:hAnsi="Aptos"/>
                <w:sz w:val="20"/>
                <w:szCs w:val="20"/>
              </w:rPr>
              <w:t xml:space="preserve"> themes</w:t>
            </w:r>
            <w:r w:rsidRPr="00596383">
              <w:rPr>
                <w:rFonts w:ascii="Aptos" w:hAnsi="Aptos"/>
                <w:sz w:val="20"/>
                <w:szCs w:val="20"/>
              </w:rPr>
              <w:t xml:space="preserve"> appeared across multiple topics, but in </w:t>
            </w:r>
            <w:proofErr w:type="gramStart"/>
            <w:r w:rsidRPr="00596383">
              <w:rPr>
                <w:rFonts w:ascii="Aptos" w:hAnsi="Aptos"/>
                <w:sz w:val="20"/>
                <w:szCs w:val="20"/>
              </w:rPr>
              <w:t>the each</w:t>
            </w:r>
            <w:proofErr w:type="gramEnd"/>
            <w:r w:rsidRPr="00596383">
              <w:rPr>
                <w:rFonts w:ascii="Aptos" w:hAnsi="Aptos"/>
                <w:sz w:val="20"/>
                <w:szCs w:val="20"/>
              </w:rPr>
              <w:t xml:space="preserve"> instance had a different analytic focus, making overlap more complementary than problematic. </w:t>
            </w:r>
            <w:r>
              <w:rPr>
                <w:rFonts w:ascii="Aptos" w:hAnsi="Aptos"/>
                <w:sz w:val="20"/>
                <w:szCs w:val="20"/>
              </w:rPr>
              <w:t>O</w:t>
            </w:r>
            <w:r w:rsidRPr="00596383">
              <w:rPr>
                <w:rFonts w:ascii="Aptos" w:hAnsi="Aptos"/>
                <w:sz w:val="20"/>
                <w:szCs w:val="20"/>
              </w:rPr>
              <w:t>ne topic contained two</w:t>
            </w:r>
            <w:r>
              <w:rPr>
                <w:rFonts w:ascii="Aptos" w:hAnsi="Aptos"/>
                <w:sz w:val="20"/>
                <w:szCs w:val="20"/>
              </w:rPr>
              <w:t xml:space="preserve"> clear</w:t>
            </w:r>
            <w:r w:rsidRPr="00596383">
              <w:rPr>
                <w:rFonts w:ascii="Aptos" w:hAnsi="Aptos"/>
                <w:sz w:val="20"/>
                <w:szCs w:val="20"/>
              </w:rPr>
              <w:t xml:space="preserve"> themes (identity </w:t>
            </w:r>
            <w:r>
              <w:rPr>
                <w:rFonts w:ascii="Aptos" w:hAnsi="Aptos"/>
                <w:sz w:val="20"/>
                <w:szCs w:val="20"/>
              </w:rPr>
              <w:t xml:space="preserve">and </w:t>
            </w:r>
            <w:r w:rsidRPr="00596383">
              <w:rPr>
                <w:rFonts w:ascii="Aptos" w:hAnsi="Aptos"/>
                <w:sz w:val="20"/>
                <w:szCs w:val="20"/>
              </w:rPr>
              <w:t>gum health), which blurred boundaries slightly</w:t>
            </w:r>
            <w:r>
              <w:rPr>
                <w:rFonts w:ascii="Aptos" w:hAnsi="Aptos"/>
                <w:sz w:val="20"/>
                <w:szCs w:val="20"/>
              </w:rPr>
              <w:t xml:space="preserve">. Identity and tobacco-industry suspicion </w:t>
            </w:r>
            <w:proofErr w:type="gramStart"/>
            <w:r>
              <w:rPr>
                <w:rFonts w:ascii="Aptos" w:hAnsi="Aptos"/>
                <w:sz w:val="20"/>
                <w:szCs w:val="20"/>
              </w:rPr>
              <w:t>cross-cut</w:t>
            </w:r>
            <w:proofErr w:type="gramEnd"/>
            <w:r>
              <w:rPr>
                <w:rFonts w:ascii="Aptos" w:hAnsi="Aptos"/>
                <w:sz w:val="20"/>
                <w:szCs w:val="20"/>
              </w:rPr>
              <w:t xml:space="preserve"> across </w:t>
            </w:r>
            <w:proofErr w:type="gramStart"/>
            <w:r>
              <w:rPr>
                <w:rFonts w:ascii="Aptos" w:hAnsi="Aptos"/>
                <w:sz w:val="20"/>
                <w:szCs w:val="20"/>
              </w:rPr>
              <w:t xml:space="preserve">topics </w:t>
            </w:r>
            <w:r w:rsidRPr="00596383">
              <w:rPr>
                <w:rFonts w:ascii="Aptos" w:hAnsi="Aptos"/>
                <w:sz w:val="20"/>
                <w:szCs w:val="20"/>
              </w:rPr>
              <w:t xml:space="preserve"> </w:t>
            </w:r>
            <w:r>
              <w:rPr>
                <w:rFonts w:ascii="Aptos" w:hAnsi="Aptos"/>
                <w:sz w:val="20"/>
                <w:szCs w:val="20"/>
              </w:rPr>
              <w:t>and</w:t>
            </w:r>
            <w:proofErr w:type="gramEnd"/>
            <w:r>
              <w:rPr>
                <w:rFonts w:ascii="Aptos" w:hAnsi="Aptos"/>
                <w:sz w:val="20"/>
                <w:szCs w:val="20"/>
              </w:rPr>
              <w:t xml:space="preserve"> caused discussion on whether </w:t>
            </w:r>
            <w:r w:rsidRPr="00596383">
              <w:rPr>
                <w:rFonts w:ascii="Aptos" w:hAnsi="Aptos"/>
                <w:sz w:val="20"/>
                <w:szCs w:val="20"/>
              </w:rPr>
              <w:t>cross</w:t>
            </w:r>
            <w:r w:rsidRPr="00596383">
              <w:rPr>
                <w:rFonts w:ascii="Cambria Math" w:hAnsi="Cambria Math" w:cs="Cambria Math"/>
                <w:sz w:val="20"/>
                <w:szCs w:val="20"/>
              </w:rPr>
              <w:t>‑</w:t>
            </w:r>
            <w:r w:rsidRPr="00596383">
              <w:rPr>
                <w:rFonts w:ascii="Aptos" w:hAnsi="Aptos"/>
                <w:sz w:val="20"/>
                <w:szCs w:val="20"/>
              </w:rPr>
              <w:t xml:space="preserve">cutting themes should be considered separate </w:t>
            </w:r>
            <w:r>
              <w:rPr>
                <w:rFonts w:ascii="Aptos" w:hAnsi="Aptos"/>
                <w:sz w:val="20"/>
                <w:szCs w:val="20"/>
              </w:rPr>
              <w:t xml:space="preserve">‘human led’ </w:t>
            </w:r>
            <w:r w:rsidRPr="00596383">
              <w:rPr>
                <w:rFonts w:ascii="Aptos" w:hAnsi="Aptos"/>
                <w:sz w:val="20"/>
                <w:szCs w:val="20"/>
              </w:rPr>
              <w:t>topics or analytic enhancements</w:t>
            </w:r>
            <w:r>
              <w:rPr>
                <w:rFonts w:ascii="Aptos" w:hAnsi="Aptos"/>
                <w:sz w:val="20"/>
                <w:szCs w:val="20"/>
              </w:rPr>
              <w:t xml:space="preserve"> to machine generated topics</w:t>
            </w:r>
            <w:r w:rsidRPr="00596383">
              <w:rPr>
                <w:rFonts w:ascii="Aptos" w:hAnsi="Aptos"/>
                <w:sz w:val="20"/>
                <w:szCs w:val="20"/>
              </w:rPr>
              <w:t xml:space="preserve">. Overall, redundancy was assessed as acceptable given model constraints and the </w:t>
            </w:r>
            <w:r>
              <w:rPr>
                <w:rFonts w:ascii="Aptos" w:hAnsi="Aptos"/>
                <w:sz w:val="20"/>
                <w:szCs w:val="20"/>
              </w:rPr>
              <w:t>limited depth</w:t>
            </w:r>
            <w:r w:rsidRPr="00596383">
              <w:rPr>
                <w:rFonts w:ascii="Aptos" w:hAnsi="Aptos"/>
                <w:sz w:val="20"/>
                <w:szCs w:val="20"/>
              </w:rPr>
              <w:t xml:space="preserve"> of the data.</w:t>
            </w:r>
          </w:p>
        </w:tc>
      </w:tr>
      <w:tr w:rsidRPr="00B903A9" w:rsidR="00292865" w:rsidTr="00456AE0" w14:paraId="03D81C45" w14:textId="77777777">
        <w:tc>
          <w:tcPr>
            <w:tcW w:w="1677" w:type="dxa"/>
          </w:tcPr>
          <w:p w:rsidRPr="00B903A9" w:rsidR="00292865" w:rsidP="00456AE0" w:rsidRDefault="00292865" w14:paraId="673C0BF1" w14:textId="77777777">
            <w:pPr>
              <w:rPr>
                <w:rFonts w:ascii="Aptos" w:hAnsi="Aptos"/>
                <w:sz w:val="20"/>
                <w:szCs w:val="20"/>
              </w:rPr>
            </w:pPr>
            <w:r>
              <w:rPr>
                <w:rFonts w:ascii="Aptos" w:hAnsi="Aptos"/>
                <w:sz w:val="20"/>
                <w:szCs w:val="20"/>
              </w:rPr>
              <w:t>Total</w:t>
            </w:r>
          </w:p>
        </w:tc>
        <w:tc>
          <w:tcPr>
            <w:tcW w:w="1117" w:type="dxa"/>
          </w:tcPr>
          <w:p w:rsidRPr="00B903A9" w:rsidR="00292865" w:rsidP="00456AE0" w:rsidRDefault="00292865" w14:paraId="05A316B0" w14:textId="77777777">
            <w:pPr>
              <w:rPr>
                <w:rFonts w:ascii="Aptos" w:hAnsi="Aptos"/>
                <w:sz w:val="20"/>
                <w:szCs w:val="20"/>
              </w:rPr>
            </w:pPr>
            <w:r>
              <w:rPr>
                <w:rFonts w:ascii="Aptos" w:hAnsi="Aptos"/>
                <w:sz w:val="20"/>
                <w:szCs w:val="20"/>
              </w:rPr>
              <w:t>3.79</w:t>
            </w:r>
          </w:p>
        </w:tc>
        <w:tc>
          <w:tcPr>
            <w:tcW w:w="6670" w:type="dxa"/>
          </w:tcPr>
          <w:p w:rsidRPr="00596383" w:rsidR="00292865" w:rsidP="00456AE0" w:rsidRDefault="00292865" w14:paraId="5CAA1442" w14:textId="77777777">
            <w:pPr>
              <w:rPr>
                <w:rFonts w:ascii="Aptos" w:hAnsi="Aptos"/>
                <w:sz w:val="20"/>
                <w:szCs w:val="20"/>
              </w:rPr>
            </w:pPr>
            <w:r>
              <w:rPr>
                <w:rFonts w:ascii="Aptos" w:hAnsi="Aptos"/>
                <w:sz w:val="20"/>
                <w:szCs w:val="20"/>
              </w:rPr>
              <w:t>Overall, the analysis was scored moderate to high quality of outputs.</w:t>
            </w:r>
          </w:p>
        </w:tc>
      </w:tr>
    </w:tbl>
    <w:p w:rsidRPr="00DC435B" w:rsidR="00292865" w:rsidP="00292865" w:rsidRDefault="00292865" w14:paraId="14C132F3" w14:textId="77777777"/>
    <w:p w:rsidR="00292865" w:rsidP="00292865" w:rsidRDefault="00292865" w14:paraId="52CC4A60" w14:textId="77777777"/>
    <w:p w:rsidR="00292865" w:rsidRDefault="00292865" w14:paraId="7D54E0F5" w14:textId="77777777"/>
    <w:sectPr w:rsidR="00292865">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865"/>
    <w:rsid w:val="000503B7"/>
    <w:rsid w:val="001E679D"/>
    <w:rsid w:val="00281E3A"/>
    <w:rsid w:val="00292865"/>
    <w:rsid w:val="002E6926"/>
    <w:rsid w:val="00456AE0"/>
    <w:rsid w:val="004767A7"/>
    <w:rsid w:val="004B75EB"/>
    <w:rsid w:val="004C31B5"/>
    <w:rsid w:val="005833F1"/>
    <w:rsid w:val="005A3416"/>
    <w:rsid w:val="005C5773"/>
    <w:rsid w:val="006868B8"/>
    <w:rsid w:val="006B2812"/>
    <w:rsid w:val="00775C49"/>
    <w:rsid w:val="00814096"/>
    <w:rsid w:val="0085729D"/>
    <w:rsid w:val="008E55FD"/>
    <w:rsid w:val="009305FE"/>
    <w:rsid w:val="0093578D"/>
    <w:rsid w:val="00AD2E90"/>
    <w:rsid w:val="00B41FDF"/>
    <w:rsid w:val="00BE0CDF"/>
    <w:rsid w:val="00C47AE4"/>
    <w:rsid w:val="00CB7A61"/>
    <w:rsid w:val="00D15FDF"/>
    <w:rsid w:val="00D60937"/>
    <w:rsid w:val="00D76BD6"/>
    <w:rsid w:val="00DB3148"/>
    <w:rsid w:val="03AC557B"/>
    <w:rsid w:val="183C8599"/>
    <w:rsid w:val="2B8E6316"/>
    <w:rsid w:val="2D4B4606"/>
    <w:rsid w:val="31D28B08"/>
    <w:rsid w:val="4BB01474"/>
    <w:rsid w:val="6CD5DA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25D93"/>
  <w15:chartTrackingRefBased/>
  <w15:docId w15:val="{B28F204F-5CEE-4323-B8B4-F49DB8957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92865"/>
    <w:pPr>
      <w:spacing w:line="259" w:lineRule="auto"/>
    </w:pPr>
    <w:rPr>
      <w:sz w:val="22"/>
      <w:szCs w:val="22"/>
    </w:rPr>
  </w:style>
  <w:style w:type="paragraph" w:styleId="Heading1">
    <w:name w:val="heading 1"/>
    <w:basedOn w:val="Normal"/>
    <w:next w:val="Normal"/>
    <w:link w:val="Heading1Char"/>
    <w:uiPriority w:val="9"/>
    <w:qFormat/>
    <w:rsid w:val="00292865"/>
    <w:pPr>
      <w:keepNext/>
      <w:keepLines/>
      <w:spacing w:before="360" w:after="80" w:line="278" w:lineRule="auto"/>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92865"/>
    <w:pPr>
      <w:keepNext/>
      <w:keepLines/>
      <w:spacing w:before="160" w:after="80" w:line="278" w:lineRule="auto"/>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92865"/>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2865"/>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292865"/>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292865"/>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292865"/>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292865"/>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292865"/>
    <w:pPr>
      <w:keepNext/>
      <w:keepLines/>
      <w:spacing w:after="0" w:line="278" w:lineRule="auto"/>
      <w:outlineLvl w:val="8"/>
    </w:pPr>
    <w:rPr>
      <w:rFonts w:eastAsiaTheme="majorEastAsia" w:cstheme="majorBidi"/>
      <w:color w:val="272727" w:themeColor="text1" w:themeTint="D8"/>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92865"/>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292865"/>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292865"/>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292865"/>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292865"/>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29286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292865"/>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29286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292865"/>
    <w:rPr>
      <w:rFonts w:eastAsiaTheme="majorEastAsia" w:cstheme="majorBidi"/>
      <w:color w:val="272727" w:themeColor="text1" w:themeTint="D8"/>
    </w:rPr>
  </w:style>
  <w:style w:type="paragraph" w:styleId="Title">
    <w:name w:val="Title"/>
    <w:basedOn w:val="Normal"/>
    <w:next w:val="Normal"/>
    <w:link w:val="TitleChar"/>
    <w:uiPriority w:val="10"/>
    <w:qFormat/>
    <w:rsid w:val="00292865"/>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292865"/>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292865"/>
    <w:pPr>
      <w:numPr>
        <w:ilvl w:val="1"/>
      </w:numPr>
      <w:spacing w:line="278" w:lineRule="auto"/>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2928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2865"/>
    <w:pPr>
      <w:spacing w:before="160" w:line="278" w:lineRule="auto"/>
      <w:jc w:val="center"/>
    </w:pPr>
    <w:rPr>
      <w:i/>
      <w:iCs/>
      <w:color w:val="404040" w:themeColor="text1" w:themeTint="BF"/>
      <w:sz w:val="24"/>
      <w:szCs w:val="24"/>
    </w:rPr>
  </w:style>
  <w:style w:type="character" w:styleId="QuoteChar" w:customStyle="1">
    <w:name w:val="Quote Char"/>
    <w:basedOn w:val="DefaultParagraphFont"/>
    <w:link w:val="Quote"/>
    <w:uiPriority w:val="29"/>
    <w:rsid w:val="00292865"/>
    <w:rPr>
      <w:i/>
      <w:iCs/>
      <w:color w:val="404040" w:themeColor="text1" w:themeTint="BF"/>
    </w:rPr>
  </w:style>
  <w:style w:type="paragraph" w:styleId="ListParagraph">
    <w:name w:val="List Paragraph"/>
    <w:basedOn w:val="Normal"/>
    <w:uiPriority w:val="34"/>
    <w:qFormat/>
    <w:rsid w:val="00292865"/>
    <w:pPr>
      <w:spacing w:line="278" w:lineRule="auto"/>
      <w:ind w:left="720"/>
      <w:contextualSpacing/>
    </w:pPr>
    <w:rPr>
      <w:sz w:val="24"/>
      <w:szCs w:val="24"/>
    </w:rPr>
  </w:style>
  <w:style w:type="character" w:styleId="IntenseEmphasis">
    <w:name w:val="Intense Emphasis"/>
    <w:basedOn w:val="DefaultParagraphFont"/>
    <w:uiPriority w:val="21"/>
    <w:qFormat/>
    <w:rsid w:val="00292865"/>
    <w:rPr>
      <w:i/>
      <w:iCs/>
      <w:color w:val="0F4761" w:themeColor="accent1" w:themeShade="BF"/>
    </w:rPr>
  </w:style>
  <w:style w:type="paragraph" w:styleId="IntenseQuote">
    <w:name w:val="Intense Quote"/>
    <w:basedOn w:val="Normal"/>
    <w:next w:val="Normal"/>
    <w:link w:val="IntenseQuoteChar"/>
    <w:uiPriority w:val="30"/>
    <w:qFormat/>
    <w:rsid w:val="00292865"/>
    <w:pPr>
      <w:pBdr>
        <w:top w:val="single" w:color="0F4761" w:themeColor="accent1" w:themeShade="BF" w:sz="4" w:space="10"/>
        <w:bottom w:val="single" w:color="0F4761" w:themeColor="accent1" w:themeShade="BF" w:sz="4" w:space="10"/>
      </w:pBdr>
      <w:spacing w:before="360" w:after="360" w:line="278" w:lineRule="auto"/>
      <w:ind w:left="864" w:right="864"/>
      <w:jc w:val="center"/>
    </w:pPr>
    <w:rPr>
      <w:i/>
      <w:iCs/>
      <w:color w:val="0F4761" w:themeColor="accent1" w:themeShade="BF"/>
      <w:sz w:val="24"/>
      <w:szCs w:val="24"/>
    </w:rPr>
  </w:style>
  <w:style w:type="character" w:styleId="IntenseQuoteChar" w:customStyle="1">
    <w:name w:val="Intense Quote Char"/>
    <w:basedOn w:val="DefaultParagraphFont"/>
    <w:link w:val="IntenseQuote"/>
    <w:uiPriority w:val="30"/>
    <w:rsid w:val="00292865"/>
    <w:rPr>
      <w:i/>
      <w:iCs/>
      <w:color w:val="0F4761" w:themeColor="accent1" w:themeShade="BF"/>
    </w:rPr>
  </w:style>
  <w:style w:type="character" w:styleId="IntenseReference">
    <w:name w:val="Intense Reference"/>
    <w:basedOn w:val="DefaultParagraphFont"/>
    <w:uiPriority w:val="32"/>
    <w:qFormat/>
    <w:rsid w:val="00292865"/>
    <w:rPr>
      <w:b/>
      <w:bCs/>
      <w:smallCaps/>
      <w:color w:val="0F4761" w:themeColor="accent1" w:themeShade="BF"/>
      <w:spacing w:val="5"/>
    </w:rPr>
  </w:style>
  <w:style w:type="character" w:styleId="Hyperlink">
    <w:name w:val="Hyperlink"/>
    <w:basedOn w:val="DefaultParagraphFont"/>
    <w:uiPriority w:val="99"/>
    <w:unhideWhenUsed/>
    <w:rsid w:val="0085729D"/>
    <w:rPr>
      <w:color w:val="467886" w:themeColor="hyperlink"/>
      <w:u w:val="single"/>
    </w:rPr>
  </w:style>
  <w:style w:type="character" w:styleId="UnresolvedMention">
    <w:name w:val="Unresolved Mention"/>
    <w:basedOn w:val="DefaultParagraphFont"/>
    <w:uiPriority w:val="99"/>
    <w:semiHidden/>
    <w:unhideWhenUsed/>
    <w:rsid w:val="0085729D"/>
    <w:rPr>
      <w:color w:val="605E5C"/>
      <w:shd w:val="clear" w:color="auto" w:fill="E1DFDD"/>
    </w:rPr>
  </w:style>
  <w:style w:type="character" w:styleId="PlaceholderText">
    <w:name w:val="Placeholder Text"/>
    <w:basedOn w:val="DefaultParagraphFont"/>
    <w:uiPriority w:val="99"/>
    <w:semiHidden/>
    <w:rsid w:val="00C47AE4"/>
    <w:rPr>
      <w:color w:val="666666"/>
    </w:rPr>
  </w:style>
  <w:style w:type="character" w:styleId="FollowedHyperlink">
    <w:name w:val="FollowedHyperlink"/>
    <w:basedOn w:val="DefaultParagraphFont"/>
    <w:uiPriority w:val="99"/>
    <w:semiHidden/>
    <w:unhideWhenUsed/>
    <w:rsid w:val="006868B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1.png" Id="rId6" /><Relationship Type="http://schemas.openxmlformats.org/officeDocument/2006/relationships/hyperlink" Target="https://preprints.jmir.org/preprint/91433" TargetMode="Externa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Emma Ward (MED - Staff)</dc:creator>
  <keywords/>
  <dc:description/>
  <lastModifiedBy>Emma Ward (MED - Staff)</lastModifiedBy>
  <revision>25</revision>
  <dcterms:created xsi:type="dcterms:W3CDTF">2026-06-30T22:14:00.0000000Z</dcterms:created>
  <dcterms:modified xsi:type="dcterms:W3CDTF">2026-07-31T15:24:10.7219929Z</dcterms:modified>
</coreProperties>
</file>