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84" w:rsidRDefault="00BD6484" w:rsidP="00BD6484">
      <w:pPr>
        <w:spacing w:after="0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</w:rPr>
      </w:pPr>
      <w:r w:rsidRPr="00BD6484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Similarity Solution of the Fractional Time Independent Advection-Diffusion Equation in Two Dimensions </w:t>
      </w:r>
    </w:p>
    <w:p w:rsidR="004C5C41" w:rsidRPr="00BD6484" w:rsidRDefault="004C5C41" w:rsidP="00BD6484">
      <w:pPr>
        <w:spacing w:after="0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</w:rPr>
      </w:pPr>
    </w:p>
    <w:p w:rsidR="00BD6484" w:rsidRPr="00BD6484" w:rsidRDefault="00BD6484" w:rsidP="00BD6484">
      <w:pPr>
        <w:spacing w:after="0"/>
        <w:jc w:val="center"/>
        <w:rPr>
          <w:rStyle w:val="Strong"/>
          <w:rFonts w:asciiTheme="majorBidi" w:hAnsiTheme="majorBidi" w:cstheme="majorBidi"/>
          <w:sz w:val="28"/>
          <w:szCs w:val="28"/>
        </w:rPr>
      </w:pPr>
      <w:proofErr w:type="spellStart"/>
      <w:r w:rsidRPr="00BD6484">
        <w:rPr>
          <w:rFonts w:asciiTheme="majorBidi" w:hAnsiTheme="majorBidi" w:cstheme="majorBidi"/>
          <w:b/>
          <w:bCs/>
          <w:sz w:val="28"/>
          <w:szCs w:val="28"/>
          <w:lang w:bidi="ar-EG"/>
        </w:rPr>
        <w:t>Khaled</w:t>
      </w:r>
      <w:proofErr w:type="spellEnd"/>
      <w:r w:rsidRPr="00BD6484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S.M. Essa</w:t>
      </w:r>
      <w:r w:rsidRPr="00BD6484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EG"/>
        </w:rPr>
        <w:t>1a</w:t>
      </w:r>
      <w:r w:rsidRPr="00BD6484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, </w:t>
      </w:r>
      <w:r w:rsidRPr="00BD6484">
        <w:rPr>
          <w:rStyle w:val="Strong"/>
          <w:rFonts w:asciiTheme="majorBidi" w:hAnsiTheme="majorBidi" w:cstheme="majorBidi"/>
          <w:sz w:val="28"/>
          <w:szCs w:val="28"/>
        </w:rPr>
        <w:t>Ahmed M. Mosallem</w:t>
      </w:r>
      <w:r w:rsidRPr="00BD6484">
        <w:rPr>
          <w:rStyle w:val="Strong"/>
          <w:rFonts w:asciiTheme="majorBidi" w:hAnsiTheme="majorBidi" w:cstheme="majorBidi"/>
          <w:sz w:val="28"/>
          <w:szCs w:val="28"/>
          <w:vertAlign w:val="superscript"/>
        </w:rPr>
        <w:t>1b</w:t>
      </w:r>
      <w:r w:rsidRPr="00BD6484">
        <w:rPr>
          <w:rStyle w:val="Strong"/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BD6484">
        <w:rPr>
          <w:rFonts w:asciiTheme="majorBidi" w:hAnsiTheme="majorBidi" w:cstheme="majorBidi"/>
          <w:b/>
          <w:bCs/>
          <w:color w:val="000000"/>
          <w:sz w:val="28"/>
          <w:szCs w:val="28"/>
        </w:rPr>
        <w:t>Fawzia</w:t>
      </w:r>
      <w:proofErr w:type="spellEnd"/>
      <w:r w:rsidRPr="00BD648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Mubarak</w:t>
      </w:r>
      <w:r w:rsidRPr="00BD6484">
        <w:rPr>
          <w:rFonts w:asciiTheme="majorBidi" w:hAnsiTheme="majorBidi" w:cstheme="majorBidi"/>
          <w:b/>
          <w:bCs/>
          <w:color w:val="000000"/>
          <w:sz w:val="28"/>
          <w:szCs w:val="28"/>
          <w:vertAlign w:val="superscript"/>
        </w:rPr>
        <w:t>2</w:t>
      </w:r>
    </w:p>
    <w:p w:rsidR="00BD6484" w:rsidRPr="00BD6484" w:rsidRDefault="00BD6484" w:rsidP="00BD6484">
      <w:pPr>
        <w:tabs>
          <w:tab w:val="left" w:pos="1131"/>
          <w:tab w:val="left" w:pos="2596"/>
          <w:tab w:val="center" w:pos="4153"/>
          <w:tab w:val="right" w:pos="8306"/>
        </w:tabs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D6484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1a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Egyptian Atomic </w:t>
      </w:r>
      <w:r w:rsidRPr="00BD6484">
        <w:rPr>
          <w:rFonts w:asciiTheme="majorBidi" w:hAnsiTheme="majorBidi" w:cstheme="majorBidi"/>
          <w:b/>
          <w:bCs/>
          <w:noProof/>
          <w:sz w:val="24"/>
          <w:szCs w:val="24"/>
          <w:lang w:bidi="ar-EG"/>
        </w:rPr>
        <w:t>Energy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Authority,</w:t>
      </w:r>
      <w:r w:rsidRPr="00BD6484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 xml:space="preserve">(EAEA), 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>Nuclear Research Center (NRC)</w:t>
      </w:r>
      <w:proofErr w:type="gramStart"/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>,  Mathematics</w:t>
      </w:r>
      <w:proofErr w:type="gramEnd"/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Theoretical Physics Dept. Cairo, Egypt, </w:t>
      </w:r>
      <w:bookmarkStart w:id="0" w:name="_Hlk152749681"/>
      <w:r w:rsid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fldChar w:fldCharType="begin"/>
      </w:r>
      <w:r w:rsid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instrText xml:space="preserve"> HYPERLINK "mailto:</w:instrText>
      </w:r>
      <w:r w:rsidR="004C6EE3" w:rsidRP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instrText>mohamedksm56@yahoo.com</w:instrText>
      </w:r>
      <w:r w:rsid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instrText xml:space="preserve">" </w:instrText>
      </w:r>
      <w:r w:rsid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fldChar w:fldCharType="separate"/>
      </w:r>
      <w:r w:rsidR="004C6EE3" w:rsidRPr="007A17FA">
        <w:rPr>
          <w:rStyle w:val="Hyperlink"/>
          <w:rFonts w:asciiTheme="majorBidi" w:hAnsiTheme="majorBidi" w:cstheme="majorBidi"/>
          <w:b/>
          <w:bCs/>
          <w:sz w:val="24"/>
          <w:szCs w:val="24"/>
          <w:lang w:bidi="ar-EG"/>
        </w:rPr>
        <w:t>mohamedksm56@yahoo.com</w:t>
      </w:r>
      <w:r w:rsidR="004C6EE3">
        <w:rPr>
          <w:rFonts w:asciiTheme="majorBidi" w:hAnsiTheme="majorBidi" w:cstheme="majorBidi"/>
          <w:b/>
          <w:bCs/>
          <w:sz w:val="24"/>
          <w:szCs w:val="24"/>
          <w:lang w:bidi="ar-EG"/>
        </w:rPr>
        <w:fldChar w:fldCharType="end"/>
      </w:r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  <w:lang w:bidi="ar-EG"/>
        </w:rPr>
        <w:t xml:space="preserve">, Khaled.sadek@eaea.org.eg  </w:t>
      </w:r>
      <w:hyperlink r:id="rId5" w:history="1">
        <w:r w:rsidRPr="00BD64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EG"/>
          </w:rPr>
          <w:t>orcid.org/0000-0003-1477-5475</w:t>
        </w:r>
      </w:hyperlink>
      <w:bookmarkEnd w:id="0"/>
      <w:r w:rsidRPr="00BD6484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:rsidR="00BD6484" w:rsidRPr="00BD6484" w:rsidRDefault="00BD6484" w:rsidP="00BD6484">
      <w:pPr>
        <w:tabs>
          <w:tab w:val="left" w:pos="1131"/>
          <w:tab w:val="left" w:pos="2596"/>
          <w:tab w:val="center" w:pos="4153"/>
          <w:tab w:val="right" w:pos="8306"/>
        </w:tabs>
        <w:spacing w:after="0"/>
        <w:jc w:val="both"/>
        <w:rPr>
          <w:rFonts w:asciiTheme="majorBidi" w:hAnsiTheme="majorBidi" w:cstheme="majorBidi"/>
          <w:color w:val="0000FF"/>
          <w:sz w:val="24"/>
          <w:szCs w:val="24"/>
          <w:lang w:bidi="ar-EG"/>
        </w:rPr>
      </w:pPr>
      <w:r w:rsidRPr="00BD648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1b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Egyptian Atomic </w:t>
      </w:r>
      <w:r w:rsidRPr="00BD6484">
        <w:rPr>
          <w:rFonts w:asciiTheme="majorBidi" w:hAnsiTheme="majorBidi" w:cstheme="majorBidi"/>
          <w:b/>
          <w:bCs/>
          <w:noProof/>
          <w:sz w:val="24"/>
          <w:szCs w:val="24"/>
          <w:lang w:bidi="ar-EG"/>
        </w:rPr>
        <w:t>Energy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Authority,</w:t>
      </w:r>
      <w:r w:rsidRPr="00BD6484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 xml:space="preserve">(EAEA), 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>Nuclear Rese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arch Center (NRC)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,  Mathematics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BD6484">
        <w:rPr>
          <w:rFonts w:asciiTheme="majorBidi" w:hAnsiTheme="majorBidi" w:cstheme="majorBidi"/>
          <w:b/>
          <w:bCs/>
          <w:sz w:val="24"/>
          <w:szCs w:val="24"/>
          <w:lang w:bidi="ar-EG"/>
        </w:rPr>
        <w:t>and Theoretical Physics</w:t>
      </w:r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, </w:t>
      </w:r>
      <w:hyperlink r:id="rId6" w:history="1">
        <w:r w:rsidRPr="00157C1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ahmedmetwally77@hotmail.com</w:t>
        </w:r>
      </w:hyperlink>
      <w:r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, </w:t>
      </w:r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</w:rPr>
        <w:t>Ahmed.mosallem@eaea.sci.eg</w:t>
      </w:r>
    </w:p>
    <w:p w:rsidR="00BD6484" w:rsidRPr="00BD6484" w:rsidRDefault="00BD6484" w:rsidP="00BD6484">
      <w:pPr>
        <w:spacing w:after="0"/>
        <w:jc w:val="both"/>
        <w:rPr>
          <w:rStyle w:val="Hyperlink"/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  <w:lang w:bidi="ar-EG"/>
        </w:rPr>
        <w:t xml:space="preserve">2 </w:t>
      </w:r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 xml:space="preserve">Egyptian Atomic </w:t>
      </w:r>
      <w:r w:rsidRPr="00BD6484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bidi="ar-EG"/>
        </w:rPr>
        <w:t>Energy</w:t>
      </w:r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 xml:space="preserve"> Authority (EAEA), Nuclear and Radiological Safety Research Center (NRSRC), Nuclear Fuel Cycle Safety </w:t>
      </w:r>
      <w:proofErr w:type="spellStart"/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>Dept</w:t>
      </w:r>
      <w:proofErr w:type="spellEnd"/>
      <w:r w:rsidRPr="00BD6484"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  <w:t xml:space="preserve"> , Cairo, Egypt, </w:t>
      </w:r>
      <w:hyperlink r:id="rId7" w:history="1">
        <w:r w:rsidRPr="00BD6484">
          <w:rPr>
            <w:rStyle w:val="Hyperlink"/>
            <w:rFonts w:asciiTheme="majorBidi" w:hAnsiTheme="majorBidi" w:cstheme="majorBidi"/>
            <w:b/>
            <w:bCs/>
            <w:color w:val="0000FF"/>
            <w:sz w:val="24"/>
            <w:szCs w:val="24"/>
            <w:lang w:bidi="ar-EG"/>
          </w:rPr>
          <w:t>fawziamubarak@yahoo.com</w:t>
        </w:r>
      </w:hyperlink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  <w:lang w:bidi="ar-EG"/>
        </w:rPr>
        <w:t xml:space="preserve">, </w:t>
      </w:r>
      <w:proofErr w:type="spellStart"/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  <w:lang w:bidi="ar-EG"/>
        </w:rPr>
        <w:t>Orcid</w:t>
      </w:r>
      <w:proofErr w:type="spellEnd"/>
      <w:r w:rsidRPr="00BD6484">
        <w:rPr>
          <w:rFonts w:asciiTheme="majorBidi" w:hAnsiTheme="majorBidi" w:cstheme="majorBidi"/>
          <w:b/>
          <w:bCs/>
          <w:color w:val="0000FF"/>
          <w:sz w:val="24"/>
          <w:szCs w:val="24"/>
          <w:lang w:bidi="ar-EG"/>
        </w:rPr>
        <w:t xml:space="preserve">: 0000-0003-2258-8362, </w:t>
      </w:r>
      <w:hyperlink r:id="rId8" w:history="1">
        <w:proofErr w:type="spellStart"/>
        <w:r w:rsidRPr="00BD64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EG"/>
          </w:rPr>
          <w:t>fawzia.mubarak</w:t>
        </w:r>
        <w:proofErr w:type="spellEnd"/>
        <w:r w:rsidRPr="00BD64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EG"/>
          </w:rPr>
          <w:t xml:space="preserve"> @</w:t>
        </w:r>
        <w:proofErr w:type="spellStart"/>
        <w:r w:rsidRPr="00BD64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EG"/>
          </w:rPr>
          <w:t>eaea</w:t>
        </w:r>
        <w:proofErr w:type="spellEnd"/>
        <w:r w:rsidRPr="00BD6484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EG"/>
          </w:rPr>
          <w:t xml:space="preserve"> .org.eg</w:t>
        </w:r>
      </w:hyperlink>
    </w:p>
    <w:p w:rsidR="00BD6484" w:rsidRPr="000362A7" w:rsidRDefault="00BD6484" w:rsidP="00BD6484">
      <w:pPr>
        <w:spacing w:after="0"/>
        <w:jc w:val="both"/>
        <w:rPr>
          <w:rFonts w:asciiTheme="majorBidi" w:hAnsiTheme="majorBidi" w:cstheme="majorBidi"/>
          <w:b/>
          <w:bCs/>
          <w:color w:val="0000FF"/>
          <w:sz w:val="18"/>
          <w:szCs w:val="18"/>
          <w:lang w:bidi="ar-EG"/>
        </w:rPr>
      </w:pPr>
    </w:p>
    <w:p w:rsidR="00BD6484" w:rsidRPr="004C5C41" w:rsidRDefault="00BD6484" w:rsidP="00BD6484">
      <w:pPr>
        <w:spacing w:after="0" w:line="264" w:lineRule="auto"/>
        <w:rPr>
          <w:rStyle w:val="Hyperlink"/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4C5C41">
        <w:rPr>
          <w:rStyle w:val="Hyperlink"/>
          <w:rFonts w:asciiTheme="majorBidi" w:hAnsiTheme="majorBidi" w:cstheme="majorBidi"/>
          <w:b/>
          <w:bCs/>
          <w:color w:val="000000" w:themeColor="text1"/>
          <w:sz w:val="36"/>
          <w:szCs w:val="36"/>
        </w:rPr>
        <w:t>Abstract</w:t>
      </w:r>
    </w:p>
    <w:p w:rsidR="00BD6484" w:rsidRPr="004C5C41" w:rsidRDefault="00BD6484" w:rsidP="00BD6484">
      <w:pPr>
        <w:spacing w:after="0" w:line="264" w:lineRule="auto"/>
        <w:rPr>
          <w:rStyle w:val="Hyperlink"/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</w:p>
    <w:p w:rsidR="004C6EE3" w:rsidRPr="004C6EE3" w:rsidRDefault="004C6EE3" w:rsidP="004C6EE3">
      <w:pPr>
        <w:jc w:val="both"/>
        <w:rPr>
          <w:rFonts w:asciiTheme="majorBidi" w:hAnsiTheme="majorBidi" w:cstheme="majorBidi"/>
          <w:sz w:val="36"/>
          <w:szCs w:val="36"/>
        </w:rPr>
      </w:pPr>
      <w:r>
        <w:rPr>
          <w:rStyle w:val="Hyperlink"/>
          <w:rFonts w:asciiTheme="majorBidi" w:hAnsiTheme="majorBidi" w:cstheme="majorBidi"/>
          <w:b/>
          <w:bCs/>
          <w:color w:val="000000" w:themeColor="text1"/>
          <w:sz w:val="36"/>
          <w:szCs w:val="36"/>
          <w:u w:val="none"/>
        </w:rPr>
        <w:t xml:space="preserve">           </w:t>
      </w:r>
      <w:r w:rsidRPr="004C6EE3">
        <w:rPr>
          <w:rFonts w:asciiTheme="majorBidi" w:eastAsia="Times New Roman" w:hAnsiTheme="majorBidi" w:cstheme="majorBidi"/>
          <w:sz w:val="36"/>
          <w:szCs w:val="36"/>
        </w:rPr>
        <w:t>The similarity solution method was used to solve the two-dimensional, time-independent partial differential diffusion equation that took into account changes in wind speed and vertical vortex diffusion under atmospheric instability. Concentrations were computed and compared to sulfur dioxide (SO</w:t>
      </w:r>
      <w:r w:rsidRPr="004C6EE3">
        <w:rPr>
          <w:rFonts w:asciiTheme="majorBidi" w:eastAsia="Times New Roman" w:hAnsiTheme="majorBidi" w:cstheme="majorBidi"/>
          <w:sz w:val="36"/>
          <w:szCs w:val="36"/>
          <w:vertAlign w:val="subscript"/>
        </w:rPr>
        <w:t>2</w:t>
      </w:r>
      <w:r w:rsidRPr="004C6EE3">
        <w:rPr>
          <w:rFonts w:asciiTheme="majorBidi" w:eastAsia="Times New Roman" w:hAnsiTheme="majorBidi" w:cstheme="majorBidi"/>
          <w:sz w:val="36"/>
          <w:szCs w:val="36"/>
        </w:rPr>
        <w:t>) concentrations measured across the Prairie-Grass experiment in the United States. Applying a similarity solution often used appropriate computing performance and precision. We can infer that the numerical similarity solution yields dependable answers with a respectable level of accuracy.</w:t>
      </w:r>
      <w:r w:rsidRPr="004C6EE3">
        <w:rPr>
          <w:rFonts w:asciiTheme="majorBidi" w:hAnsiTheme="majorBidi" w:cstheme="majorBidi"/>
          <w:sz w:val="36"/>
          <w:szCs w:val="36"/>
        </w:rPr>
        <w:t xml:space="preserve"> We find that all fractional predicted concentrations of SO</w:t>
      </w:r>
      <w:r w:rsidRPr="004C6EE3">
        <w:rPr>
          <w:rFonts w:asciiTheme="majorBidi" w:hAnsiTheme="majorBidi" w:cstheme="majorBidi"/>
          <w:sz w:val="36"/>
          <w:szCs w:val="36"/>
          <w:vertAlign w:val="subscript"/>
        </w:rPr>
        <w:t>2</w:t>
      </w:r>
      <w:r w:rsidRPr="004C6EE3">
        <w:rPr>
          <w:rFonts w:asciiTheme="majorBidi" w:hAnsiTheme="majorBidi" w:cstheme="majorBidi"/>
          <w:sz w:val="36"/>
          <w:szCs w:val="36"/>
        </w:rPr>
        <w:t xml:space="preserve"> are inside a factor of two with the observed concentrations except at distance 400m in the </w:t>
      </w:r>
      <w:r w:rsidRPr="004C6EE3">
        <w:rPr>
          <w:rFonts w:asciiTheme="majorBidi" w:hAnsiTheme="majorBidi" w:cstheme="majorBidi"/>
          <w:bCs/>
          <w:iCs/>
          <w:color w:val="000000"/>
          <w:sz w:val="36"/>
          <w:szCs w:val="36"/>
        </w:rPr>
        <w:t>Prairie-Grass experiment are outside a factor of two</w:t>
      </w:r>
      <w:r w:rsidRPr="004C6EE3">
        <w:rPr>
          <w:rFonts w:asciiTheme="majorBidi" w:hAnsiTheme="majorBidi" w:cstheme="majorBidi"/>
          <w:sz w:val="36"/>
          <w:szCs w:val="36"/>
        </w:rPr>
        <w:t>. We find that all fractional predicted concentrations of SO</w:t>
      </w:r>
      <w:r w:rsidRPr="004C6EE3">
        <w:rPr>
          <w:rFonts w:asciiTheme="majorBidi" w:hAnsiTheme="majorBidi" w:cstheme="majorBidi"/>
          <w:sz w:val="36"/>
          <w:szCs w:val="36"/>
          <w:vertAlign w:val="subscript"/>
        </w:rPr>
        <w:t>2</w:t>
      </w:r>
      <w:r w:rsidRPr="004C6EE3">
        <w:rPr>
          <w:rFonts w:asciiTheme="majorBidi" w:hAnsiTheme="majorBidi" w:cstheme="majorBidi"/>
          <w:sz w:val="36"/>
          <w:szCs w:val="36"/>
        </w:rPr>
        <w:t xml:space="preserve"> inside a factor of two with the observed </w:t>
      </w:r>
      <w:r w:rsidRPr="004C6EE3">
        <w:rPr>
          <w:rFonts w:asciiTheme="majorBidi" w:hAnsiTheme="majorBidi" w:cstheme="majorBidi"/>
          <w:sz w:val="36"/>
          <w:szCs w:val="36"/>
        </w:rPr>
        <w:lastRenderedPageBreak/>
        <w:t xml:space="preserve">concentrations except at distance 400m in the </w:t>
      </w:r>
      <w:r w:rsidRPr="004C6EE3">
        <w:rPr>
          <w:rFonts w:asciiTheme="majorBidi" w:hAnsiTheme="majorBidi" w:cstheme="majorBidi"/>
          <w:bCs/>
          <w:iCs/>
          <w:color w:val="000000"/>
          <w:sz w:val="36"/>
          <w:szCs w:val="36"/>
        </w:rPr>
        <w:t>Prairie-Grass experiment</w:t>
      </w:r>
      <w:r w:rsidRPr="004C6EE3">
        <w:rPr>
          <w:rFonts w:asciiTheme="majorBidi" w:hAnsiTheme="majorBidi" w:cstheme="majorBidi"/>
          <w:sz w:val="36"/>
          <w:szCs w:val="36"/>
        </w:rPr>
        <w:t xml:space="preserve">. </w:t>
      </w:r>
      <w:r w:rsidRPr="004C6EE3">
        <w:rPr>
          <w:rStyle w:val="Strong"/>
          <w:rFonts w:asciiTheme="majorBidi" w:eastAsia="SimSun" w:hAnsiTheme="majorBidi" w:cstheme="majorBidi"/>
          <w:b w:val="0"/>
          <w:bCs w:val="0"/>
          <w:sz w:val="36"/>
          <w:szCs w:val="36"/>
        </w:rPr>
        <w:t xml:space="preserve">A fractional predicted concentrations at x=50, 100, 200 and 800 when </w:t>
      </w:r>
      <m:oMath>
        <m:r>
          <m:rPr>
            <m:sty m:val="bi"/>
          </m:rPr>
          <w:rPr>
            <w:rStyle w:val="Strong"/>
            <w:rFonts w:ascii="Cambria Math" w:eastAsia="SimSun" w:hAnsi="Cambria Math" w:cstheme="majorBidi"/>
            <w:sz w:val="36"/>
            <w:szCs w:val="36"/>
          </w:rPr>
          <m:t>α</m:t>
        </m:r>
        <m:r>
          <w:rPr>
            <w:rStyle w:val="Strong"/>
            <w:rFonts w:ascii="Cambria Math" w:eastAsia="SimSun" w:hAnsi="Cambria Math" w:cstheme="majorBidi"/>
            <w:sz w:val="36"/>
            <w:szCs w:val="36"/>
          </w:rPr>
          <m:t>=</m:t>
        </m:r>
        <m:r>
          <m:rPr>
            <m:sty m:val="bi"/>
          </m:rPr>
          <w:rPr>
            <w:rStyle w:val="Strong"/>
            <w:rFonts w:ascii="Cambria Math" w:eastAsia="SimSun" w:hAnsi="Cambria Math" w:cstheme="majorBidi"/>
            <w:sz w:val="36"/>
            <w:szCs w:val="36"/>
          </w:rPr>
          <m:t>0</m:t>
        </m:r>
        <m:r>
          <w:rPr>
            <w:rStyle w:val="Strong"/>
            <w:rFonts w:ascii="Cambria Math" w:eastAsia="SimSun" w:hAnsi="Cambria Math" w:cstheme="majorBidi"/>
            <w:sz w:val="36"/>
            <w:szCs w:val="36"/>
          </w:rPr>
          <m:t>.</m:t>
        </m:r>
        <m:r>
          <m:rPr>
            <m:sty m:val="bi"/>
          </m:rPr>
          <w:rPr>
            <w:rStyle w:val="Strong"/>
            <w:rFonts w:ascii="Cambria Math" w:eastAsia="SimSun" w:hAnsi="Cambria Math" w:cstheme="majorBidi"/>
            <w:sz w:val="36"/>
            <w:szCs w:val="36"/>
          </w:rPr>
          <m:t>85</m:t>
        </m:r>
      </m:oMath>
      <w:r w:rsidRPr="004C6EE3">
        <w:rPr>
          <w:rStyle w:val="Strong"/>
          <w:rFonts w:asciiTheme="majorBidi" w:eastAsia="SimSun" w:hAnsiTheme="majorBidi" w:cstheme="majorBidi"/>
          <w:b w:val="0"/>
          <w:bCs w:val="0"/>
          <w:sz w:val="36"/>
          <w:szCs w:val="36"/>
        </w:rPr>
        <w:t xml:space="preserve"> achieved 63%, 0.99%, 100% and 0.84% respectively.</w:t>
      </w:r>
    </w:p>
    <w:p w:rsidR="0002122F" w:rsidRPr="004C5C41" w:rsidRDefault="00BD6484" w:rsidP="004C6EE3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C5C41">
        <w:rPr>
          <w:rFonts w:ascii="Times New Roman" w:eastAsia="Times New Roman" w:hAnsi="Times New Roman" w:cs="Times New Roman"/>
          <w:sz w:val="36"/>
          <w:szCs w:val="36"/>
        </w:rPr>
        <w:t>Keywords: Similari</w:t>
      </w:r>
      <w:bookmarkStart w:id="1" w:name="_GoBack"/>
      <w:bookmarkEnd w:id="1"/>
      <w:r w:rsidRPr="004C5C41">
        <w:rPr>
          <w:rFonts w:ascii="Times New Roman" w:eastAsia="Times New Roman" w:hAnsi="Times New Roman" w:cs="Times New Roman"/>
          <w:sz w:val="36"/>
          <w:szCs w:val="36"/>
        </w:rPr>
        <w:t>ty Solution Method; Prairie-Grass Experiment; Sulfur Dioxide Concentrations.</w:t>
      </w:r>
    </w:p>
    <w:p w:rsidR="00BD6484" w:rsidRDefault="00BD6484" w:rsidP="00BD6484">
      <w:pPr>
        <w:jc w:val="center"/>
        <w:rPr>
          <w:sz w:val="32"/>
          <w:szCs w:val="32"/>
        </w:rPr>
      </w:pPr>
    </w:p>
    <w:p w:rsidR="00BD6484" w:rsidRDefault="00BD6484" w:rsidP="00BD6484">
      <w:pPr>
        <w:jc w:val="center"/>
        <w:rPr>
          <w:sz w:val="32"/>
          <w:szCs w:val="32"/>
        </w:rPr>
      </w:pPr>
    </w:p>
    <w:p w:rsidR="00BD6484" w:rsidRDefault="00BD6484" w:rsidP="00BD6484">
      <w:pPr>
        <w:jc w:val="center"/>
        <w:rPr>
          <w:sz w:val="32"/>
          <w:szCs w:val="32"/>
        </w:rPr>
      </w:pPr>
    </w:p>
    <w:p w:rsidR="00BD6484" w:rsidRDefault="00BD6484" w:rsidP="00BD6484">
      <w:pPr>
        <w:jc w:val="center"/>
        <w:rPr>
          <w:sz w:val="32"/>
          <w:szCs w:val="32"/>
        </w:rPr>
      </w:pPr>
      <w:r w:rsidRPr="000362A7">
        <w:rPr>
          <w:rFonts w:asciiTheme="majorBidi" w:eastAsiaTheme="minorEastAsia" w:hAnsiTheme="majorBidi" w:cstheme="majorBidi"/>
          <w:iCs/>
          <w:noProof/>
        </w:rPr>
        <w:drawing>
          <wp:inline distT="0" distB="0" distL="0" distR="0" wp14:anchorId="054B66DC" wp14:editId="38B5B534">
            <wp:extent cx="5411006" cy="289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74" cy="291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484" w:rsidRPr="000362A7" w:rsidRDefault="00BD6484" w:rsidP="00BD6484">
      <w:pPr>
        <w:jc w:val="center"/>
        <w:rPr>
          <w:rFonts w:asciiTheme="majorBidi" w:hAnsiTheme="majorBidi" w:cstheme="majorBidi"/>
        </w:rPr>
      </w:pPr>
      <w:proofErr w:type="gramStart"/>
      <w:r w:rsidRPr="000362A7">
        <w:rPr>
          <w:rFonts w:asciiTheme="majorBidi" w:hAnsiTheme="majorBidi" w:cstheme="majorBidi"/>
        </w:rPr>
        <w:t>Fig.</w:t>
      </w:r>
      <w:proofErr w:type="gramEnd"/>
      <w:r w:rsidRPr="000362A7">
        <w:rPr>
          <w:rFonts w:asciiTheme="majorBidi" w:hAnsiTheme="majorBidi" w:cstheme="majorBidi"/>
        </w:rPr>
        <w:t xml:space="preserve"> (1) Comparisons between Predicated and Observed crosswind concentration 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ajorBid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theme="majorBidi"/>
              </w:rPr>
              <m:t>y</m:t>
            </m:r>
          </m:sub>
        </m:sSub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x,z</m:t>
            </m:r>
          </m:e>
        </m:d>
      </m:oMath>
      <w:r w:rsidRPr="000362A7">
        <w:rPr>
          <w:rFonts w:asciiTheme="majorBidi" w:hAnsiTheme="majorBidi" w:cstheme="majorBidi"/>
        </w:rPr>
        <w:t xml:space="preserve"> during Prairie Grass for unstable condition experiment</w:t>
      </w:r>
      <w:r>
        <w:rPr>
          <w:rFonts w:asciiTheme="majorBidi" w:hAnsiTheme="majorBidi" w:cstheme="majorBidi"/>
        </w:rPr>
        <w:t xml:space="preserve"> at 100m.</w:t>
      </w:r>
    </w:p>
    <w:p w:rsidR="00BD6484" w:rsidRPr="00BD6484" w:rsidRDefault="00BD6484" w:rsidP="00BD6484">
      <w:pPr>
        <w:jc w:val="center"/>
        <w:rPr>
          <w:sz w:val="32"/>
          <w:szCs w:val="32"/>
        </w:rPr>
      </w:pPr>
    </w:p>
    <w:sectPr w:rsidR="00BD6484" w:rsidRPr="00BD6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84"/>
    <w:rsid w:val="0002122F"/>
    <w:rsid w:val="004C5C41"/>
    <w:rsid w:val="004C6EE3"/>
    <w:rsid w:val="006570EA"/>
    <w:rsid w:val="00BD6484"/>
    <w:rsid w:val="00F9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484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BD64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484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BD64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wzia.mubarak@eaea.org.e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wziamubarak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hmedmetwally77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rcid.org/0000-0003-1477-547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</dc:creator>
  <cp:lastModifiedBy>Tiger</cp:lastModifiedBy>
  <cp:revision>2</cp:revision>
  <dcterms:created xsi:type="dcterms:W3CDTF">2026-08-03T13:17:00Z</dcterms:created>
  <dcterms:modified xsi:type="dcterms:W3CDTF">2026-08-03T13:17:00Z</dcterms:modified>
</cp:coreProperties>
</file>