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10.png" ContentType="image/png"/>
  <Override PartName="/word/media/image6.png" ContentType="image/png"/>
  <Override PartName="/word/media/image11.png" ContentType="image/png"/>
  <Override PartName="/word/media/image7.png" ContentType="image/png"/>
  <Override PartName="/word/media/image12.png" ContentType="image/png"/>
  <Override PartName="/word/media/image8.png" ContentType="image/png"/>
  <Override PartName="/word/media/image9.png" ContentType="image/pn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bidi w:val="0"/>
        <w:jc w:val="left"/>
        <w:rPr>
          <w:sz w:val="28"/>
          <w:szCs w:val="28"/>
        </w:rPr>
      </w:pPr>
      <w:r>
        <w:rPr>
          <w:rStyle w:val="StrongEmphasis"/>
          <w:sz w:val="28"/>
          <w:szCs w:val="28"/>
        </w:rPr>
        <w:t>Supplementary Note 1. Model equations, parameters, and numerical methods.</w:t>
      </w:r>
    </w:p>
    <w:p>
      <w:pPr>
        <w:pStyle w:val="Heading3"/>
        <w:numPr>
          <w:ilvl w:val="0"/>
          <w:numId w:val="0"/>
        </w:numPr>
        <w:bidi w:val="0"/>
        <w:spacing w:before="140" w:after="120"/>
        <w:ind w:left="0" w:hanging="0"/>
        <w:jc w:val="left"/>
        <w:rPr/>
      </w:pPr>
      <w:r>
        <w:rPr/>
        <w:t>S1.1 Governing equations</w:t>
      </w:r>
    </w:p>
    <w:p>
      <w:pPr>
        <w:pStyle w:val="TextBody"/>
        <w:bidi w:val="0"/>
        <w:spacing w:lineRule="auto" w:line="276" w:before="0" w:after="140"/>
        <w:jc w:val="left"/>
        <w:rPr/>
      </w:pPr>
      <w:r>
        <w:rPr/>
        <w:t>The TECP model is defined by the following eight coupled partial differential equations for the state variables soil moisture θ (volumetric water content, 0≤θ≤1), water vapour concentration C</w:t>
      </w:r>
      <w:r>
        <w:rPr>
          <w:vertAlign w:val="subscript"/>
        </w:rPr>
        <w:t>v</w:t>
      </w:r>
      <w:r>
        <w:rPr/>
        <w:t>, absolute temperature T (K), oxygen volume fraction O</w:t>
      </w:r>
      <w:r>
        <w:rPr>
          <w:vertAlign w:val="subscript"/>
        </w:rPr>
        <w:t>2</w:t>
      </w:r>
      <w:r>
        <w:rPr/>
        <w:t>, carbon dioxide volume fraction CO</w:t>
      </w:r>
      <w:r>
        <w:rPr>
          <w:vertAlign w:val="subscript"/>
        </w:rPr>
        <w:t>2</w:t>
      </w:r>
      <w:r>
        <w:rPr/>
        <w:t>, active biomass B (relative index), mycorrhizal stress signal S (mol m⁻³), and mycelium density M (dimensionless):</w:t>
      </w:r>
    </w:p>
    <w:p>
      <w:pPr>
        <w:pStyle w:val="TextBody"/>
        <w:bidi w:val="0"/>
        <w:jc w:val="left"/>
        <w:rPr/>
      </w:pPr>
      <w:r>
        <w:rPr/>
      </w:r>
      <m:oMathPara xmlns:m="http://schemas.openxmlformats.org/officeDocument/2006/math">
        <m:oMathParaPr>
          <m:jc m:val="left"/>
        </m:oMathParaPr>
        <m:oMath>
          <m:m>
            <m:mr>
              <m:e>
                <m:f>
                  <m:num>
                    <m:r>
                      <w:rPr>
                        <w:rFonts w:ascii="Cambria Math" w:hAnsi="Cambria Math"/>
                      </w:rPr>
                      <m:t xml:space="preserve">∂</m:t>
                    </m:r>
                    <m:r>
                      <w:rPr>
                        <w:rFonts w:ascii="Cambria Math" w:hAnsi="Cambria Math"/>
                      </w:rPr>
                      <m:t xml:space="preserve">θ</m:t>
                    </m:r>
                  </m:num>
                  <m:den>
                    <m:r>
                      <w:rPr>
                        <w:rFonts w:ascii="Cambria Math" w:hAnsi="Cambria Math"/>
                      </w:rPr>
                      <m:t xml:space="preserve">∂</m:t>
                    </m:r>
                    <m:r>
                      <w:rPr>
                        <w:rFonts w:ascii="Cambria Math" w:hAnsi="Cambria Math"/>
                      </w:rPr>
                      <m:t xml:space="preserve">t</m:t>
                    </m:r>
                  </m:den>
                </m:f>
                <m:r>
                  <w:rPr>
                    <w:rFonts w:ascii="Cambria Math" w:hAnsi="Cambria Math"/>
                  </w:rPr>
                  <m:t xml:space="preserve">=</m:t>
                </m:r>
                <m:r>
                  <w:rPr>
                    <w:rFonts w:ascii="Cambria Math" w:hAnsi="Cambria Math"/>
                  </w:rPr>
                  <m:t xml:space="preserve">∇</m:t>
                </m:r>
                <m:r>
                  <w:rPr>
                    <w:rFonts w:ascii="Cambria Math" w:hAnsi="Cambria Math"/>
                  </w:rPr>
                  <m:t xml:space="preserve">⋅</m:t>
                </m:r>
                <m:d>
                  <m:dPr>
                    <m:begChr m:val="("/>
                    <m:endChr m:val=")"/>
                  </m:dPr>
                  <m:e>
                    <m:r>
                      <w:rPr>
                        <w:rFonts w:ascii="Cambria Math" w:hAnsi="Cambria Math"/>
                      </w:rPr>
                      <m:t xml:space="preserve">K</m:t>
                    </m:r>
                    <m:r>
                      <w:rPr>
                        <w:rFonts w:ascii="Cambria Math" w:hAnsi="Cambria Math"/>
                      </w:rPr>
                      <m:t xml:space="preserve">∇</m:t>
                    </m:r>
                    <m:r>
                      <w:rPr>
                        <w:rFonts w:ascii="Cambria Math" w:hAnsi="Cambria Math"/>
                      </w:rPr>
                      <m:t xml:space="preserve">θ</m:t>
                    </m:r>
                  </m:e>
                </m:d>
                <m:r>
                  <w:rPr>
                    <w:rFonts w:ascii="Cambria Math" w:hAnsi="Cambria Math"/>
                  </w:rPr>
                  <m:t xml:space="preserve">−</m:t>
                </m:r>
                <m:r>
                  <w:rPr>
                    <w:rFonts w:ascii="Cambria Math" w:hAnsi="Cambria Math"/>
                  </w:rPr>
                  <m:t xml:space="preserve">U</m:t>
                </m:r>
                <m:r>
                  <w:rPr>
                    <w:rFonts w:ascii="Cambria Math" w:hAnsi="Cambria Math"/>
                  </w:rPr>
                  <m:t xml:space="preserve">−</m:t>
                </m:r>
                <m:r>
                  <w:rPr>
                    <w:rFonts w:ascii="Cambria Math" w:hAnsi="Cambria Math"/>
                  </w:rPr>
                  <m:t xml:space="preserve">E</m:t>
                </m:r>
                <m:r>
                  <w:rPr>
                    <w:rFonts w:ascii="Cambria Math" w:hAnsi="Cambria Math"/>
                  </w:rPr>
                  <m:t xml:space="preserve">+</m:t>
                </m:r>
                <m:sSub>
                  <m:e>
                    <m:r>
                      <w:rPr>
                        <w:rFonts w:ascii="Cambria Math" w:hAnsi="Cambria Math"/>
                      </w:rPr>
                      <m:t xml:space="preserve">C</m:t>
                    </m:r>
                  </m:e>
                  <m:sub>
                    <m:r>
                      <m:rPr>
                        <m:lit/>
                        <m:nor/>
                      </m:rPr>
                      <w:rPr>
                        <w:rFonts w:ascii="Cambria Math" w:hAnsi="Cambria Math"/>
                      </w:rPr>
                      <m:t xml:space="preserve">cond</m:t>
                    </m:r>
                  </m:sub>
                </m:sSub>
              </m:e>
              <m:e>
                <m:r>
                  <m:rPr>
                    <m:lit/>
                    <m:nor/>
                  </m:rPr>
                  <w:rPr>
                    <w:rFonts w:ascii="Cambria Math" w:hAnsi="Cambria Math"/>
                  </w:rPr>
                  <m:t xml:space="preserve">(S1)</m:t>
                </m:r>
              </m:e>
            </m:mr>
          </m:m>
        </m:oMath>
      </m:oMathPara>
    </w:p>
    <w:p>
      <w:pPr>
        <w:pStyle w:val="TextBody"/>
        <w:bidi w:val="0"/>
        <w:jc w:val="left"/>
        <w:rPr/>
      </w:pPr>
      <w:r>
        <w:rPr/>
      </w:r>
      <m:oMathPara xmlns:m="http://schemas.openxmlformats.org/officeDocument/2006/math">
        <m:oMathParaPr>
          <m:jc m:val="left"/>
        </m:oMathParaPr>
        <m:oMath>
          <m:m>
            <m:mr>
              <m:e>
                <m:f>
                  <m:num>
                    <m:r>
                      <w:rPr>
                        <w:rFonts w:ascii="Cambria Math" w:hAnsi="Cambria Math"/>
                      </w:rPr>
                      <m:t xml:space="preserve">∂</m:t>
                    </m:r>
                    <m:sSub>
                      <m:e>
                        <m:r>
                          <w:rPr>
                            <w:rFonts w:ascii="Cambria Math" w:hAnsi="Cambria Math"/>
                          </w:rPr>
                          <m:t xml:space="preserve">C</m:t>
                        </m:r>
                      </m:e>
                      <m:sub>
                        <m:r>
                          <w:rPr>
                            <w:rFonts w:ascii="Cambria Math" w:hAnsi="Cambria Math"/>
                          </w:rPr>
                          <m:t xml:space="preserve">v</m:t>
                        </m:r>
                      </m:sub>
                    </m:sSub>
                  </m:num>
                  <m:den>
                    <m:r>
                      <w:rPr>
                        <w:rFonts w:ascii="Cambria Math" w:hAnsi="Cambria Math"/>
                      </w:rPr>
                      <m:t xml:space="preserve">∂</m:t>
                    </m:r>
                    <m:r>
                      <w:rPr>
                        <w:rFonts w:ascii="Cambria Math" w:hAnsi="Cambria Math"/>
                      </w:rPr>
                      <m:t xml:space="preserve">t</m:t>
                    </m:r>
                  </m:den>
                </m:f>
                <m:r>
                  <w:rPr>
                    <w:rFonts w:ascii="Cambria Math" w:hAnsi="Cambria Math"/>
                  </w:rPr>
                  <m:t xml:space="preserve">=</m:t>
                </m:r>
                <m:r>
                  <w:rPr>
                    <w:rFonts w:ascii="Cambria Math" w:hAnsi="Cambria Math"/>
                  </w:rPr>
                  <m:t xml:space="preserve">∇</m:t>
                </m:r>
                <m:r>
                  <w:rPr>
                    <w:rFonts w:ascii="Cambria Math" w:hAnsi="Cambria Math"/>
                  </w:rPr>
                  <m:t xml:space="preserve">⋅</m:t>
                </m:r>
                <m:d>
                  <m:dPr>
                    <m:begChr m:val="("/>
                    <m:endChr m:val=")"/>
                  </m:dPr>
                  <m:e>
                    <m:sSub>
                      <m:e>
                        <m:r>
                          <w:rPr>
                            <w:rFonts w:ascii="Cambria Math" w:hAnsi="Cambria Math"/>
                          </w:rPr>
                          <m:t xml:space="preserve">D</m:t>
                        </m:r>
                      </m:e>
                      <m:sub>
                        <m:r>
                          <w:rPr>
                            <w:rFonts w:ascii="Cambria Math" w:hAnsi="Cambria Math"/>
                          </w:rPr>
                          <m:t xml:space="preserve">v</m:t>
                        </m:r>
                      </m:sub>
                    </m:sSub>
                    <m:r>
                      <w:rPr>
                        <w:rFonts w:ascii="Cambria Math" w:hAnsi="Cambria Math"/>
                      </w:rPr>
                      <m:t xml:space="preserve">∇</m:t>
                    </m:r>
                    <m:sSub>
                      <m:e>
                        <m:r>
                          <w:rPr>
                            <w:rFonts w:ascii="Cambria Math" w:hAnsi="Cambria Math"/>
                          </w:rPr>
                          <m:t xml:space="preserve">C</m:t>
                        </m:r>
                      </m:e>
                      <m:sub>
                        <m:r>
                          <w:rPr>
                            <w:rFonts w:ascii="Cambria Math" w:hAnsi="Cambria Math"/>
                          </w:rPr>
                          <m:t xml:space="preserve">v</m:t>
                        </m:r>
                      </m:sub>
                    </m:sSub>
                  </m:e>
                </m:d>
                <m:r>
                  <w:rPr>
                    <w:rFonts w:ascii="Cambria Math" w:hAnsi="Cambria Math"/>
                  </w:rPr>
                  <m:t xml:space="preserve">+</m:t>
                </m:r>
                <m:r>
                  <w:rPr>
                    <w:rFonts w:ascii="Cambria Math" w:hAnsi="Cambria Math"/>
                  </w:rPr>
                  <m:t xml:space="preserve">E</m:t>
                </m:r>
                <m:r>
                  <w:rPr>
                    <w:rFonts w:ascii="Cambria Math" w:hAnsi="Cambria Math"/>
                  </w:rPr>
                  <m:t xml:space="preserve">+</m:t>
                </m:r>
                <m:sSub>
                  <m:e>
                    <m:r>
                      <w:rPr>
                        <w:rFonts w:ascii="Cambria Math" w:hAnsi="Cambria Math"/>
                      </w:rPr>
                      <m:t xml:space="preserve">T</m:t>
                    </m:r>
                  </m:e>
                  <m:sub>
                    <m:r>
                      <w:rPr>
                        <w:rFonts w:ascii="Cambria Math" w:hAnsi="Cambria Math"/>
                      </w:rPr>
                      <m:t xml:space="preserve">r</m:t>
                    </m:r>
                  </m:sub>
                </m:sSub>
                <m:r>
                  <w:rPr>
                    <w:rFonts w:ascii="Cambria Math" w:hAnsi="Cambria Math"/>
                  </w:rPr>
                  <m:t xml:space="preserve">−</m:t>
                </m:r>
                <m:sSub>
                  <m:e>
                    <m:r>
                      <w:rPr>
                        <w:rFonts w:ascii="Cambria Math" w:hAnsi="Cambria Math"/>
                      </w:rPr>
                      <m:t xml:space="preserve">C</m:t>
                    </m:r>
                  </m:e>
                  <m:sub>
                    <m:r>
                      <m:rPr>
                        <m:lit/>
                        <m:nor/>
                      </m:rPr>
                      <w:rPr>
                        <w:rFonts w:ascii="Cambria Math" w:hAnsi="Cambria Math"/>
                      </w:rPr>
                      <m:t xml:space="preserve">cond</m:t>
                    </m:r>
                  </m:sub>
                </m:sSub>
              </m:e>
              <m:e>
                <m:r>
                  <m:rPr>
                    <m:lit/>
                    <m:nor/>
                  </m:rPr>
                  <w:rPr>
                    <w:rFonts w:ascii="Cambria Math" w:hAnsi="Cambria Math"/>
                  </w:rPr>
                  <m:t xml:space="preserve">(S2)</m:t>
                </m:r>
              </m:e>
            </m:mr>
          </m:m>
        </m:oMath>
      </m:oMathPara>
    </w:p>
    <w:p>
      <w:pPr>
        <w:pStyle w:val="TextBody"/>
        <w:bidi w:val="0"/>
        <w:jc w:val="left"/>
        <w:rPr/>
      </w:pPr>
      <w:r>
        <w:rPr/>
      </w:r>
      <m:oMathPara xmlns:m="http://schemas.openxmlformats.org/officeDocument/2006/math">
        <m:oMathParaPr>
          <m:jc m:val="left"/>
        </m:oMathParaPr>
        <m:oMath>
          <m:m>
            <m:mr>
              <m:e>
                <m:f>
                  <m:num>
                    <m:r>
                      <w:rPr>
                        <w:rFonts w:ascii="Cambria Math" w:hAnsi="Cambria Math"/>
                      </w:rPr>
                      <m:t xml:space="preserve">∂</m:t>
                    </m:r>
                    <m:r>
                      <w:rPr>
                        <w:rFonts w:ascii="Cambria Math" w:hAnsi="Cambria Math"/>
                      </w:rPr>
                      <m:t xml:space="preserve">T</m:t>
                    </m:r>
                  </m:num>
                  <m:den>
                    <m:r>
                      <w:rPr>
                        <w:rFonts w:ascii="Cambria Math" w:hAnsi="Cambria Math"/>
                      </w:rPr>
                      <m:t xml:space="preserve">∂</m:t>
                    </m:r>
                    <m:r>
                      <w:rPr>
                        <w:rFonts w:ascii="Cambria Math" w:hAnsi="Cambria Math"/>
                      </w:rPr>
                      <m:t xml:space="preserve">t</m:t>
                    </m:r>
                  </m:den>
                </m:f>
                <m:r>
                  <w:rPr>
                    <w:rFonts w:ascii="Cambria Math" w:hAnsi="Cambria Math"/>
                  </w:rPr>
                  <m:t xml:space="preserve">=</m:t>
                </m:r>
                <m:r>
                  <w:rPr>
                    <w:rFonts w:ascii="Cambria Math" w:hAnsi="Cambria Math"/>
                  </w:rPr>
                  <m:t xml:space="preserve">∇</m:t>
                </m:r>
                <m:r>
                  <w:rPr>
                    <w:rFonts w:ascii="Cambria Math" w:hAnsi="Cambria Math"/>
                  </w:rPr>
                  <m:t xml:space="preserve">⋅</m:t>
                </m:r>
                <m:d>
                  <m:dPr>
                    <m:begChr m:val="("/>
                    <m:endChr m:val=")"/>
                  </m:dPr>
                  <m:e>
                    <m:sSub>
                      <m:e>
                        <m:r>
                          <w:rPr>
                            <w:rFonts w:ascii="Cambria Math" w:hAnsi="Cambria Math"/>
                          </w:rPr>
                          <m:t xml:space="preserve">k</m:t>
                        </m:r>
                      </m:e>
                      <m:sub>
                        <m:r>
                          <w:rPr>
                            <w:rFonts w:ascii="Cambria Math" w:hAnsi="Cambria Math"/>
                          </w:rPr>
                          <m:t xml:space="preserve">T</m:t>
                        </m:r>
                      </m:sub>
                    </m:sSub>
                    <m:r>
                      <w:rPr>
                        <w:rFonts w:ascii="Cambria Math" w:hAnsi="Cambria Math"/>
                      </w:rPr>
                      <m:t xml:space="preserve">∇</m:t>
                    </m:r>
                    <m:r>
                      <w:rPr>
                        <w:rFonts w:ascii="Cambria Math" w:hAnsi="Cambria Math"/>
                      </w:rPr>
                      <m:t xml:space="preserve">T</m:t>
                    </m:r>
                  </m:e>
                </m:d>
                <m:r>
                  <w:rPr>
                    <w:rFonts w:ascii="Cambria Math" w:hAnsi="Cambria Math"/>
                  </w:rPr>
                  <m:t xml:space="preserve">−</m:t>
                </m:r>
                <m:sSub>
                  <m:e>
                    <m:r>
                      <w:rPr>
                        <w:rFonts w:ascii="Cambria Math" w:hAnsi="Cambria Math"/>
                      </w:rPr>
                      <m:t xml:space="preserve">L</m:t>
                    </m:r>
                  </m:e>
                  <m:sub>
                    <m:r>
                      <w:rPr>
                        <w:rFonts w:ascii="Cambria Math" w:hAnsi="Cambria Math"/>
                      </w:rPr>
                      <m:t xml:space="preserve">v</m:t>
                    </m:r>
                  </m:sub>
                </m:sSub>
                <m:sSub>
                  <m:e>
                    <m:r>
                      <w:rPr>
                        <w:rFonts w:ascii="Cambria Math" w:hAnsi="Cambria Math"/>
                      </w:rPr>
                      <m:t xml:space="preserve">C</m:t>
                    </m:r>
                  </m:e>
                  <m:sub>
                    <m:r>
                      <m:rPr>
                        <m:lit/>
                        <m:nor/>
                      </m:rPr>
                      <w:rPr>
                        <w:rFonts w:ascii="Cambria Math" w:hAnsi="Cambria Math"/>
                      </w:rPr>
                      <m:t xml:space="preserve">cond</m:t>
                    </m:r>
                  </m:sub>
                </m:sSub>
                <m:r>
                  <w:rPr>
                    <w:rFonts w:ascii="Cambria Math" w:hAnsi="Cambria Math"/>
                  </w:rPr>
                  <m:t xml:space="preserve">+</m:t>
                </m:r>
                <m:sSub>
                  <m:e>
                    <m:r>
                      <w:rPr>
                        <w:rFonts w:ascii="Cambria Math" w:hAnsi="Cambria Math"/>
                      </w:rPr>
                      <m:t xml:space="preserve">Q</m:t>
                    </m:r>
                  </m:e>
                  <m:sub>
                    <m:r>
                      <m:rPr>
                        <m:lit/>
                        <m:nor/>
                      </m:rPr>
                      <w:rPr>
                        <w:rFonts w:ascii="Cambria Math" w:hAnsi="Cambria Math"/>
                      </w:rPr>
                      <m:t xml:space="preserve">bio</m:t>
                    </m:r>
                  </m:sub>
                </m:sSub>
                <m:r>
                  <w:rPr>
                    <w:rFonts w:ascii="Cambria Math" w:hAnsi="Cambria Math"/>
                  </w:rPr>
                  <m:t xml:space="preserve">+</m:t>
                </m:r>
                <m:sSub>
                  <m:e>
                    <m:r>
                      <w:rPr>
                        <w:rFonts w:ascii="Cambria Math" w:hAnsi="Cambria Math"/>
                      </w:rPr>
                      <m:t xml:space="preserve">Q</m:t>
                    </m:r>
                  </m:e>
                  <m:sub>
                    <m:r>
                      <m:rPr>
                        <m:lit/>
                        <m:nor/>
                      </m:rPr>
                      <w:rPr>
                        <w:rFonts w:ascii="Cambria Math" w:hAnsi="Cambria Math"/>
                      </w:rPr>
                      <m:t xml:space="preserve">rad</m:t>
                    </m:r>
                  </m:sub>
                </m:sSub>
                <m:r>
                  <w:rPr>
                    <w:rFonts w:ascii="Cambria Math" w:hAnsi="Cambria Math"/>
                  </w:rPr>
                  <m:t xml:space="preserve">−</m:t>
                </m:r>
                <m:sSub>
                  <m:e>
                    <m:r>
                      <w:rPr>
                        <w:rFonts w:ascii="Cambria Math" w:hAnsi="Cambria Math"/>
                      </w:rPr>
                      <m:t xml:space="preserve">P</m:t>
                    </m:r>
                  </m:e>
                  <m:sub>
                    <m:r>
                      <m:rPr>
                        <m:lit/>
                        <m:nor/>
                      </m:rPr>
                      <w:rPr>
                        <w:rFonts w:ascii="Cambria Math" w:hAnsi="Cambria Math"/>
                      </w:rPr>
                      <m:t xml:space="preserve">elt</m:t>
                    </m:r>
                  </m:sub>
                </m:sSub>
                <m:sSub>
                  <m:e>
                    <m:r>
                      <w:rPr>
                        <w:rFonts w:ascii="Cambria Math" w:hAnsi="Cambria Math"/>
                      </w:rPr>
                      <m:t xml:space="preserve">M</m:t>
                    </m:r>
                  </m:e>
                  <m:sub>
                    <m:r>
                      <m:rPr>
                        <m:lit/>
                        <m:nor/>
                      </m:rPr>
                      <w:rPr>
                        <w:rFonts w:ascii="Cambria Math" w:hAnsi="Cambria Math"/>
                      </w:rPr>
                      <m:t xml:space="preserve">ceil</m:t>
                    </m:r>
                  </m:sub>
                </m:sSub>
              </m:e>
              <m:e>
                <m:r>
                  <m:rPr>
                    <m:lit/>
                    <m:nor/>
                  </m:rPr>
                  <w:rPr>
                    <w:rFonts w:ascii="Cambria Math" w:hAnsi="Cambria Math"/>
                  </w:rPr>
                  <m:t xml:space="preserve">(S3)</m:t>
                </m:r>
              </m:e>
            </m:mr>
          </m:m>
        </m:oMath>
      </m:oMathPara>
    </w:p>
    <w:p>
      <w:pPr>
        <w:pStyle w:val="TextBody"/>
        <w:bidi w:val="0"/>
        <w:jc w:val="left"/>
        <w:rPr/>
      </w:pPr>
      <w:r>
        <w:rPr/>
      </w:r>
      <m:oMathPara xmlns:m="http://schemas.openxmlformats.org/officeDocument/2006/math">
        <m:oMathParaPr>
          <m:jc m:val="left"/>
        </m:oMathParaPr>
        <m:oMath>
          <m:m>
            <m:mr>
              <m:e>
                <m:f>
                  <m:num>
                    <m:r>
                      <w:rPr>
                        <w:rFonts w:ascii="Cambria Math" w:hAnsi="Cambria Math"/>
                      </w:rPr>
                      <m:t xml:space="preserve">∂</m:t>
                    </m:r>
                    <m:sSub>
                      <m:e>
                        <m:r>
                          <w:rPr>
                            <w:rFonts w:ascii="Cambria Math" w:hAnsi="Cambria Math"/>
                          </w:rPr>
                          <m:t xml:space="preserve">O</m:t>
                        </m:r>
                      </m:e>
                      <m:sub>
                        <m:r>
                          <w:rPr>
                            <w:rFonts w:ascii="Cambria Math" w:hAnsi="Cambria Math"/>
                          </w:rPr>
                          <m:t xml:space="preserve">2</m:t>
                        </m:r>
                      </m:sub>
                    </m:sSub>
                  </m:num>
                  <m:den>
                    <m:r>
                      <w:rPr>
                        <w:rFonts w:ascii="Cambria Math" w:hAnsi="Cambria Math"/>
                      </w:rPr>
                      <m:t xml:space="preserve">∂</m:t>
                    </m:r>
                    <m:r>
                      <w:rPr>
                        <w:rFonts w:ascii="Cambria Math" w:hAnsi="Cambria Math"/>
                      </w:rPr>
                      <m:t xml:space="preserve">t</m:t>
                    </m:r>
                  </m:den>
                </m:f>
                <m:r>
                  <w:rPr>
                    <w:rFonts w:ascii="Cambria Math" w:hAnsi="Cambria Math"/>
                  </w:rPr>
                  <m:t xml:space="preserve">=</m:t>
                </m:r>
                <m:r>
                  <w:rPr>
                    <w:rFonts w:ascii="Cambria Math" w:hAnsi="Cambria Math"/>
                  </w:rPr>
                  <m:t xml:space="preserve">∇</m:t>
                </m:r>
                <m:r>
                  <w:rPr>
                    <w:rFonts w:ascii="Cambria Math" w:hAnsi="Cambria Math"/>
                  </w:rPr>
                  <m:t xml:space="preserve">⋅</m:t>
                </m:r>
                <m:d>
                  <m:dPr>
                    <m:begChr m:val="("/>
                    <m:endChr m:val=")"/>
                  </m:dPr>
                  <m:e>
                    <m:sSub>
                      <m:e>
                        <m:r>
                          <w:rPr>
                            <w:rFonts w:ascii="Cambria Math" w:hAnsi="Cambria Math"/>
                          </w:rPr>
                          <m:t xml:space="preserve">D</m:t>
                        </m:r>
                      </m:e>
                      <m:sub>
                        <m:r>
                          <m:rPr>
                            <m:lit/>
                            <m:nor/>
                          </m:rPr>
                          <w:rPr>
                            <w:rFonts w:ascii="Cambria Math" w:hAnsi="Cambria Math"/>
                          </w:rPr>
                          <m:t xml:space="preserve">gas</m:t>
                        </m:r>
                      </m:sub>
                    </m:sSub>
                    <m:r>
                      <w:rPr>
                        <w:rFonts w:ascii="Cambria Math" w:hAnsi="Cambria Math"/>
                      </w:rPr>
                      <m:t xml:space="preserve">∇</m:t>
                    </m:r>
                    <m:sSub>
                      <m:e>
                        <m:r>
                          <w:rPr>
                            <w:rFonts w:ascii="Cambria Math" w:hAnsi="Cambria Math"/>
                          </w:rPr>
                          <m:t xml:space="preserve">O</m:t>
                        </m:r>
                      </m:e>
                      <m:sub>
                        <m:r>
                          <w:rPr>
                            <w:rFonts w:ascii="Cambria Math" w:hAnsi="Cambria Math"/>
                          </w:rPr>
                          <m:t xml:space="preserve">2</m:t>
                        </m:r>
                      </m:sub>
                    </m:sSub>
                  </m:e>
                </m:d>
                <m:r>
                  <w:rPr>
                    <w:rFonts w:ascii="Cambria Math" w:hAnsi="Cambria Math"/>
                  </w:rPr>
                  <m:t xml:space="preserve">+</m:t>
                </m:r>
                <m:sSub>
                  <m:e>
                    <m:r>
                      <w:rPr>
                        <w:rFonts w:ascii="Cambria Math" w:hAnsi="Cambria Math"/>
                      </w:rPr>
                      <m:t xml:space="preserve">P</m:t>
                    </m:r>
                  </m:e>
                  <m:sub>
                    <m:r>
                      <m:rPr>
                        <m:lit/>
                        <m:nor/>
                      </m:rPr>
                      <w:rPr>
                        <w:rFonts w:ascii="Cambria Math" w:hAnsi="Cambria Math"/>
                      </w:rPr>
                      <m:t xml:space="preserve">photo</m:t>
                    </m:r>
                  </m:sub>
                </m:sSub>
                <m:r>
                  <w:rPr>
                    <w:rFonts w:ascii="Cambria Math" w:hAnsi="Cambria Math"/>
                  </w:rPr>
                  <m:t xml:space="preserve">−</m:t>
                </m:r>
                <m:r>
                  <w:rPr>
                    <w:rFonts w:ascii="Cambria Math" w:hAnsi="Cambria Math"/>
                  </w:rPr>
                  <m:t xml:space="preserve">R</m:t>
                </m:r>
                <m:r>
                  <w:rPr>
                    <w:rFonts w:ascii="Cambria Math" w:hAnsi="Cambria Math"/>
                  </w:rPr>
                  <m:t xml:space="preserve">−</m:t>
                </m:r>
                <m:sSub>
                  <m:e>
                    <m:r>
                      <w:rPr>
                        <w:rFonts w:ascii="Cambria Math" w:hAnsi="Cambria Math"/>
                      </w:rPr>
                      <m:t xml:space="preserve">O</m:t>
                    </m:r>
                  </m:e>
                  <m:sub>
                    <m:r>
                      <m:rPr>
                        <m:lit/>
                        <m:nor/>
                      </m:rPr>
                      <w:rPr>
                        <w:rFonts w:ascii="Cambria Math" w:hAnsi="Cambria Math"/>
                      </w:rPr>
                      <m:t xml:space="preserve">2,cons</m:t>
                    </m:r>
                  </m:sub>
                </m:sSub>
              </m:e>
              <m:e>
                <m:r>
                  <m:rPr>
                    <m:lit/>
                    <m:nor/>
                  </m:rPr>
                  <w:rPr>
                    <w:rFonts w:ascii="Cambria Math" w:hAnsi="Cambria Math"/>
                  </w:rPr>
                  <m:t xml:space="preserve">(S4)</m:t>
                </m:r>
              </m:e>
            </m:mr>
          </m:m>
        </m:oMath>
      </m:oMathPara>
    </w:p>
    <w:p>
      <w:pPr>
        <w:pStyle w:val="TextBody"/>
        <w:bidi w:val="0"/>
        <w:jc w:val="left"/>
        <w:rPr/>
      </w:pPr>
      <w:r>
        <w:rPr/>
      </w:r>
      <m:oMathPara xmlns:m="http://schemas.openxmlformats.org/officeDocument/2006/math">
        <m:oMathParaPr>
          <m:jc m:val="left"/>
        </m:oMathParaPr>
        <m:oMath>
          <m:m>
            <m:mr>
              <m:e>
                <m:f>
                  <m:num>
                    <m:r>
                      <w:rPr>
                        <w:rFonts w:ascii="Cambria Math" w:hAnsi="Cambria Math"/>
                      </w:rPr>
                      <m:t xml:space="preserve">∂</m:t>
                    </m:r>
                    <m:sSub>
                      <m:e>
                        <m:r>
                          <w:rPr>
                            <w:rFonts w:ascii="Cambria Math" w:hAnsi="Cambria Math"/>
                          </w:rPr>
                          <m:t xml:space="preserve">CO</m:t>
                        </m:r>
                      </m:e>
                      <m:sub>
                        <m:r>
                          <w:rPr>
                            <w:rFonts w:ascii="Cambria Math" w:hAnsi="Cambria Math"/>
                          </w:rPr>
                          <m:t xml:space="preserve">2</m:t>
                        </m:r>
                      </m:sub>
                    </m:sSub>
                  </m:num>
                  <m:den>
                    <m:r>
                      <w:rPr>
                        <w:rFonts w:ascii="Cambria Math" w:hAnsi="Cambria Math"/>
                      </w:rPr>
                      <m:t xml:space="preserve">∂</m:t>
                    </m:r>
                    <m:r>
                      <w:rPr>
                        <w:rFonts w:ascii="Cambria Math" w:hAnsi="Cambria Math"/>
                      </w:rPr>
                      <m:t xml:space="preserve">t</m:t>
                    </m:r>
                  </m:den>
                </m:f>
                <m:r>
                  <w:rPr>
                    <w:rFonts w:ascii="Cambria Math" w:hAnsi="Cambria Math"/>
                  </w:rPr>
                  <m:t xml:space="preserve">=</m:t>
                </m:r>
                <m:r>
                  <w:rPr>
                    <w:rFonts w:ascii="Cambria Math" w:hAnsi="Cambria Math"/>
                  </w:rPr>
                  <m:t xml:space="preserve">∇</m:t>
                </m:r>
                <m:r>
                  <w:rPr>
                    <w:rFonts w:ascii="Cambria Math" w:hAnsi="Cambria Math"/>
                  </w:rPr>
                  <m:t xml:space="preserve">⋅</m:t>
                </m:r>
                <m:d>
                  <m:dPr>
                    <m:begChr m:val="("/>
                    <m:endChr m:val=")"/>
                  </m:dPr>
                  <m:e>
                    <m:sSub>
                      <m:e>
                        <m:r>
                          <w:rPr>
                            <w:rFonts w:ascii="Cambria Math" w:hAnsi="Cambria Math"/>
                          </w:rPr>
                          <m:t xml:space="preserve">D</m:t>
                        </m:r>
                      </m:e>
                      <m:sub>
                        <m:r>
                          <m:rPr>
                            <m:lit/>
                            <m:nor/>
                          </m:rPr>
                          <w:rPr>
                            <w:rFonts w:ascii="Cambria Math" w:hAnsi="Cambria Math"/>
                          </w:rPr>
                          <m:t xml:space="preserve">gas</m:t>
                        </m:r>
                      </m:sub>
                    </m:sSub>
                    <m:r>
                      <w:rPr>
                        <w:rFonts w:ascii="Cambria Math" w:hAnsi="Cambria Math"/>
                      </w:rPr>
                      <m:t xml:space="preserve">∇</m:t>
                    </m:r>
                    <m:sSub>
                      <m:e>
                        <m:r>
                          <w:rPr>
                            <w:rFonts w:ascii="Cambria Math" w:hAnsi="Cambria Math"/>
                          </w:rPr>
                          <m:t xml:space="preserve">CO</m:t>
                        </m:r>
                      </m:e>
                      <m:sub>
                        <m:r>
                          <w:rPr>
                            <w:rFonts w:ascii="Cambria Math" w:hAnsi="Cambria Math"/>
                          </w:rPr>
                          <m:t xml:space="preserve">2</m:t>
                        </m:r>
                      </m:sub>
                    </m:sSub>
                  </m:e>
                </m:d>
                <m:r>
                  <w:rPr>
                    <w:rFonts w:ascii="Cambria Math" w:hAnsi="Cambria Math"/>
                  </w:rPr>
                  <m:t xml:space="preserve">−</m:t>
                </m:r>
                <m:sSub>
                  <m:e>
                    <m:r>
                      <w:rPr>
                        <w:rFonts w:ascii="Cambria Math" w:hAnsi="Cambria Math"/>
                      </w:rPr>
                      <m:t xml:space="preserve">P</m:t>
                    </m:r>
                  </m:e>
                  <m:sub>
                    <m:r>
                      <m:rPr>
                        <m:lit/>
                        <m:nor/>
                      </m:rPr>
                      <w:rPr>
                        <w:rFonts w:ascii="Cambria Math" w:hAnsi="Cambria Math"/>
                      </w:rPr>
                      <m:t xml:space="preserve">photo</m:t>
                    </m:r>
                  </m:sub>
                </m:sSub>
                <m:r>
                  <w:rPr>
                    <w:rFonts w:ascii="Cambria Math" w:hAnsi="Cambria Math"/>
                  </w:rPr>
                  <m:t xml:space="preserve">+</m:t>
                </m:r>
                <m:r>
                  <w:rPr>
                    <w:rFonts w:ascii="Cambria Math" w:hAnsi="Cambria Math"/>
                  </w:rPr>
                  <m:t xml:space="preserve">R</m:t>
                </m:r>
                <m:r>
                  <w:rPr>
                    <w:rFonts w:ascii="Cambria Math" w:hAnsi="Cambria Math"/>
                  </w:rPr>
                  <m:t xml:space="preserve">+</m:t>
                </m:r>
                <m:sSub>
                  <m:e>
                    <m:r>
                      <w:rPr>
                        <w:rFonts w:ascii="Cambria Math" w:hAnsi="Cambria Math"/>
                      </w:rPr>
                      <m:t xml:space="preserve">CO</m:t>
                    </m:r>
                  </m:e>
                  <m:sub>
                    <m:r>
                      <m:rPr>
                        <m:lit/>
                        <m:nor/>
                      </m:rPr>
                      <w:rPr>
                        <w:rFonts w:ascii="Cambria Math" w:hAnsi="Cambria Math"/>
                      </w:rPr>
                      <m:t xml:space="preserve">2,prod</m:t>
                    </m:r>
                  </m:sub>
                </m:sSub>
              </m:e>
              <m:e>
                <m:r>
                  <m:rPr>
                    <m:lit/>
                    <m:nor/>
                  </m:rPr>
                  <w:rPr>
                    <w:rFonts w:ascii="Cambria Math" w:hAnsi="Cambria Math"/>
                  </w:rPr>
                  <m:t xml:space="preserve">(S5)</m:t>
                </m:r>
              </m:e>
            </m:mr>
          </m:m>
        </m:oMath>
      </m:oMathPara>
    </w:p>
    <w:p>
      <w:pPr>
        <w:pStyle w:val="TextBody"/>
        <w:bidi w:val="0"/>
        <w:jc w:val="left"/>
        <w:rPr/>
      </w:pPr>
      <w:r>
        <w:rPr/>
      </w:r>
      <m:oMathPara xmlns:m="http://schemas.openxmlformats.org/officeDocument/2006/math">
        <m:oMathParaPr>
          <m:jc m:val="left"/>
        </m:oMathParaPr>
        <m:oMath>
          <m:m>
            <m:mr>
              <m:e>
                <m:f>
                  <m:num>
                    <m:r>
                      <w:rPr>
                        <w:rFonts w:ascii="Cambria Math" w:hAnsi="Cambria Math"/>
                      </w:rPr>
                      <m:t xml:space="preserve">∂</m:t>
                    </m:r>
                    <m:r>
                      <w:rPr>
                        <w:rFonts w:ascii="Cambria Math" w:hAnsi="Cambria Math"/>
                      </w:rPr>
                      <m:t xml:space="preserve">B</m:t>
                    </m:r>
                  </m:num>
                  <m:den>
                    <m:r>
                      <w:rPr>
                        <w:rFonts w:ascii="Cambria Math" w:hAnsi="Cambria Math"/>
                      </w:rPr>
                      <m:t xml:space="preserve">∂</m:t>
                    </m:r>
                    <m:r>
                      <w:rPr>
                        <w:rFonts w:ascii="Cambria Math" w:hAnsi="Cambria Math"/>
                      </w:rPr>
                      <m:t xml:space="preserve">t</m:t>
                    </m:r>
                  </m:den>
                </m:f>
                <m:r>
                  <w:rPr>
                    <w:rFonts w:ascii="Cambria Math" w:hAnsi="Cambria Math"/>
                  </w:rPr>
                  <m:t xml:space="preserve">=</m:t>
                </m:r>
                <m:sSub>
                  <m:e>
                    <m:r>
                      <w:rPr>
                        <w:rFonts w:ascii="Cambria Math" w:hAnsi="Cambria Math"/>
                      </w:rPr>
                      <m:t xml:space="preserve">Y</m:t>
                    </m:r>
                  </m:e>
                  <m:sub>
                    <m:r>
                      <w:rPr>
                        <w:rFonts w:ascii="Cambria Math" w:hAnsi="Cambria Math"/>
                      </w:rPr>
                      <m:t xml:space="preserve">B</m:t>
                    </m:r>
                  </m:sub>
                </m:sSub>
                <m:sSub>
                  <m:e>
                    <m:r>
                      <w:rPr>
                        <w:rFonts w:ascii="Cambria Math" w:hAnsi="Cambria Math"/>
                      </w:rPr>
                      <m:t xml:space="preserve">P</m:t>
                    </m:r>
                  </m:e>
                  <m:sub>
                    <m:r>
                      <m:rPr>
                        <m:lit/>
                        <m:nor/>
                      </m:rPr>
                      <w:rPr>
                        <w:rFonts w:ascii="Cambria Math" w:hAnsi="Cambria Math"/>
                      </w:rPr>
                      <m:t xml:space="preserve">photo</m:t>
                    </m:r>
                  </m:sub>
                </m:sSub>
                <m:r>
                  <w:rPr>
                    <w:rFonts w:ascii="Cambria Math" w:hAnsi="Cambria Math"/>
                  </w:rPr>
                  <m:t xml:space="preserve">−</m:t>
                </m:r>
                <m:r>
                  <w:rPr>
                    <w:rFonts w:ascii="Cambria Math" w:hAnsi="Cambria Math"/>
                  </w:rPr>
                  <m:t xml:space="preserve">R</m:t>
                </m:r>
                <m:r>
                  <w:rPr>
                    <w:rFonts w:ascii="Cambria Math" w:hAnsi="Cambria Math"/>
                  </w:rPr>
                  <m:t xml:space="preserve">+</m:t>
                </m:r>
                <m:r>
                  <w:rPr>
                    <w:rFonts w:ascii="Cambria Math" w:hAnsi="Cambria Math"/>
                  </w:rPr>
                  <m:t xml:space="preserve">γ</m:t>
                </m:r>
                <m:f>
                  <m:num>
                    <m:sSup>
                      <m:e>
                        <m:r>
                          <w:rPr>
                            <w:rFonts w:ascii="Cambria Math" w:hAnsi="Cambria Math"/>
                          </w:rPr>
                          <m:t xml:space="preserve">S</m:t>
                        </m:r>
                      </m:e>
                      <m:sup>
                        <m:r>
                          <w:rPr>
                            <w:rFonts w:ascii="Cambria Math" w:hAnsi="Cambria Math"/>
                          </w:rPr>
                          <m:t xml:space="preserve">n</m:t>
                        </m:r>
                      </m:sup>
                    </m:sSup>
                  </m:num>
                  <m:den>
                    <m:sSubSup>
                      <m:e>
                        <m:r>
                          <w:rPr>
                            <w:rFonts w:ascii="Cambria Math" w:hAnsi="Cambria Math"/>
                          </w:rPr>
                          <m:t xml:space="preserve">K</m:t>
                        </m:r>
                      </m:e>
                      <m:sub>
                        <m:r>
                          <w:rPr>
                            <w:rFonts w:ascii="Cambria Math" w:hAnsi="Cambria Math"/>
                          </w:rPr>
                          <m:t xml:space="preserve">m</m:t>
                        </m:r>
                      </m:sub>
                      <m:sup>
                        <m:r>
                          <w:rPr>
                            <w:rFonts w:ascii="Cambria Math" w:hAnsi="Cambria Math"/>
                          </w:rPr>
                          <m:t xml:space="preserve">n</m:t>
                        </m:r>
                      </m:sup>
                    </m:sSubSup>
                    <m:r>
                      <w:rPr>
                        <w:rFonts w:ascii="Cambria Math" w:hAnsi="Cambria Math"/>
                      </w:rPr>
                      <m:t xml:space="preserve">+</m:t>
                    </m:r>
                    <m:sSup>
                      <m:e>
                        <m:r>
                          <w:rPr>
                            <w:rFonts w:ascii="Cambria Math" w:hAnsi="Cambria Math"/>
                          </w:rPr>
                          <m:t xml:space="preserve">S</m:t>
                        </m:r>
                      </m:e>
                      <m:sup>
                        <m:r>
                          <w:rPr>
                            <w:rFonts w:ascii="Cambria Math" w:hAnsi="Cambria Math"/>
                          </w:rPr>
                          <m:t xml:space="preserve">n</m:t>
                        </m:r>
                      </m:sup>
                    </m:sSup>
                  </m:den>
                </m:f>
                <m:r>
                  <w:rPr>
                    <w:rFonts w:ascii="Cambria Math" w:hAnsi="Cambria Math"/>
                  </w:rPr>
                  <m:t xml:space="preserve">B</m:t>
                </m:r>
              </m:e>
              <m:e>
                <m:r>
                  <m:rPr>
                    <m:lit/>
                    <m:nor/>
                  </m:rPr>
                  <w:rPr>
                    <w:rFonts w:ascii="Cambria Math" w:hAnsi="Cambria Math"/>
                  </w:rPr>
                  <m:t xml:space="preserve">(S6)</m:t>
                </m:r>
              </m:e>
            </m:mr>
          </m:m>
        </m:oMath>
      </m:oMathPara>
    </w:p>
    <w:p>
      <w:pPr>
        <w:pStyle w:val="TextBody"/>
        <w:bidi w:val="0"/>
        <w:jc w:val="left"/>
        <w:rPr/>
      </w:pPr>
      <w:r>
        <w:rPr/>
      </w:r>
      <m:oMathPara xmlns:m="http://schemas.openxmlformats.org/officeDocument/2006/math">
        <m:oMathParaPr>
          <m:jc m:val="left"/>
        </m:oMathParaPr>
        <m:oMath>
          <m:m>
            <m:mr>
              <m:e>
                <m:f>
                  <m:num>
                    <m:r>
                      <w:rPr>
                        <w:rFonts w:ascii="Cambria Math" w:hAnsi="Cambria Math"/>
                      </w:rPr>
                      <m:t xml:space="preserve">∂</m:t>
                    </m:r>
                    <m:r>
                      <w:rPr>
                        <w:rFonts w:ascii="Cambria Math" w:hAnsi="Cambria Math"/>
                      </w:rPr>
                      <m:t xml:space="preserve">S</m:t>
                    </m:r>
                  </m:num>
                  <m:den>
                    <m:r>
                      <w:rPr>
                        <w:rFonts w:ascii="Cambria Math" w:hAnsi="Cambria Math"/>
                      </w:rPr>
                      <m:t xml:space="preserve">∂</m:t>
                    </m:r>
                    <m:r>
                      <w:rPr>
                        <w:rFonts w:ascii="Cambria Math" w:hAnsi="Cambria Math"/>
                      </w:rPr>
                      <m:t xml:space="preserve">t</m:t>
                    </m:r>
                  </m:den>
                </m:f>
                <m:r>
                  <w:rPr>
                    <w:rFonts w:ascii="Cambria Math" w:hAnsi="Cambria Math"/>
                  </w:rPr>
                  <m:t xml:space="preserve">=</m:t>
                </m:r>
                <m:r>
                  <w:rPr>
                    <w:rFonts w:ascii="Cambria Math" w:hAnsi="Cambria Math"/>
                  </w:rPr>
                  <m:t xml:space="preserve">∇</m:t>
                </m:r>
                <m:r>
                  <w:rPr>
                    <w:rFonts w:ascii="Cambria Math" w:hAnsi="Cambria Math"/>
                  </w:rPr>
                  <m:t xml:space="preserve">⋅</m:t>
                </m:r>
                <m:d>
                  <m:dPr>
                    <m:begChr m:val="("/>
                    <m:endChr m:val=")"/>
                  </m:dPr>
                  <m:e>
                    <m:sSub>
                      <m:e>
                        <m:r>
                          <w:rPr>
                            <w:rFonts w:ascii="Cambria Math" w:hAnsi="Cambria Math"/>
                          </w:rPr>
                          <m:t xml:space="preserve">D</m:t>
                        </m:r>
                      </m:e>
                      <m:sub>
                        <m:r>
                          <m:rPr>
                            <m:lit/>
                            <m:nor/>
                          </m:rPr>
                          <w:rPr>
                            <w:rFonts w:ascii="Cambria Math" w:hAnsi="Cambria Math"/>
                          </w:rPr>
                          <m:t xml:space="preserve">myco</m:t>
                        </m:r>
                      </m:sub>
                    </m:sSub>
                    <m:r>
                      <w:rPr>
                        <w:rFonts w:ascii="Cambria Math" w:hAnsi="Cambria Math"/>
                      </w:rPr>
                      <m:t xml:space="preserve">∇</m:t>
                    </m:r>
                    <m:r>
                      <w:rPr>
                        <w:rFonts w:ascii="Cambria Math" w:hAnsi="Cambria Math"/>
                      </w:rPr>
                      <m:t xml:space="preserve">S</m:t>
                    </m:r>
                  </m:e>
                </m:d>
                <m:r>
                  <w:rPr>
                    <w:rFonts w:ascii="Cambria Math" w:hAnsi="Cambria Math"/>
                  </w:rPr>
                  <m:t xml:space="preserve">+</m:t>
                </m:r>
                <m:r>
                  <w:rPr>
                    <w:rFonts w:ascii="Cambria Math" w:hAnsi="Cambria Math"/>
                  </w:rPr>
                  <m:t xml:space="preserve">χ</m:t>
                </m:r>
                <m:r>
                  <w:rPr>
                    <w:rFonts w:ascii="Cambria Math" w:hAnsi="Cambria Math"/>
                  </w:rPr>
                  <m:t xml:space="preserve">∇</m:t>
                </m:r>
                <m:r>
                  <w:rPr>
                    <w:rFonts w:ascii="Cambria Math" w:hAnsi="Cambria Math"/>
                  </w:rPr>
                  <m:t xml:space="preserve">⋅</m:t>
                </m:r>
                <m:d>
                  <m:dPr>
                    <m:begChr m:val="("/>
                    <m:endChr m:val=")"/>
                  </m:dPr>
                  <m:e>
                    <m:r>
                      <w:rPr>
                        <w:rFonts w:ascii="Cambria Math" w:hAnsi="Cambria Math"/>
                      </w:rPr>
                      <m:t xml:space="preserve">S</m:t>
                    </m:r>
                    <m:r>
                      <w:rPr>
                        <w:rFonts w:ascii="Cambria Math" w:hAnsi="Cambria Math"/>
                      </w:rPr>
                      <m:t xml:space="preserve">∇</m:t>
                    </m:r>
                    <m:r>
                      <w:rPr>
                        <w:rFonts w:ascii="Cambria Math" w:hAnsi="Cambria Math"/>
                      </w:rPr>
                      <m:t xml:space="preserve">M</m:t>
                    </m:r>
                  </m:e>
                </m:d>
                <m:r>
                  <w:rPr>
                    <w:rFonts w:ascii="Cambria Math" w:hAnsi="Cambria Math"/>
                  </w:rPr>
                  <m:t xml:space="preserve">+</m:t>
                </m:r>
                <m:sSub>
                  <m:e>
                    <m:r>
                      <w:rPr>
                        <w:rFonts w:ascii="Cambria Math" w:hAnsi="Cambria Math"/>
                      </w:rPr>
                      <m:t xml:space="preserve">k</m:t>
                    </m:r>
                  </m:e>
                  <m:sub>
                    <m:r>
                      <m:rPr>
                        <m:lit/>
                        <m:nor/>
                      </m:rPr>
                      <w:rPr>
                        <w:rFonts w:ascii="Cambria Math" w:hAnsi="Cambria Math"/>
                      </w:rPr>
                      <m:t xml:space="preserve">prod</m:t>
                    </m:r>
                  </m:sub>
                </m:sSub>
                <m:r>
                  <w:rPr>
                    <w:rFonts w:ascii="Cambria Math" w:hAnsi="Cambria Math"/>
                  </w:rPr>
                  <m:t xml:space="preserve">max</m:t>
                </m:r>
                <m:d>
                  <m:dPr>
                    <m:begChr m:val="("/>
                    <m:endChr m:val=")"/>
                  </m:dPr>
                  <m:e>
                    <m:r>
                      <w:rPr>
                        <w:rFonts w:ascii="Cambria Math" w:hAnsi="Cambria Math"/>
                      </w:rPr>
                      <m:t xml:space="preserve">0</m:t>
                    </m:r>
                    <m:r>
                      <w:rPr>
                        <w:rFonts w:ascii="Cambria Math" w:hAnsi="Cambria Math"/>
                      </w:rPr>
                      <m:t xml:space="preserve">,</m:t>
                    </m:r>
                    <m:sSub>
                      <m:e>
                        <m:r>
                          <w:rPr>
                            <w:rFonts w:ascii="Cambria Math" w:hAnsi="Cambria Math"/>
                          </w:rPr>
                          <m:t xml:space="preserve">P</m:t>
                        </m:r>
                      </m:e>
                      <m:sub>
                        <m:r>
                          <m:rPr>
                            <m:lit/>
                            <m:nor/>
                          </m:rPr>
                          <w:rPr>
                            <w:rFonts w:ascii="Cambria Math" w:hAnsi="Cambria Math"/>
                          </w:rPr>
                          <m:t xml:space="preserve">seuil</m:t>
                        </m:r>
                      </m:sub>
                    </m:sSub>
                    <m:r>
                      <w:rPr>
                        <w:rFonts w:ascii="Cambria Math" w:hAnsi="Cambria Math"/>
                      </w:rPr>
                      <m:t xml:space="preserve">−</m:t>
                    </m:r>
                    <m:sSub>
                      <m:e>
                        <m:r>
                          <w:rPr>
                            <w:rFonts w:ascii="Cambria Math" w:hAnsi="Cambria Math"/>
                          </w:rPr>
                          <m:t xml:space="preserve">P</m:t>
                        </m:r>
                      </m:e>
                      <m:sub>
                        <m:r>
                          <m:rPr>
                            <m:lit/>
                            <m:nor/>
                          </m:rPr>
                          <w:rPr>
                            <w:rFonts w:ascii="Cambria Math" w:hAnsi="Cambria Math"/>
                          </w:rPr>
                          <m:t xml:space="preserve">photo</m:t>
                        </m:r>
                      </m:sub>
                    </m:sSub>
                  </m:e>
                </m:d>
                <m:r>
                  <w:rPr>
                    <w:rFonts w:ascii="Cambria Math" w:hAnsi="Cambria Math"/>
                  </w:rPr>
                  <m:t xml:space="preserve">+</m:t>
                </m:r>
                <m:sSub>
                  <m:e>
                    <m:r>
                      <w:rPr>
                        <w:rFonts w:ascii="Cambria Math" w:hAnsi="Cambria Math"/>
                      </w:rPr>
                      <m:t xml:space="preserve">k</m:t>
                    </m:r>
                  </m:e>
                  <m:sub>
                    <m:r>
                      <m:rPr>
                        <m:lit/>
                        <m:nor/>
                      </m:rPr>
                      <w:rPr>
                        <w:rFonts w:ascii="Cambria Math" w:hAnsi="Cambria Math"/>
                      </w:rPr>
                      <m:t xml:space="preserve">basal</m:t>
                    </m:r>
                  </m:sub>
                </m:sSub>
                <m:r>
                  <w:rPr>
                    <w:rFonts w:ascii="Cambria Math" w:hAnsi="Cambria Math"/>
                  </w:rPr>
                  <m:t xml:space="preserve">−</m:t>
                </m:r>
                <m:sSub>
                  <m:e>
                    <m:r>
                      <w:rPr>
                        <w:rFonts w:ascii="Cambria Math" w:hAnsi="Cambria Math"/>
                      </w:rPr>
                      <m:t xml:space="preserve">λ</m:t>
                    </m:r>
                  </m:e>
                  <m:sub>
                    <m:r>
                      <w:rPr>
                        <w:rFonts w:ascii="Cambria Math" w:hAnsi="Cambria Math"/>
                      </w:rPr>
                      <m:t xml:space="preserve">S</m:t>
                    </m:r>
                  </m:sub>
                </m:sSub>
                <m:r>
                  <w:rPr>
                    <w:rFonts w:ascii="Cambria Math" w:hAnsi="Cambria Math"/>
                  </w:rPr>
                  <m:t xml:space="preserve">S</m:t>
                </m:r>
              </m:e>
              <m:e>
                <m:r>
                  <m:rPr>
                    <m:lit/>
                    <m:nor/>
                  </m:rPr>
                  <w:rPr>
                    <w:rFonts w:ascii="Cambria Math" w:hAnsi="Cambria Math"/>
                  </w:rPr>
                  <m:t xml:space="preserve">(S7)</m:t>
                </m:r>
              </m:e>
            </m:mr>
          </m:m>
        </m:oMath>
      </m:oMathPara>
    </w:p>
    <w:p>
      <w:pPr>
        <w:pStyle w:val="TextBody"/>
        <w:bidi w:val="0"/>
        <w:jc w:val="left"/>
        <w:rPr/>
      </w:pPr>
      <w:r>
        <w:rPr/>
      </w:r>
      <m:oMathPara xmlns:m="http://schemas.openxmlformats.org/officeDocument/2006/math">
        <m:oMathParaPr>
          <m:jc m:val="left"/>
        </m:oMathParaPr>
        <m:oMath>
          <m:m>
            <m:mr>
              <m:e>
                <m:f>
                  <m:num>
                    <m:r>
                      <w:rPr>
                        <w:rFonts w:ascii="Cambria Math" w:hAnsi="Cambria Math"/>
                      </w:rPr>
                      <m:t xml:space="preserve">∂</m:t>
                    </m:r>
                    <m:r>
                      <w:rPr>
                        <w:rFonts w:ascii="Cambria Math" w:hAnsi="Cambria Math"/>
                      </w:rPr>
                      <m:t xml:space="preserve">M</m:t>
                    </m:r>
                  </m:num>
                  <m:den>
                    <m:r>
                      <w:rPr>
                        <w:rFonts w:ascii="Cambria Math" w:hAnsi="Cambria Math"/>
                      </w:rPr>
                      <m:t xml:space="preserve">∂</m:t>
                    </m:r>
                    <m:r>
                      <w:rPr>
                        <w:rFonts w:ascii="Cambria Math" w:hAnsi="Cambria Math"/>
                      </w:rPr>
                      <m:t xml:space="preserve">t</m:t>
                    </m:r>
                  </m:den>
                </m:f>
                <m:r>
                  <w:rPr>
                    <w:rFonts w:ascii="Cambria Math" w:hAnsi="Cambria Math"/>
                  </w:rPr>
                  <m:t xml:space="preserve">=</m:t>
                </m:r>
                <m:r>
                  <w:rPr>
                    <w:rFonts w:ascii="Cambria Math" w:hAnsi="Cambria Math"/>
                  </w:rPr>
                  <m:t xml:space="preserve">∇</m:t>
                </m:r>
                <m:r>
                  <w:rPr>
                    <w:rFonts w:ascii="Cambria Math" w:hAnsi="Cambria Math"/>
                  </w:rPr>
                  <m:t xml:space="preserve">⋅</m:t>
                </m:r>
                <m:d>
                  <m:dPr>
                    <m:begChr m:val="("/>
                    <m:endChr m:val=")"/>
                  </m:dPr>
                  <m:e>
                    <m:sSub>
                      <m:e>
                        <m:r>
                          <w:rPr>
                            <w:rFonts w:ascii="Cambria Math" w:hAnsi="Cambria Math"/>
                          </w:rPr>
                          <m:t xml:space="preserve">D</m:t>
                        </m:r>
                      </m:e>
                      <m:sub>
                        <m:r>
                          <w:rPr>
                            <w:rFonts w:ascii="Cambria Math" w:hAnsi="Cambria Math"/>
                          </w:rPr>
                          <m:t xml:space="preserve">M</m:t>
                        </m:r>
                      </m:sub>
                    </m:sSub>
                    <m:r>
                      <w:rPr>
                        <w:rFonts w:ascii="Cambria Math" w:hAnsi="Cambria Math"/>
                      </w:rPr>
                      <m:t xml:space="preserve">∇</m:t>
                    </m:r>
                    <m:r>
                      <w:rPr>
                        <w:rFonts w:ascii="Cambria Math" w:hAnsi="Cambria Math"/>
                      </w:rPr>
                      <m:t xml:space="preserve">M</m:t>
                    </m:r>
                  </m:e>
                </m:d>
                <m:r>
                  <w:rPr>
                    <w:rFonts w:ascii="Cambria Math" w:hAnsi="Cambria Math"/>
                  </w:rPr>
                  <m:t xml:space="preserve">+</m:t>
                </m:r>
                <m:sSub>
                  <m:e>
                    <m:r>
                      <w:rPr>
                        <w:rFonts w:ascii="Cambria Math" w:hAnsi="Cambria Math"/>
                      </w:rPr>
                      <m:t xml:space="preserve">γ</m:t>
                    </m:r>
                  </m:e>
                  <m:sub>
                    <m:r>
                      <w:rPr>
                        <w:rFonts w:ascii="Cambria Math" w:hAnsi="Cambria Math"/>
                      </w:rPr>
                      <m:t xml:space="preserve">M</m:t>
                    </m:r>
                  </m:sub>
                </m:sSub>
                <m:r>
                  <w:rPr>
                    <w:rFonts w:ascii="Cambria Math" w:hAnsi="Cambria Math"/>
                  </w:rPr>
                  <m:t xml:space="preserve">S</m:t>
                </m:r>
                <m:d>
                  <m:dPr>
                    <m:begChr m:val="("/>
                    <m:endChr m:val=")"/>
                  </m:dPr>
                  <m:e>
                    <m:r>
                      <w:rPr>
                        <w:rFonts w:ascii="Cambria Math" w:hAnsi="Cambria Math"/>
                      </w:rPr>
                      <m:t xml:space="preserve">1</m:t>
                    </m:r>
                    <m:r>
                      <w:rPr>
                        <w:rFonts w:ascii="Cambria Math" w:hAnsi="Cambria Math"/>
                      </w:rPr>
                      <m:t xml:space="preserve">−</m:t>
                    </m:r>
                    <m:f>
                      <m:num>
                        <m:r>
                          <w:rPr>
                            <w:rFonts w:ascii="Cambria Math" w:hAnsi="Cambria Math"/>
                          </w:rPr>
                          <m:t xml:space="preserve">M</m:t>
                        </m:r>
                      </m:num>
                      <m:den>
                        <m:sSub>
                          <m:e>
                            <m:r>
                              <w:rPr>
                                <w:rFonts w:ascii="Cambria Math" w:hAnsi="Cambria Math"/>
                              </w:rPr>
                              <m:t xml:space="preserve">M</m:t>
                            </m:r>
                          </m:e>
                          <m:sub>
                            <m:r>
                              <m:rPr>
                                <m:lit/>
                                <m:nor/>
                              </m:rPr>
                              <w:rPr>
                                <w:rFonts w:ascii="Cambria Math" w:hAnsi="Cambria Math"/>
                              </w:rPr>
                              <m:t xml:space="preserve">max</m:t>
                            </m:r>
                          </m:sub>
                        </m:sSub>
                      </m:den>
                    </m:f>
                  </m:e>
                </m:d>
                <m:sSub>
                  <m:e>
                    <m:r>
                      <w:rPr>
                        <w:rFonts w:ascii="Cambria Math" w:hAnsi="Cambria Math"/>
                      </w:rPr>
                      <m:t xml:space="preserve">M</m:t>
                    </m:r>
                  </m:e>
                  <m:sub>
                    <m:r>
                      <m:rPr>
                        <m:lit/>
                        <m:nor/>
                      </m:rPr>
                      <w:rPr>
                        <w:rFonts w:ascii="Cambria Math" w:hAnsi="Cambria Math"/>
                      </w:rPr>
                      <m:t xml:space="preserve">soil</m:t>
                    </m:r>
                  </m:sub>
                </m:sSub>
                <m:r>
                  <w:rPr>
                    <w:rFonts w:ascii="Cambria Math" w:hAnsi="Cambria Math"/>
                  </w:rPr>
                  <m:t xml:space="preserve">−</m:t>
                </m:r>
                <m:sSub>
                  <m:e>
                    <m:r>
                      <w:rPr>
                        <w:rFonts w:ascii="Cambria Math" w:hAnsi="Cambria Math"/>
                      </w:rPr>
                      <m:t xml:space="preserve">δ</m:t>
                    </m:r>
                  </m:e>
                  <m:sub>
                    <m:r>
                      <w:rPr>
                        <w:rFonts w:ascii="Cambria Math" w:hAnsi="Cambria Math"/>
                      </w:rPr>
                      <m:t xml:space="preserve">M</m:t>
                    </m:r>
                  </m:sub>
                </m:sSub>
                <m:r>
                  <w:rPr>
                    <w:rFonts w:ascii="Cambria Math" w:hAnsi="Cambria Math"/>
                  </w:rPr>
                  <m:t xml:space="preserve">M</m:t>
                </m:r>
              </m:e>
              <m:e>
                <m:r>
                  <m:rPr>
                    <m:lit/>
                    <m:nor/>
                  </m:rPr>
                  <w:rPr>
                    <w:rFonts w:ascii="Cambria Math" w:hAnsi="Cambria Math"/>
                  </w:rPr>
                  <m:t xml:space="preserve">(S8)</m:t>
                </m:r>
              </m:e>
            </m:mr>
          </m:m>
        </m:oMath>
      </m:oMathPara>
    </w:p>
    <w:p>
      <w:pPr>
        <w:pStyle w:val="TextBody"/>
        <w:bidi w:val="0"/>
        <w:spacing w:lineRule="auto" w:line="276" w:before="0" w:after="140"/>
        <w:jc w:val="left"/>
        <w:rPr/>
      </w:pPr>
      <w:r>
        <w:rPr/>
        <w:t>The auxiliary terms and parameter values are defined below.</w:t>
      </w:r>
    </w:p>
    <w:p>
      <w:pPr>
        <w:pStyle w:val="TextBody"/>
        <w:bidi w:val="0"/>
        <w:jc w:val="left"/>
        <w:rPr/>
      </w:pPr>
      <w:r>
        <w:rPr>
          <w:rStyle w:val="StrongEmphasis"/>
        </w:rPr>
        <w:t xml:space="preserve">Evaporation: </w:t>
      </w:r>
      <w:r>
        <w:rPr/>
      </w:r>
      <m:oMath xmlns:m="http://schemas.openxmlformats.org/officeDocument/2006/math">
        <m:r>
          <w:rPr>
            <w:rFonts w:ascii="Cambria Math" w:hAnsi="Cambria Math"/>
          </w:rPr>
          <m:t xml:space="preserve">E</m:t>
        </m:r>
        <m:r>
          <w:rPr>
            <w:rFonts w:ascii="Cambria Math" w:hAnsi="Cambria Math"/>
          </w:rPr>
          <m:t xml:space="preserve">=</m:t>
        </m:r>
        <m:r>
          <w:rPr>
            <w:rFonts w:ascii="Cambria Math" w:hAnsi="Cambria Math"/>
          </w:rPr>
          <m:t xml:space="preserve">ε</m:t>
        </m:r>
        <m:r>
          <w:rPr>
            <w:rFonts w:ascii="Cambria Math" w:hAnsi="Cambria Math"/>
          </w:rPr>
          <m:t xml:space="preserve">θ</m:t>
        </m:r>
        <m:d>
          <m:dPr>
            <m:begChr m:val="("/>
            <m:endChr m:val=")"/>
          </m:dPr>
          <m:e>
            <m:r>
              <w:rPr>
                <w:rFonts w:ascii="Cambria Math" w:hAnsi="Cambria Math"/>
              </w:rPr>
              <m:t xml:space="preserve">T</m:t>
            </m:r>
            <m:r>
              <w:rPr>
                <w:rFonts w:ascii="Cambria Math" w:hAnsi="Cambria Math"/>
              </w:rPr>
              <m:t xml:space="preserve">−</m:t>
            </m:r>
            <m:r>
              <w:rPr>
                <w:rFonts w:ascii="Cambria Math" w:hAnsi="Cambria Math"/>
              </w:rPr>
              <m:t xml:space="preserve">273</m:t>
            </m:r>
          </m:e>
        </m:d>
        <m:r>
          <w:rPr>
            <w:rFonts w:ascii="Cambria Math" w:hAnsi="Cambria Math"/>
          </w:rPr>
          <m:t xml:space="preserve">,</m:t>
        </m:r>
        <m:r>
          <w:rPr>
            <w:rFonts w:ascii="Cambria Math" w:hAnsi="Cambria Math"/>
          </w:rPr>
          <m:t xml:space="preserve">ε</m:t>
        </m:r>
        <m:r>
          <w:rPr>
            <w:rFonts w:ascii="Cambria Math" w:hAnsi="Cambria Math"/>
          </w:rPr>
          <m:t xml:space="preserve">=</m:t>
        </m:r>
        <m:sSup>
          <m:e>
            <m:r>
              <w:rPr>
                <w:rFonts w:ascii="Cambria Math" w:hAnsi="Cambria Math"/>
              </w:rPr>
              <m:t xml:space="preserve">10</m:t>
            </m:r>
          </m:e>
          <m:sup>
            <m:r>
              <w:rPr>
                <w:rFonts w:ascii="Cambria Math" w:hAnsi="Cambria Math"/>
              </w:rPr>
              <m:t xml:space="preserve">−</m:t>
            </m:r>
            <m:r>
              <w:rPr>
                <w:rFonts w:ascii="Cambria Math" w:hAnsi="Cambria Math"/>
              </w:rPr>
              <m:t xml:space="preserve">3</m:t>
            </m:r>
          </m:sup>
        </m:sSup>
      </m:oMath>
      <w:r>
        <w:rPr/>
        <w:t xml:space="preserve"> (dimensionless)</w:t>
      </w:r>
    </w:p>
    <w:p>
      <w:pPr>
        <w:pStyle w:val="TextBody"/>
        <w:bidi w:val="0"/>
        <w:jc w:val="left"/>
        <w:rPr/>
      </w:pPr>
      <w:r>
        <w:rPr>
          <w:rStyle w:val="StrongEmphasis"/>
        </w:rPr>
        <w:t xml:space="preserve">Root uptake: </w:t>
      </w:r>
      <w:r>
        <w:rPr/>
      </w:r>
      <m:oMath xmlns:m="http://schemas.openxmlformats.org/officeDocument/2006/math">
        <m:r>
          <w:rPr>
            <w:rFonts w:ascii="Cambria Math" w:hAnsi="Cambria Math"/>
          </w:rPr>
          <m:t xml:space="preserve">U</m:t>
        </m:r>
        <m:r>
          <w:rPr>
            <w:rFonts w:ascii="Cambria Math" w:hAnsi="Cambria Math"/>
          </w:rPr>
          <m:t xml:space="preserve">=</m:t>
        </m:r>
        <m:r>
          <w:rPr>
            <w:rFonts w:ascii="Cambria Math" w:hAnsi="Cambria Math"/>
          </w:rPr>
          <m:t xml:space="preserve">u</m:t>
        </m:r>
        <m:r>
          <w:rPr>
            <w:rFonts w:ascii="Cambria Math" w:hAnsi="Cambria Math"/>
          </w:rPr>
          <m:t xml:space="preserve">θ</m:t>
        </m:r>
        <m:sSub>
          <m:e>
            <m:r>
              <w:rPr>
                <w:rFonts w:ascii="Cambria Math" w:hAnsi="Cambria Math"/>
              </w:rPr>
              <m:t xml:space="preserve">M</m:t>
            </m:r>
          </m:e>
          <m:sub>
            <m:r>
              <m:rPr>
                <m:lit/>
                <m:nor/>
              </m:rPr>
              <w:rPr>
                <w:rFonts w:ascii="Cambria Math" w:hAnsi="Cambria Math"/>
              </w:rPr>
              <m:t xml:space="preserve">uptake</m:t>
            </m:r>
          </m:sub>
        </m:sSub>
        <m:r>
          <w:rPr>
            <w:rFonts w:ascii="Cambria Math" w:hAnsi="Cambria Math"/>
          </w:rPr>
          <m:t xml:space="preserve">,</m:t>
        </m:r>
        <m:r>
          <w:rPr>
            <w:rFonts w:ascii="Cambria Math" w:hAnsi="Cambria Math"/>
          </w:rPr>
          <m:t xml:space="preserve">u</m:t>
        </m:r>
        <m:r>
          <w:rPr>
            <w:rFonts w:ascii="Cambria Math" w:hAnsi="Cambria Math"/>
          </w:rPr>
          <m:t xml:space="preserve">=</m:t>
        </m:r>
        <m:r>
          <w:rPr>
            <w:rFonts w:ascii="Cambria Math" w:hAnsi="Cambria Math"/>
          </w:rPr>
          <m:t xml:space="preserve">0.02</m:t>
        </m:r>
      </m:oMath>
      <w:r>
        <w:rPr/>
        <w:t xml:space="preserve"> (dimensionless)</w:t>
      </w:r>
    </w:p>
    <w:p>
      <w:pPr>
        <w:pStyle w:val="TextBody"/>
        <w:bidi w:val="0"/>
        <w:jc w:val="left"/>
        <w:rPr/>
      </w:pPr>
      <w:r>
        <w:rPr>
          <w:rStyle w:val="StrongEmphasis"/>
        </w:rPr>
        <w:t xml:space="preserve">Transpiration: </w:t>
      </w:r>
      <w:r>
        <w:rPr/>
      </w:r>
      <m:oMath xmlns:m="http://schemas.openxmlformats.org/officeDocument/2006/math">
        <m:sSub>
          <m:e>
            <m:r>
              <w:rPr>
                <w:rFonts w:ascii="Cambria Math" w:hAnsi="Cambria Math"/>
              </w:rPr>
              <m:t xml:space="preserve">T</m:t>
            </m:r>
          </m:e>
          <m:sub>
            <m:r>
              <w:rPr>
                <w:rFonts w:ascii="Cambria Math" w:hAnsi="Cambria Math"/>
              </w:rPr>
              <m:t xml:space="preserve">r</m:t>
            </m:r>
          </m:sub>
        </m:sSub>
        <m:r>
          <w:rPr>
            <w:rFonts w:ascii="Cambria Math" w:hAnsi="Cambria Math"/>
          </w:rPr>
          <m:t xml:space="preserve">=</m:t>
        </m:r>
        <m:r>
          <w:rPr>
            <w:rFonts w:ascii="Cambria Math" w:hAnsi="Cambria Math"/>
          </w:rPr>
          <m:t xml:space="preserve">τ</m:t>
        </m:r>
        <m:r>
          <w:rPr>
            <w:rFonts w:ascii="Cambria Math" w:hAnsi="Cambria Math"/>
          </w:rPr>
          <m:t xml:space="preserve">B</m:t>
        </m:r>
        <m:sSub>
          <m:e>
            <m:r>
              <w:rPr>
                <w:rFonts w:ascii="Cambria Math" w:hAnsi="Cambria Math"/>
              </w:rPr>
              <m:t xml:space="preserve">M</m:t>
            </m:r>
          </m:e>
          <m:sub>
            <m:r>
              <m:rPr>
                <m:lit/>
                <m:nor/>
              </m:rPr>
              <w:rPr>
                <w:rFonts w:ascii="Cambria Math" w:hAnsi="Cambria Math"/>
              </w:rPr>
              <m:t xml:space="preserve">transp</m:t>
            </m:r>
          </m:sub>
        </m:sSub>
        <m:r>
          <w:rPr>
            <w:rFonts w:ascii="Cambria Math" w:hAnsi="Cambria Math"/>
          </w:rPr>
          <m:t xml:space="preserve">,</m:t>
        </m:r>
        <m:r>
          <w:rPr>
            <w:rFonts w:ascii="Cambria Math" w:hAnsi="Cambria Math"/>
          </w:rPr>
          <m:t xml:space="preserve">τ</m:t>
        </m:r>
        <m:r>
          <w:rPr>
            <w:rFonts w:ascii="Cambria Math" w:hAnsi="Cambria Math"/>
          </w:rPr>
          <m:t xml:space="preserve">=</m:t>
        </m:r>
        <m:r>
          <w:rPr>
            <w:rFonts w:ascii="Cambria Math" w:hAnsi="Cambria Math"/>
          </w:rPr>
          <m:t xml:space="preserve">5</m:t>
        </m:r>
        <m:r>
          <w:rPr>
            <w:rFonts w:ascii="Cambria Math" w:hAnsi="Cambria Math"/>
          </w:rPr>
          <m:t xml:space="preserve">×</m:t>
        </m:r>
        <m:sSup>
          <m:e>
            <m:r>
              <w:rPr>
                <w:rFonts w:ascii="Cambria Math" w:hAnsi="Cambria Math"/>
              </w:rPr>
              <m:t xml:space="preserve">10</m:t>
            </m:r>
          </m:e>
          <m:sup>
            <m:r>
              <w:rPr>
                <w:rFonts w:ascii="Cambria Math" w:hAnsi="Cambria Math"/>
              </w:rPr>
              <m:t xml:space="preserve">−</m:t>
            </m:r>
            <m:r>
              <w:rPr>
                <w:rFonts w:ascii="Cambria Math" w:hAnsi="Cambria Math"/>
              </w:rPr>
              <m:t xml:space="preserve">4</m:t>
            </m:r>
          </m:sup>
        </m:sSup>
      </m:oMath>
      <w:r>
        <w:rPr/>
        <w:t xml:space="preserve"> (dimensionless)</w:t>
      </w:r>
    </w:p>
    <w:p>
      <w:pPr>
        <w:pStyle w:val="TextBody"/>
        <w:bidi w:val="0"/>
        <w:jc w:val="left"/>
        <w:rPr/>
      </w:pPr>
      <w:r>
        <w:rPr>
          <w:rStyle w:val="StrongEmphasis"/>
        </w:rPr>
        <w:t xml:space="preserve">Condensation: </w:t>
      </w:r>
      <w:r>
        <w:rPr/>
      </w:r>
      <m:oMath xmlns:m="http://schemas.openxmlformats.org/officeDocument/2006/math">
        <m:sSub>
          <m:e>
            <m:r>
              <w:rPr>
                <w:rFonts w:ascii="Cambria Math" w:hAnsi="Cambria Math"/>
              </w:rPr>
              <m:t xml:space="preserve">C</m:t>
            </m:r>
          </m:e>
          <m:sub>
            <m:r>
              <m:rPr>
                <m:lit/>
                <m:nor/>
              </m:rPr>
              <w:rPr>
                <w:rFonts w:ascii="Cambria Math" w:hAnsi="Cambria Math"/>
              </w:rPr>
              <m:t xml:space="preserve">cond</m:t>
            </m:r>
          </m:sub>
        </m:sSub>
        <m:r>
          <w:rPr>
            <w:rFonts w:ascii="Cambria Math" w:hAnsi="Cambria Math"/>
          </w:rPr>
          <m:t xml:space="preserve">=</m:t>
        </m:r>
        <m:sSub>
          <m:e>
            <m:r>
              <w:rPr>
                <w:rFonts w:ascii="Cambria Math" w:hAnsi="Cambria Math"/>
              </w:rPr>
              <m:t xml:space="preserve">k</m:t>
            </m:r>
          </m:e>
          <m:sub>
            <m:r>
              <m:rPr>
                <m:lit/>
                <m:nor/>
              </m:rPr>
              <w:rPr>
                <w:rFonts w:ascii="Cambria Math" w:hAnsi="Cambria Math"/>
              </w:rPr>
              <m:t xml:space="preserve">cond</m:t>
            </m:r>
          </m:sub>
        </m:sSub>
        <m:r>
          <w:rPr>
            <w:rFonts w:ascii="Cambria Math" w:hAnsi="Cambria Math"/>
          </w:rPr>
          <m:t xml:space="preserve">max</m:t>
        </m:r>
        <m:d>
          <m:dPr>
            <m:begChr m:val="("/>
            <m:endChr m:val=")"/>
          </m:dPr>
          <m:e>
            <m:r>
              <w:rPr>
                <w:rFonts w:ascii="Cambria Math" w:hAnsi="Cambria Math"/>
              </w:rPr>
              <m:t xml:space="preserve">0</m:t>
            </m:r>
            <m:r>
              <w:rPr>
                <w:rFonts w:ascii="Cambria Math" w:hAnsi="Cambria Math"/>
              </w:rPr>
              <m:t xml:space="preserve">,</m:t>
            </m:r>
            <m:r>
              <w:rPr>
                <w:rFonts w:ascii="Cambria Math" w:hAnsi="Cambria Math"/>
              </w:rPr>
              <m:t xml:space="preserve">RH</m:t>
            </m:r>
            <m:r>
              <w:rPr>
                <w:rFonts w:ascii="Cambria Math" w:hAnsi="Cambria Math"/>
              </w:rPr>
              <m:t xml:space="preserve">−</m:t>
            </m:r>
            <m:sSub>
              <m:e>
                <m:r>
                  <w:rPr>
                    <w:rFonts w:ascii="Cambria Math" w:hAnsi="Cambria Math"/>
                  </w:rPr>
                  <m:t xml:space="preserve">RH</m:t>
                </m:r>
              </m:e>
              <m:sub>
                <m:r>
                  <m:rPr>
                    <m:lit/>
                    <m:nor/>
                  </m:rPr>
                  <w:rPr>
                    <w:rFonts w:ascii="Cambria Math" w:hAnsi="Cambria Math"/>
                  </w:rPr>
                  <m:t xml:space="preserve">sat</m:t>
                </m:r>
              </m:sub>
            </m:sSub>
          </m:e>
        </m:d>
        <m:sSub>
          <m:e>
            <m:r>
              <w:rPr>
                <w:rFonts w:ascii="Cambria Math" w:hAnsi="Cambria Math"/>
              </w:rPr>
              <m:t xml:space="preserve">M</m:t>
            </m:r>
          </m:e>
          <m:sub>
            <m:r>
              <m:rPr>
                <m:lit/>
                <m:nor/>
              </m:rPr>
              <w:rPr>
                <w:rFonts w:ascii="Cambria Math" w:hAnsi="Cambria Math"/>
              </w:rPr>
              <m:t xml:space="preserve">ceil</m:t>
            </m:r>
          </m:sub>
        </m:sSub>
        <m:r>
          <w:rPr>
            <w:rFonts w:ascii="Cambria Math" w:hAnsi="Cambria Math"/>
          </w:rPr>
          <m:t xml:space="preserve">,</m:t>
        </m:r>
        <m:r>
          <w:rPr>
            <w:rFonts w:ascii="Cambria Math" w:hAnsi="Cambria Math"/>
          </w:rPr>
          <m:t xml:space="preserve">RH</m:t>
        </m:r>
        <m:r>
          <w:rPr>
            <w:rFonts w:ascii="Cambria Math" w:hAnsi="Cambria Math"/>
          </w:rPr>
          <m:t xml:space="preserve">=</m:t>
        </m:r>
        <m:f>
          <m:num>
            <m:sSub>
              <m:e>
                <m:r>
                  <w:rPr>
                    <w:rFonts w:ascii="Cambria Math" w:hAnsi="Cambria Math"/>
                  </w:rPr>
                  <m:t xml:space="preserve">C</m:t>
                </m:r>
              </m:e>
              <m:sub>
                <m:r>
                  <w:rPr>
                    <w:rFonts w:ascii="Cambria Math" w:hAnsi="Cambria Math"/>
                  </w:rPr>
                  <m:t xml:space="preserve">v</m:t>
                </m:r>
              </m:sub>
            </m:sSub>
          </m:num>
          <m:den>
            <m:sSub>
              <m:e>
                <m:r>
                  <w:rPr>
                    <w:rFonts w:ascii="Cambria Math" w:hAnsi="Cambria Math"/>
                  </w:rPr>
                  <m:t xml:space="preserve">C</m:t>
                </m:r>
              </m:e>
              <m:sub>
                <m:r>
                  <w:rPr>
                    <w:rFonts w:ascii="Cambria Math" w:hAnsi="Cambria Math"/>
                  </w:rPr>
                  <m:t xml:space="preserve">v</m:t>
                </m:r>
                <m:r>
                  <w:rPr>
                    <w:rFonts w:ascii="Cambria Math" w:hAnsi="Cambria Math"/>
                  </w:rPr>
                  <m:t xml:space="preserve">,</m:t>
                </m:r>
                <m:r>
                  <m:rPr>
                    <m:lit/>
                    <m:nor/>
                  </m:rPr>
                  <w:rPr>
                    <w:rFonts w:ascii="Cambria Math" w:hAnsi="Cambria Math"/>
                  </w:rPr>
                  <m:t xml:space="preserve">sat</m:t>
                </m:r>
              </m:sub>
            </m:sSub>
          </m:den>
        </m:f>
        <m:r>
          <w:rPr>
            <w:rFonts w:ascii="Cambria Math" w:hAnsi="Cambria Math"/>
          </w:rPr>
          <m:t xml:space="preserve">,</m:t>
        </m:r>
        <m:sSub>
          <m:e>
            <m:r>
              <w:rPr>
                <w:rFonts w:ascii="Cambria Math" w:hAnsi="Cambria Math"/>
              </w:rPr>
              <m:t xml:space="preserve">C</m:t>
            </m:r>
          </m:e>
          <m:sub>
            <m:r>
              <w:rPr>
                <w:rFonts w:ascii="Cambria Math" w:hAnsi="Cambria Math"/>
              </w:rPr>
              <m:t xml:space="preserve">v</m:t>
            </m:r>
            <m:r>
              <w:rPr>
                <w:rFonts w:ascii="Cambria Math" w:hAnsi="Cambria Math"/>
              </w:rPr>
              <m:t xml:space="preserve">,</m:t>
            </m:r>
            <m:r>
              <m:rPr>
                <m:lit/>
                <m:nor/>
              </m:rPr>
              <w:rPr>
                <w:rFonts w:ascii="Cambria Math" w:hAnsi="Cambria Math"/>
              </w:rPr>
              <m:t xml:space="preserve">sat</m:t>
            </m:r>
          </m:sub>
        </m:sSub>
        <m:r>
          <w:rPr>
            <w:rFonts w:ascii="Cambria Math" w:hAnsi="Cambria Math"/>
          </w:rPr>
          <m:t xml:space="preserve">=</m:t>
        </m:r>
        <m:r>
          <w:rPr>
            <w:rFonts w:ascii="Cambria Math" w:hAnsi="Cambria Math"/>
          </w:rPr>
          <m:t xml:space="preserve">0.03</m:t>
        </m:r>
        <m:r>
          <w:rPr>
            <w:rFonts w:ascii="Cambria Math" w:hAnsi="Cambria Math"/>
          </w:rPr>
          <m:t xml:space="preserve">,</m:t>
        </m:r>
        <m:sSub>
          <m:e>
            <m:r>
              <w:rPr>
                <w:rFonts w:ascii="Cambria Math" w:hAnsi="Cambria Math"/>
              </w:rPr>
              <m:t xml:space="preserve">RH</m:t>
            </m:r>
          </m:e>
          <m:sub>
            <m:r>
              <m:rPr>
                <m:lit/>
                <m:nor/>
              </m:rPr>
              <w:rPr>
                <w:rFonts w:ascii="Cambria Math" w:hAnsi="Cambria Math"/>
              </w:rPr>
              <m:t xml:space="preserve">sat</m:t>
            </m:r>
          </m:sub>
        </m:sSub>
        <m:r>
          <w:rPr>
            <w:rFonts w:ascii="Cambria Math" w:hAnsi="Cambria Math"/>
          </w:rPr>
          <m:t xml:space="preserve">=</m:t>
        </m:r>
        <m:r>
          <w:rPr>
            <w:rFonts w:ascii="Cambria Math" w:hAnsi="Cambria Math"/>
          </w:rPr>
          <m:t xml:space="preserve">0.6</m:t>
        </m:r>
        <m:r>
          <w:rPr>
            <w:rFonts w:ascii="Cambria Math" w:hAnsi="Cambria Math"/>
          </w:rPr>
          <m:t xml:space="preserve">,</m:t>
        </m:r>
        <m:sSub>
          <m:e>
            <m:r>
              <w:rPr>
                <w:rFonts w:ascii="Cambria Math" w:hAnsi="Cambria Math"/>
              </w:rPr>
              <m:t xml:space="preserve">k</m:t>
            </m:r>
          </m:e>
          <m:sub>
            <m:r>
              <m:rPr>
                <m:lit/>
                <m:nor/>
              </m:rPr>
              <w:rPr>
                <w:rFonts w:ascii="Cambria Math" w:hAnsi="Cambria Math"/>
              </w:rPr>
              <m:t xml:space="preserve">cond</m:t>
            </m:r>
          </m:sub>
        </m:sSub>
        <m:r>
          <w:rPr>
            <w:rFonts w:ascii="Cambria Math" w:hAnsi="Cambria Math"/>
          </w:rPr>
          <m:t xml:space="preserve">=</m:t>
        </m:r>
        <m:r>
          <w:rPr>
            <w:rFonts w:ascii="Cambria Math" w:hAnsi="Cambria Math"/>
          </w:rPr>
          <m:t xml:space="preserve">0.5</m:t>
        </m:r>
      </m:oMath>
      <w:r>
        <w:rPr/>
        <w:t xml:space="preserve"> </w:t>
      </w:r>
    </w:p>
    <w:p>
      <w:pPr>
        <w:pStyle w:val="TextBody"/>
        <w:bidi w:val="0"/>
        <w:jc w:val="left"/>
        <w:rPr/>
      </w:pPr>
      <w:r>
        <w:rPr>
          <w:rStyle w:val="StrongEmphasis"/>
        </w:rPr>
        <w:t xml:space="preserve">Photosynthesis: </w:t>
      </w:r>
      <w:r>
        <w:rPr/>
      </w:r>
      <m:oMath xmlns:m="http://schemas.openxmlformats.org/officeDocument/2006/math">
        <m:sSub>
          <m:e>
            <m:r>
              <w:rPr>
                <w:rFonts w:ascii="Cambria Math" w:hAnsi="Cambria Math"/>
              </w:rPr>
              <m:t xml:space="preserve">P</m:t>
            </m:r>
          </m:e>
          <m:sub>
            <m:r>
              <m:rPr>
                <m:lit/>
                <m:nor/>
              </m:rPr>
              <w:rPr>
                <w:rFonts w:ascii="Cambria Math" w:hAnsi="Cambria Math"/>
              </w:rPr>
              <m:t xml:space="preserve">photo</m:t>
            </m:r>
          </m:sub>
        </m:sSub>
        <m:r>
          <w:rPr>
            <w:rFonts w:ascii="Cambria Math" w:hAnsi="Cambria Math"/>
          </w:rPr>
          <m:t xml:space="preserve">=</m:t>
        </m:r>
        <m:sSub>
          <m:e>
            <m:r>
              <w:rPr>
                <w:rFonts w:ascii="Cambria Math" w:hAnsi="Cambria Math"/>
              </w:rPr>
              <m:t xml:space="preserve">P</m:t>
            </m:r>
          </m:e>
          <m:sub>
            <m:r>
              <m:rPr>
                <m:lit/>
                <m:nor/>
              </m:rPr>
              <w:rPr>
                <w:rFonts w:ascii="Cambria Math" w:hAnsi="Cambria Math"/>
              </w:rPr>
              <m:t xml:space="preserve">max</m:t>
            </m:r>
          </m:sub>
        </m:sSub>
        <m:f>
          <m:num>
            <m:sSub>
              <m:e>
                <m:r>
                  <w:rPr>
                    <w:rFonts w:ascii="Cambria Math" w:hAnsi="Cambria Math"/>
                  </w:rPr>
                  <m:t xml:space="preserve">CO</m:t>
                </m:r>
              </m:e>
              <m:sub>
                <m:r>
                  <w:rPr>
                    <w:rFonts w:ascii="Cambria Math" w:hAnsi="Cambria Math"/>
                  </w:rPr>
                  <m:t xml:space="preserve">2</m:t>
                </m:r>
              </m:sub>
            </m:sSub>
          </m:num>
          <m:den>
            <m:sSub>
              <m:e>
                <m:r>
                  <w:rPr>
                    <w:rFonts w:ascii="Cambria Math" w:hAnsi="Cambria Math"/>
                  </w:rPr>
                  <m:t xml:space="preserve">CO</m:t>
                </m:r>
              </m:e>
              <m:sub>
                <m:r>
                  <w:rPr>
                    <w:rFonts w:ascii="Cambria Math" w:hAnsi="Cambria Math"/>
                  </w:rPr>
                  <m:t xml:space="preserve">2</m:t>
                </m:r>
              </m:sub>
            </m:sSub>
            <m:r>
              <w:rPr>
                <w:rFonts w:ascii="Cambria Math" w:hAnsi="Cambria Math"/>
              </w:rPr>
              <m:t xml:space="preserve">+</m:t>
            </m:r>
            <m:sSub>
              <m:e>
                <m:r>
                  <w:rPr>
                    <w:rFonts w:ascii="Cambria Math" w:hAnsi="Cambria Math"/>
                  </w:rPr>
                  <m:t xml:space="preserve">k</m:t>
                </m:r>
              </m:e>
              <m:sub>
                <m:sSub>
                  <m:e>
                    <m:r>
                      <w:rPr>
                        <w:rFonts w:ascii="Cambria Math" w:hAnsi="Cambria Math"/>
                      </w:rPr>
                      <m:t xml:space="preserve">CO</m:t>
                    </m:r>
                  </m:e>
                  <m:sub>
                    <m:r>
                      <w:rPr>
                        <w:rFonts w:ascii="Cambria Math" w:hAnsi="Cambria Math"/>
                      </w:rPr>
                      <m:t xml:space="preserve">2</m:t>
                    </m:r>
                  </m:sub>
                </m:sSub>
              </m:sub>
            </m:sSub>
          </m:den>
        </m:f>
        <m:sSub>
          <m:e>
            <m:r>
              <w:rPr>
                <w:rFonts w:ascii="Cambria Math" w:hAnsi="Cambria Math"/>
              </w:rPr>
              <m:t xml:space="preserve">f</m:t>
            </m:r>
          </m:e>
          <m:sub>
            <m:r>
              <w:rPr>
                <w:rFonts w:ascii="Cambria Math" w:hAnsi="Cambria Math"/>
              </w:rPr>
              <m:t xml:space="preserve">T</m:t>
            </m:r>
          </m:sub>
        </m:sSub>
        <m:d>
          <m:dPr>
            <m:begChr m:val="("/>
            <m:endChr m:val=")"/>
          </m:dPr>
          <m:e>
            <m:r>
              <w:rPr>
                <w:rFonts w:ascii="Cambria Math" w:hAnsi="Cambria Math"/>
              </w:rPr>
              <m:t xml:space="preserve">T</m:t>
            </m:r>
          </m:e>
        </m:d>
        <m:r>
          <w:rPr>
            <w:rFonts w:ascii="Cambria Math" w:hAnsi="Cambria Math"/>
          </w:rPr>
          <m:t xml:space="preserve">θ</m:t>
        </m:r>
        <m:r>
          <w:rPr>
            <w:rFonts w:ascii="Cambria Math" w:hAnsi="Cambria Math"/>
          </w:rPr>
          <m:t xml:space="preserve">B</m:t>
        </m:r>
        <m:sSub>
          <m:e>
            <m:r>
              <w:rPr>
                <w:rFonts w:ascii="Cambria Math" w:hAnsi="Cambria Math"/>
              </w:rPr>
              <m:t xml:space="preserve">M</m:t>
            </m:r>
          </m:e>
          <m:sub>
            <m:r>
              <m:rPr>
                <m:lit/>
                <m:nor/>
              </m:rPr>
              <w:rPr>
                <w:rFonts w:ascii="Cambria Math" w:hAnsi="Cambria Math"/>
              </w:rPr>
              <m:t xml:space="preserve">photo</m:t>
            </m:r>
          </m:sub>
        </m:sSub>
        <m:r>
          <w:rPr>
            <w:rFonts w:ascii="Cambria Math" w:hAnsi="Cambria Math"/>
          </w:rPr>
          <m:t xml:space="preserve">,</m:t>
        </m:r>
        <m:sSub>
          <m:e>
            <m:r>
              <w:rPr>
                <w:rFonts w:ascii="Cambria Math" w:hAnsi="Cambria Math"/>
              </w:rPr>
              <m:t xml:space="preserve">P</m:t>
            </m:r>
          </m:e>
          <m:sub>
            <m:r>
              <m:rPr>
                <m:lit/>
                <m:nor/>
              </m:rPr>
              <w:rPr>
                <w:rFonts w:ascii="Cambria Math" w:hAnsi="Cambria Math"/>
              </w:rPr>
              <m:t xml:space="preserve">max</m:t>
            </m:r>
          </m:sub>
        </m:sSub>
        <m:r>
          <w:rPr>
            <w:rFonts w:ascii="Cambria Math" w:hAnsi="Cambria Math"/>
          </w:rPr>
          <m:t xml:space="preserve">=</m:t>
        </m:r>
        <m:r>
          <w:rPr>
            <w:rFonts w:ascii="Cambria Math" w:hAnsi="Cambria Math"/>
          </w:rPr>
          <m:t xml:space="preserve">0.01</m:t>
        </m:r>
        <m:r>
          <w:rPr>
            <w:rFonts w:ascii="Cambria Math" w:hAnsi="Cambria Math"/>
          </w:rPr>
          <m:t xml:space="preserve">,</m:t>
        </m:r>
        <m:sSub>
          <m:e>
            <m:r>
              <w:rPr>
                <w:rFonts w:ascii="Cambria Math" w:hAnsi="Cambria Math"/>
              </w:rPr>
              <m:t xml:space="preserve">k</m:t>
            </m:r>
          </m:e>
          <m:sub>
            <m:sSub>
              <m:e>
                <m:r>
                  <w:rPr>
                    <w:rFonts w:ascii="Cambria Math" w:hAnsi="Cambria Math"/>
                  </w:rPr>
                  <m:t xml:space="preserve">CO</m:t>
                </m:r>
              </m:e>
              <m:sub>
                <m:r>
                  <w:rPr>
                    <w:rFonts w:ascii="Cambria Math" w:hAnsi="Cambria Math"/>
                  </w:rPr>
                  <m:t xml:space="preserve">2</m:t>
                </m:r>
              </m:sub>
            </m:sSub>
          </m:sub>
        </m:sSub>
        <m:r>
          <w:rPr>
            <w:rFonts w:ascii="Cambria Math" w:hAnsi="Cambria Math"/>
          </w:rPr>
          <m:t xml:space="preserve">=</m:t>
        </m:r>
        <m:r>
          <w:rPr>
            <w:rFonts w:ascii="Cambria Math" w:hAnsi="Cambria Math"/>
          </w:rPr>
          <m:t xml:space="preserve">0.05</m:t>
        </m:r>
      </m:oMath>
      <w:r>
        <w:rPr/>
        <w:t xml:space="preserve"> </w:t>
      </w:r>
    </w:p>
    <w:p>
      <w:pPr>
        <w:pStyle w:val="TextBody"/>
        <w:bidi w:val="0"/>
        <w:jc w:val="left"/>
        <w:rPr/>
      </w:pPr>
      <w:r>
        <w:rPr>
          <w:rStyle w:val="StrongEmphasis"/>
        </w:rPr>
        <w:t xml:space="preserve">Temperature dependence: </w:t>
      </w:r>
      <w:r>
        <w:rPr/>
      </w:r>
      <m:oMath xmlns:m="http://schemas.openxmlformats.org/officeDocument/2006/math">
        <m:sSub>
          <m:e>
            <m:r>
              <w:rPr>
                <w:rFonts w:ascii="Cambria Math" w:hAnsi="Cambria Math"/>
              </w:rPr>
              <m:t xml:space="preserve">f</m:t>
            </m:r>
          </m:e>
          <m:sub>
            <m:r>
              <w:rPr>
                <w:rFonts w:ascii="Cambria Math" w:hAnsi="Cambria Math"/>
              </w:rPr>
              <m:t xml:space="preserve">T</m:t>
            </m:r>
          </m:sub>
        </m:sSub>
        <m:d>
          <m:dPr>
            <m:begChr m:val="("/>
            <m:endChr m:val=")"/>
          </m:dPr>
          <m:e>
            <m:r>
              <w:rPr>
                <w:rFonts w:ascii="Cambria Math" w:hAnsi="Cambria Math"/>
              </w:rPr>
              <m:t xml:space="preserve">T</m:t>
            </m:r>
          </m:e>
        </m:d>
        <m:r>
          <w:rPr>
            <w:rFonts w:ascii="Cambria Math" w:hAnsi="Cambria Math"/>
          </w:rPr>
          <m:t xml:space="preserve">=</m:t>
        </m:r>
        <m:r>
          <w:rPr>
            <w:rFonts w:ascii="Cambria Math" w:hAnsi="Cambria Math"/>
          </w:rPr>
          <m:t xml:space="preserve">max</m:t>
        </m:r>
        <m:d>
          <m:dPr>
            <m:begChr m:val="("/>
            <m:endChr m:val=")"/>
          </m:dPr>
          <m:e>
            <m:r>
              <w:rPr>
                <w:rFonts w:ascii="Cambria Math" w:hAnsi="Cambria Math"/>
              </w:rPr>
              <m:t xml:space="preserve">0</m:t>
            </m:r>
            <m:r>
              <w:rPr>
                <w:rFonts w:ascii="Cambria Math" w:hAnsi="Cambria Math"/>
              </w:rPr>
              <m:t xml:space="preserve">,</m:t>
            </m:r>
            <m:r>
              <w:rPr>
                <w:rFonts w:ascii="Cambria Math" w:hAnsi="Cambria Math"/>
              </w:rPr>
              <m:t xml:space="preserve">exp</m:t>
            </m:r>
            <m:d>
              <m:dPr>
                <m:begChr m:val="("/>
                <m:endChr m:val=")"/>
              </m:dPr>
              <m:e>
                <m:r>
                  <w:rPr>
                    <w:rFonts w:ascii="Cambria Math" w:hAnsi="Cambria Math"/>
                  </w:rPr>
                  <m:t xml:space="preserve">−</m:t>
                </m:r>
                <m:sSup>
                  <m:e>
                    <m:d>
                      <m:dPr>
                        <m:begChr m:val="("/>
                        <m:endChr m:val=")"/>
                      </m:dPr>
                      <m:e>
                        <m:f>
                          <m:num>
                            <m:r>
                              <w:rPr>
                                <w:rFonts w:ascii="Cambria Math" w:hAnsi="Cambria Math"/>
                              </w:rPr>
                              <m:t xml:space="preserve">T</m:t>
                            </m:r>
                            <m:r>
                              <w:rPr>
                                <w:rFonts w:ascii="Cambria Math" w:hAnsi="Cambria Math"/>
                              </w:rPr>
                              <m:t xml:space="preserve">−</m:t>
                            </m:r>
                            <m:sSub>
                              <m:e>
                                <m:r>
                                  <w:rPr>
                                    <w:rFonts w:ascii="Cambria Math" w:hAnsi="Cambria Math"/>
                                  </w:rPr>
                                  <m:t xml:space="preserve">T</m:t>
                                </m:r>
                              </m:e>
                              <m:sub>
                                <m:r>
                                  <m:rPr>
                                    <m:lit/>
                                    <m:nor/>
                                  </m:rPr>
                                  <w:rPr>
                                    <w:rFonts w:ascii="Cambria Math" w:hAnsi="Cambria Math"/>
                                  </w:rPr>
                                  <m:t xml:space="preserve">opt</m:t>
                                </m:r>
                              </m:sub>
                            </m:sSub>
                          </m:num>
                          <m:den>
                            <m:sSub>
                              <m:e>
                                <m:r>
                                  <w:rPr>
                                    <w:rFonts w:ascii="Cambria Math" w:hAnsi="Cambria Math"/>
                                  </w:rPr>
                                  <m:t xml:space="preserve">T</m:t>
                                </m:r>
                              </m:e>
                              <m:sub>
                                <m:r>
                                  <m:rPr>
                                    <m:lit/>
                                    <m:nor/>
                                  </m:rPr>
                                  <w:rPr>
                                    <w:rFonts w:ascii="Cambria Math" w:hAnsi="Cambria Math"/>
                                  </w:rPr>
                                  <m:t xml:space="preserve">range</m:t>
                                </m:r>
                              </m:sub>
                            </m:sSub>
                          </m:den>
                        </m:f>
                      </m:e>
                    </m:d>
                  </m:e>
                  <m:sup>
                    <m:r>
                      <w:rPr>
                        <w:rFonts w:ascii="Cambria Math" w:hAnsi="Cambria Math"/>
                      </w:rPr>
                      <m:t xml:space="preserve">2</m:t>
                    </m:r>
                  </m:sup>
                </m:sSup>
              </m:e>
            </m:d>
          </m:e>
        </m:d>
        <m:r>
          <w:rPr>
            <w:rFonts w:ascii="Cambria Math" w:hAnsi="Cambria Math"/>
          </w:rPr>
          <m:t xml:space="preserve">,</m:t>
        </m:r>
        <m:sSub>
          <m:e>
            <m:r>
              <w:rPr>
                <w:rFonts w:ascii="Cambria Math" w:hAnsi="Cambria Math"/>
              </w:rPr>
              <m:t xml:space="preserve">T</m:t>
            </m:r>
          </m:e>
          <m:sub>
            <m:r>
              <m:rPr>
                <m:lit/>
                <m:nor/>
              </m:rPr>
              <w:rPr>
                <w:rFonts w:ascii="Cambria Math" w:hAnsi="Cambria Math"/>
              </w:rPr>
              <m:t xml:space="preserve">opt</m:t>
            </m:r>
          </m:sub>
        </m:sSub>
        <m:r>
          <w:rPr>
            <w:rFonts w:ascii="Cambria Math" w:hAnsi="Cambria Math"/>
          </w:rPr>
          <m:t xml:space="preserve">=</m:t>
        </m:r>
        <m:r>
          <w:rPr>
            <w:rFonts w:ascii="Cambria Math" w:hAnsi="Cambria Math"/>
          </w:rPr>
          <m:t xml:space="preserve">298</m:t>
        </m:r>
        <m:r>
          <m:rPr>
            <m:lit/>
            <m:nor/>
          </m:rPr>
          <w:rPr>
            <w:rFonts w:ascii="Cambria Math" w:hAnsi="Cambria Math"/>
          </w:rPr>
          <m:t xml:space="preserve"> K</m:t>
        </m:r>
        <m:r>
          <w:rPr>
            <w:rFonts w:ascii="Cambria Math" w:hAnsi="Cambria Math"/>
          </w:rPr>
          <m:t xml:space="preserve">,</m:t>
        </m:r>
        <m:sSub>
          <m:e>
            <m:r>
              <w:rPr>
                <w:rFonts w:ascii="Cambria Math" w:hAnsi="Cambria Math"/>
              </w:rPr>
              <m:t xml:space="preserve">T</m:t>
            </m:r>
          </m:e>
          <m:sub>
            <m:r>
              <m:rPr>
                <m:lit/>
                <m:nor/>
              </m:rPr>
              <w:rPr>
                <w:rFonts w:ascii="Cambria Math" w:hAnsi="Cambria Math"/>
              </w:rPr>
              <m:t xml:space="preserve">range</m:t>
            </m:r>
          </m:sub>
        </m:sSub>
        <m:r>
          <w:rPr>
            <w:rFonts w:ascii="Cambria Math" w:hAnsi="Cambria Math"/>
          </w:rPr>
          <m:t xml:space="preserve">=</m:t>
        </m:r>
        <m:r>
          <w:rPr>
            <w:rFonts w:ascii="Cambria Math" w:hAnsi="Cambria Math"/>
          </w:rPr>
          <m:t xml:space="preserve">10</m:t>
        </m:r>
        <m:r>
          <m:rPr>
            <m:lit/>
            <m:nor/>
          </m:rPr>
          <w:rPr>
            <w:rFonts w:ascii="Cambria Math" w:hAnsi="Cambria Math"/>
          </w:rPr>
          <m:t xml:space="preserve"> K</m:t>
        </m:r>
      </m:oMath>
      <w:r>
        <w:rPr/>
        <w:t xml:space="preserve"> </w:t>
      </w:r>
    </w:p>
    <w:p>
      <w:pPr>
        <w:pStyle w:val="TextBody"/>
        <w:bidi w:val="0"/>
        <w:jc w:val="left"/>
        <w:rPr/>
      </w:pPr>
      <w:r>
        <w:rPr>
          <w:rStyle w:val="StrongEmphasis"/>
        </w:rPr>
        <w:t xml:space="preserve">Respiration: </w:t>
      </w:r>
      <w:r>
        <w:rPr/>
      </w:r>
      <m:oMath xmlns:m="http://schemas.openxmlformats.org/officeDocument/2006/math">
        <m:r>
          <w:rPr>
            <w:rFonts w:ascii="Cambria Math" w:hAnsi="Cambria Math"/>
          </w:rPr>
          <m:t xml:space="preserve">R</m:t>
        </m:r>
        <m:r>
          <w:rPr>
            <w:rFonts w:ascii="Cambria Math" w:hAnsi="Cambria Math"/>
          </w:rPr>
          <m:t xml:space="preserve">=</m:t>
        </m:r>
        <m:sSub>
          <m:e>
            <m:r>
              <w:rPr>
                <w:rFonts w:ascii="Cambria Math" w:hAnsi="Cambria Math"/>
              </w:rPr>
              <m:t xml:space="preserve">R</m:t>
            </m:r>
          </m:e>
          <m:sub>
            <m:r>
              <m:rPr>
                <m:lit/>
                <m:nor/>
              </m:rPr>
              <w:rPr>
                <w:rFonts w:ascii="Cambria Math" w:hAnsi="Cambria Math"/>
              </w:rPr>
              <m:t xml:space="preserve">maint</m:t>
            </m:r>
          </m:sub>
        </m:sSub>
        <m:r>
          <w:rPr>
            <w:rFonts w:ascii="Cambria Math" w:hAnsi="Cambria Math"/>
          </w:rPr>
          <m:t xml:space="preserve">B</m:t>
        </m:r>
        <m:r>
          <w:rPr>
            <w:rFonts w:ascii="Cambria Math" w:hAnsi="Cambria Math"/>
          </w:rPr>
          <m:t xml:space="preserve">max</m:t>
        </m:r>
        <m:d>
          <m:dPr>
            <m:begChr m:val="("/>
            <m:endChr m:val=")"/>
          </m:dPr>
          <m:e>
            <m:r>
              <w:rPr>
                <w:rFonts w:ascii="Cambria Math" w:hAnsi="Cambria Math"/>
              </w:rPr>
              <m:t xml:space="preserve">0.1</m:t>
            </m:r>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0.05</m:t>
            </m:r>
            <m:d>
              <m:dPr>
                <m:begChr m:val="("/>
                <m:endChr m:val=")"/>
              </m:dPr>
              <m:e>
                <m:r>
                  <w:rPr>
                    <w:rFonts w:ascii="Cambria Math" w:hAnsi="Cambria Math"/>
                  </w:rPr>
                  <m:t xml:space="preserve">T</m:t>
                </m:r>
                <m:r>
                  <w:rPr>
                    <w:rFonts w:ascii="Cambria Math" w:hAnsi="Cambria Math"/>
                  </w:rPr>
                  <m:t xml:space="preserve">−</m:t>
                </m:r>
                <m:sSub>
                  <m:e>
                    <m:r>
                      <w:rPr>
                        <w:rFonts w:ascii="Cambria Math" w:hAnsi="Cambria Math"/>
                      </w:rPr>
                      <m:t xml:space="preserve">T</m:t>
                    </m:r>
                  </m:e>
                  <m:sub>
                    <m:r>
                      <m:rPr>
                        <m:lit/>
                        <m:nor/>
                      </m:rPr>
                      <w:rPr>
                        <w:rFonts w:ascii="Cambria Math" w:hAnsi="Cambria Math"/>
                      </w:rPr>
                      <m:t xml:space="preserve">opt</m:t>
                    </m:r>
                  </m:sub>
                </m:sSub>
              </m:e>
            </m:d>
          </m:e>
        </m:d>
        <m:sSub>
          <m:e>
            <m:r>
              <w:rPr>
                <w:rFonts w:ascii="Cambria Math" w:hAnsi="Cambria Math"/>
              </w:rPr>
              <m:t xml:space="preserve">M</m:t>
            </m:r>
          </m:e>
          <m:sub>
            <m:r>
              <m:rPr>
                <m:lit/>
                <m:nor/>
              </m:rPr>
              <w:rPr>
                <w:rFonts w:ascii="Cambria Math" w:hAnsi="Cambria Math"/>
              </w:rPr>
              <m:t xml:space="preserve">resp</m:t>
            </m:r>
          </m:sub>
        </m:sSub>
        <m:r>
          <w:rPr>
            <w:rFonts w:ascii="Cambria Math" w:hAnsi="Cambria Math"/>
          </w:rPr>
          <m:t xml:space="preserve">,</m:t>
        </m:r>
        <m:sSub>
          <m:e>
            <m:r>
              <w:rPr>
                <w:rFonts w:ascii="Cambria Math" w:hAnsi="Cambria Math"/>
              </w:rPr>
              <m:t xml:space="preserve">R</m:t>
            </m:r>
          </m:e>
          <m:sub>
            <m:r>
              <m:rPr>
                <m:lit/>
                <m:nor/>
              </m:rPr>
              <w:rPr>
                <w:rFonts w:ascii="Cambria Math" w:hAnsi="Cambria Math"/>
              </w:rPr>
              <m:t xml:space="preserve">maint</m:t>
            </m:r>
          </m:sub>
        </m:sSub>
        <m:r>
          <w:rPr>
            <w:rFonts w:ascii="Cambria Math" w:hAnsi="Cambria Math"/>
          </w:rPr>
          <m:t xml:space="preserve">=</m:t>
        </m:r>
        <m:r>
          <w:rPr>
            <w:rFonts w:ascii="Cambria Math" w:hAnsi="Cambria Math"/>
          </w:rPr>
          <m:t xml:space="preserve">0.002</m:t>
        </m:r>
      </m:oMath>
      <w:r>
        <w:rPr/>
        <w:t xml:space="preserve"> </w:t>
      </w:r>
    </w:p>
    <w:p>
      <w:pPr>
        <w:pStyle w:val="TextBody"/>
        <w:bidi w:val="0"/>
        <w:jc w:val="left"/>
        <w:rPr/>
      </w:pPr>
      <w:r>
        <w:rPr>
          <w:rStyle w:val="StrongEmphasis"/>
        </w:rPr>
        <w:t xml:space="preserve">Metabolic heat: </w:t>
      </w:r>
      <w:r>
        <w:rPr/>
      </w:r>
      <m:oMath xmlns:m="http://schemas.openxmlformats.org/officeDocument/2006/math">
        <m:sSub>
          <m:e>
            <m:r>
              <w:rPr>
                <w:rFonts w:ascii="Cambria Math" w:hAnsi="Cambria Math"/>
              </w:rPr>
              <m:t xml:space="preserve">Q</m:t>
            </m:r>
          </m:e>
          <m:sub>
            <m:r>
              <m:rPr>
                <m:lit/>
                <m:nor/>
              </m:rPr>
              <w:rPr>
                <w:rFonts w:ascii="Cambria Math" w:hAnsi="Cambria Math"/>
              </w:rPr>
              <m:t xml:space="preserve">bio</m:t>
            </m:r>
          </m:sub>
        </m:sSub>
        <m:r>
          <w:rPr>
            <w:rFonts w:ascii="Cambria Math" w:hAnsi="Cambria Math"/>
          </w:rPr>
          <m:t xml:space="preserve">=</m:t>
        </m:r>
        <m:sSub>
          <m:e>
            <m:r>
              <w:rPr>
                <w:rFonts w:ascii="Cambria Math" w:hAnsi="Cambria Math"/>
              </w:rPr>
              <m:t xml:space="preserve">η</m:t>
            </m:r>
          </m:e>
          <m:sub>
            <m:r>
              <m:rPr>
                <m:lit/>
                <m:nor/>
              </m:rPr>
              <w:rPr>
                <w:rFonts w:ascii="Cambria Math" w:hAnsi="Cambria Math"/>
              </w:rPr>
              <m:t xml:space="preserve">heat</m:t>
            </m:r>
          </m:sub>
        </m:sSub>
        <m:r>
          <w:rPr>
            <w:rFonts w:ascii="Cambria Math" w:hAnsi="Cambria Math"/>
          </w:rPr>
          <m:t xml:space="preserve">R</m:t>
        </m:r>
        <m:r>
          <w:rPr>
            <w:rFonts w:ascii="Cambria Math" w:hAnsi="Cambria Math"/>
          </w:rPr>
          <m:t xml:space="preserve">,</m:t>
        </m:r>
        <m:sSub>
          <m:e>
            <m:r>
              <w:rPr>
                <w:rFonts w:ascii="Cambria Math" w:hAnsi="Cambria Math"/>
              </w:rPr>
              <m:t xml:space="preserve">η</m:t>
            </m:r>
          </m:e>
          <m:sub>
            <m:r>
              <m:rPr>
                <m:lit/>
                <m:nor/>
              </m:rPr>
              <w:rPr>
                <w:rFonts w:ascii="Cambria Math" w:hAnsi="Cambria Math"/>
              </w:rPr>
              <m:t xml:space="preserve">heat</m:t>
            </m:r>
          </m:sub>
        </m:sSub>
        <m:r>
          <w:rPr>
            <w:rFonts w:ascii="Cambria Math" w:hAnsi="Cambria Math"/>
          </w:rPr>
          <m:t xml:space="preserve">=</m:t>
        </m:r>
        <m:r>
          <w:rPr>
            <w:rFonts w:ascii="Cambria Math" w:hAnsi="Cambria Math"/>
          </w:rPr>
          <m:t xml:space="preserve">0.05</m:t>
        </m:r>
      </m:oMath>
      <w:r>
        <w:rPr/>
        <w:t xml:space="preserve"> </w:t>
      </w:r>
    </w:p>
    <w:p>
      <w:pPr>
        <w:pStyle w:val="TextBody"/>
        <w:bidi w:val="0"/>
        <w:jc w:val="left"/>
        <w:rPr/>
      </w:pPr>
      <w:r>
        <w:rPr>
          <w:rStyle w:val="StrongEmphasis"/>
        </w:rPr>
        <w:t xml:space="preserve">Radiative heat: </w:t>
      </w:r>
      <w:r>
        <w:rPr/>
      </w:r>
      <m:oMath xmlns:m="http://schemas.openxmlformats.org/officeDocument/2006/math">
        <m:sSub>
          <m:e>
            <m:r>
              <w:rPr>
                <w:rFonts w:ascii="Cambria Math" w:hAnsi="Cambria Math"/>
              </w:rPr>
              <m:t xml:space="preserve">Q</m:t>
            </m:r>
          </m:e>
          <m:sub>
            <m:r>
              <m:rPr>
                <m:lit/>
                <m:nor/>
              </m:rPr>
              <w:rPr>
                <w:rFonts w:ascii="Cambria Math" w:hAnsi="Cambria Math"/>
              </w:rPr>
              <m:t xml:space="preserve">rad</m:t>
            </m:r>
          </m:sub>
        </m:sSub>
        <m:r>
          <w:rPr>
            <w:rFonts w:ascii="Cambria Math" w:hAnsi="Cambria Math"/>
          </w:rPr>
          <m:t xml:space="preserve">=</m:t>
        </m:r>
        <m:sSub>
          <m:e>
            <m:r>
              <w:rPr>
                <w:rFonts w:ascii="Cambria Math" w:hAnsi="Cambria Math"/>
              </w:rPr>
              <m:t xml:space="preserve">α</m:t>
            </m:r>
          </m:e>
          <m:sub>
            <m:r>
              <m:rPr>
                <m:lit/>
                <m:nor/>
              </m:rPr>
              <w:rPr>
                <w:rFonts w:ascii="Cambria Math" w:hAnsi="Cambria Math"/>
              </w:rPr>
              <m:t xml:space="preserve">heat</m:t>
            </m:r>
          </m:sub>
        </m:sSub>
        <m:sSub>
          <m:e>
            <m:r>
              <w:rPr>
                <w:rFonts w:ascii="Cambria Math" w:hAnsi="Cambria Math"/>
              </w:rPr>
              <m:t xml:space="preserve">P</m:t>
            </m:r>
          </m:e>
          <m:sub>
            <m:r>
              <m:rPr>
                <m:lit/>
                <m:nor/>
              </m:rPr>
              <w:rPr>
                <w:rFonts w:ascii="Cambria Math" w:hAnsi="Cambria Math"/>
              </w:rPr>
              <m:t xml:space="preserve">max</m:t>
            </m:r>
          </m:sub>
        </m:sSub>
        <m:sSub>
          <m:e>
            <m:r>
              <w:rPr>
                <w:rFonts w:ascii="Cambria Math" w:hAnsi="Cambria Math"/>
              </w:rPr>
              <m:t xml:space="preserve">M</m:t>
            </m:r>
          </m:e>
          <m:sub>
            <m:r>
              <m:rPr>
                <m:lit/>
                <m:nor/>
              </m:rPr>
              <w:rPr>
                <w:rFonts w:ascii="Cambria Math" w:hAnsi="Cambria Math"/>
              </w:rPr>
              <m:t xml:space="preserve">photo</m:t>
            </m:r>
          </m:sub>
        </m:sSub>
        <m:r>
          <w:rPr>
            <w:rFonts w:ascii="Cambria Math" w:hAnsi="Cambria Math"/>
          </w:rPr>
          <m:t xml:space="preserve">,</m:t>
        </m:r>
        <m:sSub>
          <m:e>
            <m:r>
              <w:rPr>
                <w:rFonts w:ascii="Cambria Math" w:hAnsi="Cambria Math"/>
              </w:rPr>
              <m:t xml:space="preserve">α</m:t>
            </m:r>
          </m:e>
          <m:sub>
            <m:r>
              <m:rPr>
                <m:lit/>
                <m:nor/>
              </m:rPr>
              <w:rPr>
                <w:rFonts w:ascii="Cambria Math" w:hAnsi="Cambria Math"/>
              </w:rPr>
              <m:t xml:space="preserve">heat</m:t>
            </m:r>
          </m:sub>
        </m:sSub>
        <m:r>
          <w:rPr>
            <w:rFonts w:ascii="Cambria Math" w:hAnsi="Cambria Math"/>
          </w:rPr>
          <m:t xml:space="preserve">=</m:t>
        </m:r>
        <m:r>
          <w:rPr>
            <w:rFonts w:ascii="Cambria Math" w:hAnsi="Cambria Math"/>
          </w:rPr>
          <m:t xml:space="preserve">0.5</m:t>
        </m:r>
      </m:oMath>
      <w:r>
        <w:rPr/>
        <w:t xml:space="preserve"> </w:t>
      </w:r>
    </w:p>
    <w:p>
      <w:pPr>
        <w:pStyle w:val="TextBody"/>
        <w:bidi w:val="0"/>
        <w:jc w:val="left"/>
        <w:rPr/>
      </w:pPr>
      <w:r>
        <w:rPr>
          <w:rStyle w:val="StrongEmphasis"/>
        </w:rPr>
        <w:t xml:space="preserve">Crew consumption and production: </w:t>
      </w:r>
      <w:r>
        <w:rPr/>
      </w:r>
      <m:oMath xmlns:m="http://schemas.openxmlformats.org/officeDocument/2006/math">
        <m:sSub>
          <m:e>
            <m:r>
              <w:rPr>
                <w:rFonts w:ascii="Cambria Math" w:hAnsi="Cambria Math"/>
              </w:rPr>
              <m:t xml:space="preserve">O</m:t>
            </m:r>
          </m:e>
          <m:sub>
            <m:r>
              <w:rPr>
                <w:rFonts w:ascii="Cambria Math" w:hAnsi="Cambria Math"/>
              </w:rPr>
              <m:t xml:space="preserve">2</m:t>
            </m:r>
            <m:r>
              <w:rPr>
                <w:rFonts w:ascii="Cambria Math" w:hAnsi="Cambria Math"/>
              </w:rPr>
              <m:t xml:space="preserve">,</m:t>
            </m:r>
            <m:r>
              <m:rPr>
                <m:lit/>
                <m:nor/>
              </m:rPr>
              <w:rPr>
                <w:rFonts w:ascii="Cambria Math" w:hAnsi="Cambria Math"/>
              </w:rPr>
              <m:t xml:space="preserve">cons</m:t>
            </m:r>
          </m:sub>
        </m:sSub>
        <m:r>
          <w:rPr>
            <w:rFonts w:ascii="Cambria Math" w:hAnsi="Cambria Math"/>
          </w:rPr>
          <m:t xml:space="preserve">=</m:t>
        </m:r>
        <m:f>
          <m:num>
            <m:r>
              <w:rPr>
                <w:rFonts w:ascii="Cambria Math" w:hAnsi="Cambria Math"/>
              </w:rPr>
              <m:t xml:space="preserve">0.84</m:t>
            </m:r>
          </m:num>
          <m:den>
            <m:r>
              <w:rPr>
                <w:rFonts w:ascii="Cambria Math" w:hAnsi="Cambria Math"/>
              </w:rPr>
              <m:t xml:space="preserve">86400</m:t>
            </m:r>
          </m:den>
        </m:f>
        <m:r>
          <w:rPr>
            <w:rFonts w:ascii="Cambria Math" w:hAnsi="Cambria Math"/>
          </w:rPr>
          <m:t xml:space="preserve">×</m:t>
        </m:r>
        <m:r>
          <w:rPr>
            <w:rFonts w:ascii="Cambria Math" w:hAnsi="Cambria Math"/>
          </w:rPr>
          <m:t xml:space="preserve">0.001</m:t>
        </m:r>
        <m:r>
          <w:rPr>
            <w:rFonts w:ascii="Cambria Math" w:hAnsi="Cambria Math"/>
          </w:rPr>
          <m:t xml:space="preserve">,</m:t>
        </m:r>
        <m:sSub>
          <m:e>
            <m:r>
              <w:rPr>
                <w:rFonts w:ascii="Cambria Math" w:hAnsi="Cambria Math"/>
              </w:rPr>
              <m:t xml:space="preserve">CO</m:t>
            </m:r>
          </m:e>
          <m:sub>
            <m:r>
              <w:rPr>
                <w:rFonts w:ascii="Cambria Math" w:hAnsi="Cambria Math"/>
              </w:rPr>
              <m:t xml:space="preserve">2</m:t>
            </m:r>
            <m:r>
              <w:rPr>
                <w:rFonts w:ascii="Cambria Math" w:hAnsi="Cambria Math"/>
              </w:rPr>
              <m:t xml:space="preserve">,</m:t>
            </m:r>
            <m:r>
              <m:rPr>
                <m:lit/>
                <m:nor/>
              </m:rPr>
              <w:rPr>
                <w:rFonts w:ascii="Cambria Math" w:hAnsi="Cambria Math"/>
              </w:rPr>
              <m:t xml:space="preserve">prod</m:t>
            </m:r>
          </m:sub>
        </m:sSub>
        <m:r>
          <w:rPr>
            <w:rFonts w:ascii="Cambria Math" w:hAnsi="Cambria Math"/>
          </w:rPr>
          <m:t xml:space="preserve">=</m:t>
        </m:r>
        <m:f>
          <m:num>
            <m:r>
              <w:rPr>
                <w:rFonts w:ascii="Cambria Math" w:hAnsi="Cambria Math"/>
              </w:rPr>
              <m:t xml:space="preserve">1.0</m:t>
            </m:r>
          </m:num>
          <m:den>
            <m:r>
              <w:rPr>
                <w:rFonts w:ascii="Cambria Math" w:hAnsi="Cambria Math"/>
              </w:rPr>
              <m:t xml:space="preserve">86400</m:t>
            </m:r>
          </m:den>
        </m:f>
        <m:r>
          <w:rPr>
            <w:rFonts w:ascii="Cambria Math" w:hAnsi="Cambria Math"/>
          </w:rPr>
          <m:t xml:space="preserve">×</m:t>
        </m:r>
        <m:r>
          <w:rPr>
            <w:rFonts w:ascii="Cambria Math" w:hAnsi="Cambria Math"/>
          </w:rPr>
          <m:t xml:space="preserve">0.001</m:t>
        </m:r>
      </m:oMath>
      <w:r>
        <w:rPr/>
        <w:t xml:space="preserve"> </w:t>
      </w:r>
    </w:p>
    <w:p>
      <w:pPr>
        <w:pStyle w:val="TextBody"/>
        <w:bidi w:val="0"/>
        <w:spacing w:lineRule="auto" w:line="276" w:before="0" w:after="140"/>
        <w:jc w:val="left"/>
        <w:rPr/>
      </w:pPr>
      <w:r>
        <w:rPr>
          <w:rStyle w:val="StrongEmphasis"/>
        </w:rPr>
        <w:t>Mycorrhizal network parameters:</w:t>
      </w:r>
      <w:r>
        <w:rPr/>
        <w:br/>
        <w:t>k</w:t>
      </w:r>
      <w:r>
        <w:rPr>
          <w:vertAlign w:val="subscript"/>
        </w:rPr>
        <w:t>prod</w:t>
      </w:r>
      <w:r>
        <w:rPr/>
        <w:t>=0.01, P</w:t>
      </w:r>
      <w:r>
        <w:rPr>
          <w:vertAlign w:val="subscript"/>
        </w:rPr>
        <w:t>seuil</w:t>
      </w:r>
      <w:r>
        <w:rPr/>
        <w:t>=10</w:t>
      </w:r>
      <w:r>
        <w:rPr>
          <w:vertAlign w:val="superscript"/>
        </w:rPr>
        <w:t>−6</w:t>
      </w:r>
      <w:r>
        <w:rPr/>
        <w:t>, k</w:t>
      </w:r>
      <w:r>
        <w:rPr>
          <w:vertAlign w:val="subscript"/>
        </w:rPr>
        <w:t>basal</w:t>
      </w:r>
      <w:r>
        <w:rPr/>
        <w:t>=10</w:t>
      </w:r>
      <w:r>
        <w:rPr>
          <w:vertAlign w:val="superscript"/>
        </w:rPr>
        <w:t>−5</w:t>
      </w:r>
      <w:r>
        <w:rPr/>
        <w:t>, λ</w:t>
      </w:r>
      <w:r>
        <w:rPr>
          <w:vertAlign w:val="subscript"/>
        </w:rPr>
        <w:t>S</w:t>
      </w:r>
      <w:r>
        <w:rPr/>
        <w:t>=0.1, γ</w:t>
      </w:r>
      <w:r>
        <w:rPr>
          <w:vertAlign w:val="subscript"/>
        </w:rPr>
        <w:t>M</w:t>
      </w:r>
      <w:r>
        <w:rPr/>
        <w:t>=0.05, δ</w:t>
      </w:r>
      <w:r>
        <w:rPr>
          <w:vertAlign w:val="subscript"/>
        </w:rPr>
        <w:t>M</w:t>
      </w:r>
      <w:r>
        <w:rPr/>
        <w:t>=0.01, M</w:t>
      </w:r>
      <w:r>
        <w:rPr>
          <w:vertAlign w:val="subscript"/>
        </w:rPr>
        <w:t>max</w:t>
      </w:r>
      <w:r>
        <w:rPr/>
        <w:t xml:space="preserve">=1, </w:t>
      </w:r>
      <w:r>
        <w:rPr>
          <w:i/>
          <w:iCs/>
        </w:rPr>
        <w:t>n</w:t>
      </w:r>
      <w:r>
        <w:rPr/>
        <w:t>=2, K</w:t>
      </w:r>
      <w:r>
        <w:rPr>
          <w:vertAlign w:val="subscript"/>
        </w:rPr>
        <w:t>m</w:t>
      </w:r>
      <w:r>
        <w:rPr/>
        <w:t>=0.01, χ=10</w:t>
      </w:r>
      <w:r>
        <w:rPr>
          <w:vertAlign w:val="superscript"/>
        </w:rPr>
        <w:t>−3</w:t>
      </w:r>
      <w:r>
        <w:rPr>
          <w:position w:val="0"/>
          <w:sz w:val="24"/>
          <w:sz w:val="24"/>
          <w:vertAlign w:val="baseline"/>
        </w:rPr>
        <w:t xml:space="preserve"> </w:t>
      </w:r>
    </w:p>
    <w:p>
      <w:pPr>
        <w:pStyle w:val="TextBody"/>
        <w:bidi w:val="0"/>
        <w:spacing w:lineRule="auto" w:line="276" w:before="0" w:after="140"/>
        <w:jc w:val="left"/>
        <w:rPr/>
      </w:pPr>
      <w:r>
        <w:rPr>
          <w:rStyle w:val="StrongEmphasis"/>
        </w:rPr>
        <w:t xml:space="preserve">Diffusion coefficients: </w:t>
      </w:r>
      <w:r>
        <w:rPr/>
        <w:br/>
        <w:t>K=10</w:t>
      </w:r>
      <w:r>
        <w:rPr>
          <w:vertAlign w:val="superscript"/>
        </w:rPr>
        <w:t>−6</w:t>
      </w:r>
      <w:r>
        <w:rPr/>
        <w:t>, D</w:t>
      </w:r>
      <w:r>
        <w:rPr>
          <w:vertAlign w:val="subscript"/>
        </w:rPr>
        <w:t>v</w:t>
      </w:r>
      <w:r>
        <w:rPr/>
        <w:t>=10</w:t>
      </w:r>
      <w:r>
        <w:rPr>
          <w:vertAlign w:val="superscript"/>
        </w:rPr>
        <w:t>−5</w:t>
      </w:r>
      <w:r>
        <w:rPr/>
        <w:t>, k</w:t>
      </w:r>
      <w:r>
        <w:rPr>
          <w:vertAlign w:val="subscript"/>
        </w:rPr>
        <w:t>T</w:t>
      </w:r>
      <w:r>
        <w:rPr/>
        <w:t>=0.5, D</w:t>
      </w:r>
      <w:r>
        <w:rPr>
          <w:vertAlign w:val="subscript"/>
        </w:rPr>
        <w:t>gas</w:t>
      </w:r>
      <w:r>
        <w:rPr/>
        <w:t>=2×10</w:t>
      </w:r>
      <w:r>
        <w:rPr>
          <w:vertAlign w:val="superscript"/>
        </w:rPr>
        <w:t>−5</w:t>
      </w:r>
      <w:r>
        <w:rPr/>
        <w:t>, D</w:t>
      </w:r>
      <w:r>
        <w:rPr>
          <w:vertAlign w:val="subscript"/>
        </w:rPr>
        <w:t>myco</w:t>
      </w:r>
      <w:r>
        <w:rPr/>
        <w:t>=10</w:t>
      </w:r>
      <w:r>
        <w:rPr>
          <w:vertAlign w:val="superscript"/>
        </w:rPr>
        <w:t>−4</w:t>
      </w:r>
      <w:r>
        <w:rPr/>
        <w:t>, D</w:t>
      </w:r>
      <w:r>
        <w:rPr>
          <w:vertAlign w:val="subscript"/>
        </w:rPr>
        <w:t>M</w:t>
      </w:r>
      <w:r>
        <w:rPr/>
        <w:t>=10</w:t>
      </w:r>
      <w:r>
        <w:rPr>
          <w:vertAlign w:val="superscript"/>
        </w:rPr>
        <w:t>−6</w:t>
      </w:r>
      <w:r>
        <w:rPr>
          <w:position w:val="0"/>
          <w:sz w:val="24"/>
          <w:sz w:val="24"/>
          <w:vertAlign w:val="baseline"/>
        </w:rPr>
        <w:t xml:space="preserve"> </w:t>
      </w:r>
    </w:p>
    <w:p>
      <w:pPr>
        <w:pStyle w:val="TextBody"/>
        <w:bidi w:val="0"/>
        <w:spacing w:lineRule="auto" w:line="276" w:before="0" w:after="140"/>
        <w:jc w:val="left"/>
        <w:rPr/>
      </w:pPr>
      <w:r>
        <w:rPr>
          <w:rStyle w:val="StrongEmphasis"/>
        </w:rPr>
        <w:t xml:space="preserve">Latent heat (effective, dimensionless): </w:t>
      </w:r>
      <w:r>
        <w:rPr/>
        <w:br/>
        <w:t>L</w:t>
      </w:r>
      <w:r>
        <w:rPr>
          <w:vertAlign w:val="subscript"/>
        </w:rPr>
        <w:t>v</w:t>
      </w:r>
      <w:r>
        <w:rPr/>
        <w:t>=0.5</w:t>
      </w:r>
    </w:p>
    <w:p>
      <w:pPr>
        <w:pStyle w:val="TextBody"/>
        <w:bidi w:val="0"/>
        <w:spacing w:lineRule="auto" w:line="276" w:before="0" w:after="140"/>
        <w:jc w:val="left"/>
        <w:rPr/>
      </w:pPr>
      <w:r>
        <w:rPr/>
        <w:t>All parameters have been scaled to a dimensionless form following a conservative adimensionalisation that preserves the ratios of the original physical terms (see Supplementary Information S2).</w:t>
      </w:r>
    </w:p>
    <w:p>
      <w:pPr>
        <w:pStyle w:val="Heading3"/>
        <w:numPr>
          <w:ilvl w:val="0"/>
          <w:numId w:val="0"/>
        </w:numPr>
        <w:bidi w:val="0"/>
        <w:spacing w:before="140" w:after="120"/>
        <w:ind w:left="0" w:hanging="0"/>
        <w:jc w:val="left"/>
        <w:rPr/>
      </w:pPr>
      <w:r>
        <w:rPr/>
        <w:t>S1.2 Boolean masks and volume fractions</w:t>
      </w:r>
    </w:p>
    <w:p>
      <w:pPr>
        <w:pStyle w:val="TextBody"/>
        <w:bidi w:val="0"/>
        <w:spacing w:lineRule="auto" w:line="276" w:before="0" w:after="140"/>
        <w:jc w:val="left"/>
        <w:rPr/>
      </w:pPr>
      <w:r>
        <w:rPr/>
        <w:t>Five spatially varying Boolean masks M</w:t>
      </w:r>
      <w:r>
        <w:rPr>
          <w:vertAlign w:val="subscript"/>
        </w:rPr>
        <w:t>k</w:t>
      </w:r>
      <w:r>
        <w:rPr/>
        <w:t>(x)∈{0,1} confine each biological or physical process to its appropriate sub-volume. The reactor is divided into a continental biome (left, x&lt;x</w:t>
      </w:r>
      <w:r>
        <w:rPr>
          <w:vertAlign w:val="subscript"/>
        </w:rPr>
        <w:t>mid</w:t>
      </w:r>
      <w:r>
        <w:rPr/>
        <w:t>, soil surface z</w:t>
      </w:r>
      <w:r>
        <w:rPr>
          <w:vertAlign w:val="subscript"/>
        </w:rPr>
        <w:t>sol</w:t>
      </w:r>
      <w:r>
        <w:rPr/>
        <w:t>=0.4, maximum foliage height z</w:t>
      </w:r>
      <w:r>
        <w:rPr>
          <w:vertAlign w:val="subscript"/>
        </w:rPr>
        <w:t>plant,max</w:t>
      </w:r>
      <w:r>
        <w:rPr/>
        <w:t>=0.8) and a marsh biome (right, x≥x</w:t>
      </w:r>
      <w:r>
        <w:rPr>
          <w:vertAlign w:val="subscript"/>
        </w:rPr>
        <w:t>mid</w:t>
      </w:r>
      <w:r>
        <w:rPr/>
        <w:t>, z</w:t>
      </w:r>
      <w:r>
        <w:rPr>
          <w:vertAlign w:val="subscript"/>
        </w:rPr>
        <w:t>sol</w:t>
      </w:r>
      <w:r>
        <w:rPr/>
        <w:t>=0.2, z</w:t>
      </w:r>
      <w:r>
        <w:rPr>
          <w:vertAlign w:val="subscript"/>
        </w:rPr>
        <w:t>plant,max</w:t>
      </w:r>
      <w:r>
        <w:rPr/>
        <w:t>=0.6). The mid-height of the foliage is z</w:t>
      </w:r>
      <w:r>
        <w:rPr>
          <w:vertAlign w:val="subscript"/>
        </w:rPr>
        <w:t>resp</w:t>
      </w:r>
      <w:r>
        <w:rPr/>
        <w:t>=(z</w:t>
      </w:r>
      <w:r>
        <w:rPr>
          <w:vertAlign w:val="subscript"/>
        </w:rPr>
        <w:t>sol</w:t>
      </w:r>
      <w:r>
        <w:rPr/>
        <w:t>+z</w:t>
      </w:r>
      <w:r>
        <w:rPr>
          <w:vertAlign w:val="subscript"/>
        </w:rPr>
        <w:t>plant,max</w:t>
      </w:r>
      <w:r>
        <w:rPr/>
        <w:t>)/2.</w:t>
      </w:r>
    </w:p>
    <w:p>
      <w:pPr>
        <w:pStyle w:val="TextBody"/>
        <w:bidi w:val="0"/>
        <w:spacing w:lineRule="auto" w:line="276" w:before="0" w:after="140"/>
        <w:jc w:val="left"/>
        <w:rPr/>
      </w:pPr>
      <w:r>
        <w:rPr/>
        <w:t>The masks are defined as follows:</w:t>
      </w:r>
    </w:p>
    <w:p>
      <w:pPr>
        <w:pStyle w:val="TextBody"/>
        <w:numPr>
          <w:ilvl w:val="0"/>
          <w:numId w:val="1"/>
        </w:numPr>
        <w:tabs>
          <w:tab w:val="clear" w:pos="709"/>
          <w:tab w:val="left" w:pos="707" w:leader="none"/>
        </w:tabs>
        <w:bidi w:val="0"/>
        <w:ind w:left="707" w:hanging="283"/>
        <w:jc w:val="left"/>
        <w:rPr/>
      </w:pPr>
      <w:r>
        <w:rPr/>
        <w:t>M</w:t>
      </w:r>
      <w:r>
        <w:rPr>
          <w:vertAlign w:val="subscript"/>
        </w:rPr>
        <w:t>photo</w:t>
      </w:r>
      <w:r>
        <w:rPr/>
        <w:t>=1 for z</w:t>
      </w:r>
      <w:r>
        <w:rPr>
          <w:vertAlign w:val="subscript"/>
        </w:rPr>
        <w:t>sol</w:t>
      </w:r>
      <w:r>
        <w:rPr/>
        <w:t>≤z≤z</w:t>
      </w:r>
      <w:r>
        <w:rPr>
          <w:vertAlign w:val="subscript"/>
        </w:rPr>
        <w:t>resp</w:t>
      </w:r>
    </w:p>
    <w:p>
      <w:pPr>
        <w:pStyle w:val="TextBody"/>
        <w:numPr>
          <w:ilvl w:val="0"/>
          <w:numId w:val="1"/>
        </w:numPr>
        <w:tabs>
          <w:tab w:val="clear" w:pos="709"/>
          <w:tab w:val="left" w:pos="707" w:leader="none"/>
        </w:tabs>
        <w:bidi w:val="0"/>
        <w:ind w:left="707" w:hanging="283"/>
        <w:jc w:val="left"/>
        <w:rPr/>
      </w:pPr>
      <w:r>
        <w:rPr/>
        <w:t>M</w:t>
      </w:r>
      <w:r>
        <w:rPr>
          <w:vertAlign w:val="subscript"/>
        </w:rPr>
        <w:t>resp</w:t>
      </w:r>
      <w:r>
        <w:rPr/>
        <w:t>=1 for 0≤z≤z</w:t>
      </w:r>
      <w:r>
        <w:rPr>
          <w:vertAlign w:val="subscript"/>
        </w:rPr>
        <w:t>resp</w:t>
      </w:r>
    </w:p>
    <w:p>
      <w:pPr>
        <w:pStyle w:val="TextBody"/>
        <w:numPr>
          <w:ilvl w:val="0"/>
          <w:numId w:val="1"/>
        </w:numPr>
        <w:tabs>
          <w:tab w:val="clear" w:pos="709"/>
          <w:tab w:val="left" w:pos="707" w:leader="none"/>
        </w:tabs>
        <w:bidi w:val="0"/>
        <w:ind w:left="707" w:hanging="283"/>
        <w:jc w:val="left"/>
        <w:rPr/>
      </w:pPr>
      <w:r>
        <w:rPr/>
        <w:t>M</w:t>
      </w:r>
      <w:r>
        <w:rPr>
          <w:vertAlign w:val="subscript"/>
        </w:rPr>
        <w:t>transp</w:t>
      </w:r>
      <w:r>
        <w:rPr/>
        <w:t>=1 for z</w:t>
      </w:r>
      <w:r>
        <w:rPr>
          <w:vertAlign w:val="subscript"/>
        </w:rPr>
        <w:t>sol</w:t>
      </w:r>
      <w:r>
        <w:rPr/>
        <w:t>≤z≤z</w:t>
      </w:r>
      <w:r>
        <w:rPr>
          <w:vertAlign w:val="subscript"/>
        </w:rPr>
        <w:t>resp</w:t>
      </w:r>
    </w:p>
    <w:p>
      <w:pPr>
        <w:pStyle w:val="TextBody"/>
        <w:numPr>
          <w:ilvl w:val="0"/>
          <w:numId w:val="1"/>
        </w:numPr>
        <w:tabs>
          <w:tab w:val="clear" w:pos="709"/>
          <w:tab w:val="left" w:pos="707" w:leader="none"/>
        </w:tabs>
        <w:bidi w:val="0"/>
        <w:ind w:left="707" w:hanging="283"/>
        <w:jc w:val="left"/>
        <w:rPr/>
      </w:pPr>
      <w:r>
        <w:rPr/>
        <w:t>M</w:t>
      </w:r>
      <w:r>
        <w:rPr>
          <w:vertAlign w:val="subscript"/>
        </w:rPr>
        <w:t>uptake</w:t>
      </w:r>
      <w:r>
        <w:rPr/>
        <w:t>=1 for 0≤z≤z</w:t>
      </w:r>
      <w:r>
        <w:rPr>
          <w:vertAlign w:val="subscript"/>
        </w:rPr>
        <w:t>sol</w:t>
      </w:r>
      <w:r>
        <w:rPr>
          <w:position w:val="0"/>
          <w:sz w:val="24"/>
          <w:sz w:val="24"/>
          <w:vertAlign w:val="baseline"/>
        </w:rPr>
        <w:t xml:space="preserve"> (</w:t>
      </w:r>
      <w:r>
        <w:rPr/>
        <w:t>M</w:t>
      </w:r>
      <w:r>
        <w:rPr>
          <w:vertAlign w:val="subscript"/>
        </w:rPr>
        <w:t>soil</w:t>
      </w:r>
      <w:r>
        <w:rPr/>
        <w:t>=M</w:t>
      </w:r>
      <w:r>
        <w:rPr>
          <w:vertAlign w:val="subscript"/>
        </w:rPr>
        <w:t>uptake</w:t>
      </w:r>
      <w:r>
        <w:rPr/>
        <w:t>, i.e., the root-zone mask)</w:t>
      </w:r>
    </w:p>
    <w:p>
      <w:pPr>
        <w:pStyle w:val="TextBody"/>
        <w:numPr>
          <w:ilvl w:val="0"/>
          <w:numId w:val="1"/>
        </w:numPr>
        <w:tabs>
          <w:tab w:val="clear" w:pos="709"/>
          <w:tab w:val="left" w:pos="707" w:leader="none"/>
        </w:tabs>
        <w:bidi w:val="0"/>
        <w:ind w:left="707" w:hanging="283"/>
        <w:jc w:val="left"/>
        <w:rPr/>
      </w:pPr>
      <w:r>
        <w:rPr/>
        <w:t>M</w:t>
      </w:r>
      <w:r>
        <w:rPr>
          <w:vertAlign w:val="subscript"/>
        </w:rPr>
        <w:t>ceil</w:t>
      </w:r>
      <w:r>
        <w:rPr/>
        <w:t>=1 for z&gt;0.9 (Peltier module)</w:t>
      </w:r>
    </w:p>
    <w:p>
      <w:pPr>
        <w:pStyle w:val="TextBody"/>
        <w:bidi w:val="0"/>
        <w:spacing w:lineRule="auto" w:line="276" w:before="0" w:after="140"/>
        <w:jc w:val="left"/>
        <w:rPr/>
      </w:pPr>
      <w:r>
        <w:rPr/>
        <w:t>The effective volume fractions f</w:t>
      </w:r>
      <w:r>
        <w:rPr>
          <w:vertAlign w:val="subscript"/>
        </w:rPr>
        <w:t>k</w:t>
      </w:r>
      <w:r>
        <w:rPr/>
        <w:t>=⟨M</w:t>
      </w:r>
      <w:r>
        <w:rPr>
          <w:vertAlign w:val="subscript"/>
        </w:rPr>
        <w:t>k</w:t>
      </w:r>
      <w:r>
        <w:rPr/>
        <w:t>⟩, computed analytically, are: f</w:t>
      </w:r>
      <w:r>
        <w:rPr>
          <w:vertAlign w:val="subscript"/>
        </w:rPr>
        <w:t>photo</w:t>
      </w:r>
      <w:r>
        <w:rPr/>
        <w:t>=0.20, f</w:t>
      </w:r>
      <w:r>
        <w:rPr>
          <w:vertAlign w:val="subscript"/>
        </w:rPr>
        <w:t>resp</w:t>
      </w:r>
      <w:r>
        <w:rPr/>
        <w:t>=0.40, f</w:t>
      </w:r>
      <w:r>
        <w:rPr>
          <w:vertAlign w:val="subscript"/>
        </w:rPr>
        <w:t>transp</w:t>
      </w:r>
      <w:r>
        <w:rPr/>
        <w:t>=0.20, f</w:t>
      </w:r>
      <w:r>
        <w:rPr>
          <w:vertAlign w:val="subscript"/>
        </w:rPr>
        <w:t>uptake</w:t>
      </w:r>
      <w:r>
        <w:rPr/>
        <w:t>=0.30, f</w:t>
      </w:r>
      <w:r>
        <w:rPr>
          <w:vertAlign w:val="subscript"/>
        </w:rPr>
        <w:t>ceil</w:t>
      </w:r>
      <w:r>
        <w:rPr/>
        <w:t>=0.10 (Table 1 of the main text). Figure S1 shows the vertical profiles of the masks for each biome.</w:t>
      </w:r>
    </w:p>
    <w:p>
      <w:pPr>
        <w:pStyle w:val="Heading3"/>
        <w:numPr>
          <w:ilvl w:val="0"/>
          <w:numId w:val="0"/>
        </w:numPr>
        <w:bidi w:val="0"/>
        <w:spacing w:before="140" w:after="120"/>
        <w:ind w:left="0" w:hanging="0"/>
        <w:jc w:val="left"/>
        <w:rPr/>
      </w:pPr>
      <w:r>
        <w:rPr/>
        <w:t>S1.3 Numerical methods</w:t>
      </w:r>
    </w:p>
    <w:p>
      <w:pPr>
        <w:pStyle w:val="TextBody"/>
        <w:bidi w:val="0"/>
        <w:jc w:val="left"/>
        <w:rPr/>
      </w:pPr>
      <w:r>
        <w:rPr>
          <w:rStyle w:val="StrongEmphasis"/>
        </w:rPr>
        <w:t>Homogeneous steady state and stability analysis.</w:t>
      </w:r>
      <w:r>
        <w:rPr/>
        <w:t xml:space="preserve"> When spatial gradients are neglected, ∇θ=0, ∇C</w:t>
      </w:r>
      <w:r>
        <w:rPr>
          <w:vertAlign w:val="subscript"/>
        </w:rPr>
        <w:t>v</w:t>
      </w:r>
      <w:r>
        <w:rPr/>
        <w:t xml:space="preserve">=0, …, and the divergence terms vanish. The homogeneous reduction (∇≡0) yields an eight-dimensional algebraic system F(x)=0 that is solved using the Newton-Krylov solver </w:t>
      </w:r>
      <w:r>
        <w:rPr>
          <w:rStyle w:val="SourceText"/>
        </w:rPr>
        <w:t>fsolve</w:t>
      </w:r>
      <w:r>
        <w:rPr/>
        <w:t xml:space="preserve"> (SciPy 1.11). Quadratic penalty functions confine each variable to its physically admissible range. Multiple initial guesses are supplied to probe coexisting states: a mycorrhiza-free guess [0.3,0.02,298,0.21,0.001,0.1,0.0,0.0], and guesses with an active impulse (S</w:t>
      </w:r>
      <w:r>
        <w:rPr>
          <w:vertAlign w:val="subscript"/>
        </w:rPr>
        <w:t>0</w:t>
      </w:r>
      <w:r>
        <w:rPr/>
        <w:t>=0.01, M</w:t>
      </w:r>
      <w:r>
        <w:rPr>
          <w:vertAlign w:val="subscript"/>
        </w:rPr>
        <w:t>0</w:t>
      </w:r>
      <w:r>
        <w:rPr/>
        <w:t>=0.1). The 8×8 Jacobian matrix is computed by first-order forward finite differences with step size ϵ=10</w:t>
      </w:r>
      <w:r>
        <w:rPr>
          <w:vertAlign w:val="superscript"/>
        </w:rPr>
        <w:t>−8</w:t>
      </w:r>
      <w:r>
        <w:rPr/>
        <w:t xml:space="preserve">. Eigenvalues are obtained with </w:t>
      </w:r>
      <w:r>
        <w:rPr>
          <w:rStyle w:val="SourceText"/>
        </w:rPr>
        <w:t>numpy.linalg.eig</w:t>
      </w:r>
      <w:r>
        <w:rPr/>
        <w:t>. A steady state is classified as stable if max(ℜ(λ))&lt;−10</w:t>
      </w:r>
      <w:r>
        <w:rPr>
          <w:vertAlign w:val="superscript"/>
        </w:rPr>
        <w:t>−10</w:t>
      </w:r>
      <w:r>
        <w:rPr/>
        <w:t>, unstable if &gt;+10</w:t>
      </w:r>
      <w:r>
        <w:rPr>
          <w:vertAlign w:val="superscript"/>
        </w:rPr>
        <w:t>−10</w:t>
      </w:r>
      <w:r>
        <w:rPr/>
        <w:t>, and marginal otherwise.</w:t>
      </w:r>
    </w:p>
    <w:p>
      <w:pPr>
        <w:pStyle w:val="TextBody"/>
        <w:bidi w:val="0"/>
        <w:spacing w:lineRule="auto" w:line="276" w:before="0" w:after="140"/>
        <w:jc w:val="left"/>
        <w:rPr/>
      </w:pPr>
      <w:r>
        <w:rPr>
          <w:rStyle w:val="StrongEmphasis"/>
        </w:rPr>
        <w:t>Bifurcation sweep.</w:t>
      </w:r>
      <w:r>
        <w:rPr/>
        <w:t xml:space="preserve"> The cooperation coefficient γ is varied in [−0.05,0.30] in 35 equally spaced steps. For each γ, a forced initial impulse (S</w:t>
      </w:r>
      <w:r>
        <w:rPr>
          <w:vertAlign w:val="subscript"/>
        </w:rPr>
        <w:t>0</w:t>
      </w:r>
      <w:r>
        <w:rPr/>
        <w:t>=0.01, M</w:t>
      </w:r>
      <w:r>
        <w:rPr>
          <w:vertAlign w:val="subscript"/>
        </w:rPr>
        <w:t>0</w:t>
      </w:r>
      <w:r>
        <w:rPr/>
        <w:t>=0.1) is imposed to probe the “On” branch. The steady state, Jacobian, and max(ℜ(λ)) are recorded.</w:t>
      </w:r>
    </w:p>
    <w:p>
      <w:pPr>
        <w:pStyle w:val="TextBody"/>
        <w:bidi w:val="0"/>
        <w:spacing w:lineRule="auto" w:line="276" w:before="0" w:after="140"/>
        <w:jc w:val="left"/>
        <w:rPr/>
      </w:pPr>
      <w:r>
        <w:rPr>
          <w:rStyle w:val="StrongEmphasis"/>
        </w:rPr>
        <w:t>3D deterministic and stochastic simulations.</w:t>
      </w:r>
      <w:r>
        <w:rPr/>
        <w:t xml:space="preserve"> The full PDEs are discretised on a 17×17×17 grid with spacing Δx=Δy=Δz=0.05 m using the finite-volume library FiPy 3.4 and a time step Δt=0.1 s. Deterministic simulations are run for 5000 time steps (500 s of model time) without the mycorrhizal compartment, and for 20 000 time steps (2000 s) with the Wood Wide Web active. Stochastic simulations add Gaussian white noise to the Peltier power and the day/night cycle. Phase portraits (W</w:t>
      </w:r>
      <w:r>
        <w:rPr>
          <w:vertAlign w:val="subscript"/>
        </w:rPr>
        <w:t>L</w:t>
      </w:r>
      <w:r>
        <w:rPr/>
        <w:t>,W</w:t>
      </w:r>
      <w:r>
        <w:rPr>
          <w:vertAlign w:val="subscript"/>
        </w:rPr>
        <w:t>R</w:t>
      </w:r>
      <w:r>
        <w:rPr/>
        <w:t xml:space="preserve">) (mean soil moisture of the left and right halves of the torus) are recorded, together with entropy production </w:t>
      </w:r>
      <w:r>
        <w:rPr>
          <w:i/>
          <w:iCs/>
        </w:rPr>
        <w:t>σ=∣∇T∣</w:t>
      </w:r>
      <w:r>
        <w:rPr>
          <w:i/>
          <w:iCs/>
          <w:vertAlign w:val="superscript"/>
        </w:rPr>
        <w:t>2</w:t>
      </w:r>
      <w:r>
        <w:rPr>
          <w:i/>
          <w:iCs/>
        </w:rPr>
        <w:t>/T</w:t>
      </w:r>
      <w:r>
        <w:rPr>
          <w:i/>
          <w:iCs/>
          <w:vertAlign w:val="superscript"/>
        </w:rPr>
        <w:t>2</w:t>
      </w:r>
      <w:r>
        <w:rPr/>
        <w:t xml:space="preserve"> and condensation efficiency η=L</w:t>
      </w:r>
      <w:r>
        <w:rPr>
          <w:vertAlign w:val="subscript"/>
        </w:rPr>
        <w:t>v</w:t>
      </w:r>
      <w:r>
        <w:rPr/>
        <w:t>C</w:t>
      </w:r>
      <w:r>
        <w:rPr>
          <w:vertAlign w:val="subscript"/>
        </w:rPr>
        <w:t>cond</w:t>
      </w:r>
      <w:r>
        <w:rPr/>
        <w:t>/P</w:t>
      </w:r>
      <w:r>
        <w:rPr>
          <w:vertAlign w:val="subscript"/>
        </w:rPr>
        <w:t>elt</w:t>
      </w:r>
      <w:r>
        <w:rPr/>
        <w:t>.</w:t>
      </w:r>
    </w:p>
    <w:p>
      <w:pPr>
        <w:pStyle w:val="TextBody"/>
        <w:bidi w:val="0"/>
        <w:spacing w:lineRule="auto" w:line="276" w:before="0" w:after="140"/>
        <w:jc w:val="left"/>
        <w:rPr/>
      </w:pPr>
      <w:r>
        <w:rPr>
          <w:rStyle w:val="StrongEmphasis"/>
        </w:rPr>
        <w:t>Stroboscopic Poincaré section and return maps.</w:t>
      </w:r>
      <w:r>
        <w:rPr/>
        <w:t xml:space="preserve"> The external forcing is a sinusoidal modulation of the maximum photosynthetic rate with period τ</w:t>
      </w:r>
      <w:r>
        <w:rPr>
          <w:vertAlign w:val="subscript"/>
        </w:rPr>
        <w:t>force</w:t>
      </w:r>
      <w:r>
        <w:rPr/>
        <w:t xml:space="preserve"> (50 s in the baseline dimensionless simulation, 24 h in the dimensionally-resolved V10). The stroboscopic Poincaré section records the state vector at every integer multiple of the forcing period. Return maps x</w:t>
      </w:r>
      <w:r>
        <w:rPr>
          <w:vertAlign w:val="subscript"/>
        </w:rPr>
        <w:t>n+1</w:t>
      </w:r>
      <w:r>
        <w:rPr/>
        <w:t>=f(x</w:t>
      </w:r>
      <w:r>
        <w:rPr>
          <w:vertAlign w:val="subscript"/>
        </w:rPr>
        <w:t>n</w:t>
      </w:r>
      <w:r>
        <w:rPr/>
        <w:t>) are constructed for the mean CO₂ concentration. A stable fixed point of this map, with slope smaller than one at the intersection with the identity line, corresponds to a stable forced limit cycle of the continuous-time system.</w:t>
      </w:r>
    </w:p>
    <w:p>
      <w:pPr>
        <w:pStyle w:val="TextBody"/>
        <w:bidi w:val="0"/>
        <w:spacing w:lineRule="auto" w:line="276" w:before="0" w:after="140"/>
        <w:jc w:val="left"/>
        <w:rPr/>
      </w:pPr>
      <w:r>
        <w:rPr>
          <w:rStyle w:val="StrongEmphasis"/>
        </w:rPr>
        <w:t>Re-dimensionnalisation and parameter sweeps (V10).</w:t>
      </w:r>
      <w:r>
        <w:rPr/>
        <w:t xml:space="preserve"> To separate biological timescales, the dimensionless parameters are re-scaled using experimentally informed factors (see Supplementary Information S2). Fast processes (photosynthesis, respiration) retain the baseline timescale, while slow processes (mycelial growth, signal kinetics) are slowed by factors up to 168. The forcing period is set to 24 h to match the Earth diurnal cycle. Two types of parameter sweeps are performed:</w:t>
      </w:r>
    </w:p>
    <w:p>
      <w:pPr>
        <w:pStyle w:val="TextBody"/>
        <w:numPr>
          <w:ilvl w:val="0"/>
          <w:numId w:val="2"/>
        </w:numPr>
        <w:tabs>
          <w:tab w:val="clear" w:pos="709"/>
          <w:tab w:val="left" w:pos="707" w:leader="none"/>
        </w:tabs>
        <w:bidi w:val="0"/>
        <w:ind w:left="707" w:hanging="283"/>
        <w:jc w:val="left"/>
        <w:rPr/>
      </w:pPr>
      <w:r>
        <w:rPr>
          <w:rStyle w:val="StrongEmphasis"/>
        </w:rPr>
        <w:t>2D sweep</w:t>
      </w:r>
      <w:r>
        <w:rPr/>
        <w:t>: γ∈{0.010,0.013,0.016,0.020,0.025}, signal speed ∈{4,8,16,32,64,128,168}. Each combination is simulated for 30 days.</w:t>
      </w:r>
    </w:p>
    <w:p>
      <w:pPr>
        <w:pStyle w:val="TextBody"/>
        <w:numPr>
          <w:ilvl w:val="0"/>
          <w:numId w:val="2"/>
        </w:numPr>
        <w:tabs>
          <w:tab w:val="clear" w:pos="709"/>
          <w:tab w:val="left" w:pos="707" w:leader="none"/>
        </w:tabs>
        <w:bidi w:val="0"/>
        <w:ind w:left="707" w:hanging="283"/>
        <w:jc w:val="left"/>
        <w:rPr/>
      </w:pPr>
      <w:r>
        <w:rPr>
          <w:rStyle w:val="StrongEmphasis"/>
        </w:rPr>
        <w:t>1D sweeps</w:t>
      </w:r>
      <w:r>
        <w:rPr/>
        <w:t>: γ∈{0.03,0.04,0.05,0.06,0.08,0.10,0.15,0.20,0.25} at fixed signal speeds of 4, 8, 16, 32, 64, and 168. Each simulation runs for 30 days.</w:t>
      </w:r>
    </w:p>
    <w:p>
      <w:pPr>
        <w:pStyle w:val="TextBody"/>
        <w:bidi w:val="0"/>
        <w:spacing w:lineRule="auto" w:line="276" w:before="0" w:after="140"/>
        <w:jc w:val="left"/>
        <w:rPr/>
      </w:pPr>
      <w:r>
        <w:rPr/>
        <w:t>The critical cooperation coefficient γ</w:t>
      </w:r>
      <w:r>
        <w:rPr>
          <w:vertAlign w:val="subscript"/>
        </w:rPr>
        <w:t>crit</w:t>
      </w:r>
      <w:r>
        <w:rPr/>
        <w:t xml:space="preserve"> is defined as the γ value at which the final CO₂ exceeds the plateau value (at γ=0.03) by 20 %.</w:t>
      </w:r>
    </w:p>
    <w:p>
      <w:pPr>
        <w:pStyle w:val="Normal"/>
        <w:bidi w:val="0"/>
        <w:jc w:val="left"/>
        <w:rPr/>
      </w:pPr>
      <w:r>
        <w:rPr/>
      </w:r>
    </w:p>
    <w:p>
      <w:pPr>
        <w:pStyle w:val="Normal"/>
        <w:bidi w:val="0"/>
        <w:jc w:val="left"/>
        <w:rPr/>
      </w:pPr>
      <w:r>
        <w:rPr/>
      </w:r>
    </w:p>
    <w:p>
      <w:pPr>
        <w:pStyle w:val="Normal"/>
        <w:bidi w:val="0"/>
        <w:jc w:val="left"/>
        <w:rPr/>
      </w:pPr>
      <w:r>
        <w:rPr/>
      </w:r>
      <w:r>
        <w:br w:type="page"/>
      </w:r>
    </w:p>
    <w:p>
      <w:pPr>
        <w:pStyle w:val="Normal"/>
        <w:bidi w:val="0"/>
        <w:jc w:val="left"/>
        <w:rPr/>
      </w:pPr>
      <w:r>
        <w:rPr/>
      </w:r>
    </w:p>
    <w:p>
      <w:pPr>
        <w:pStyle w:val="Normal"/>
        <w:bidi w:val="0"/>
        <w:jc w:val="left"/>
        <w:rPr/>
      </w:pPr>
      <w:r>
        <w:rPr/>
      </w:r>
    </w:p>
    <w:p>
      <w:pPr>
        <w:pStyle w:val="TextBody"/>
        <w:bidi w:val="0"/>
        <w:jc w:val="center"/>
        <w:rPr/>
      </w:pPr>
      <w:r>
        <w:rPr>
          <w:rStyle w:val="StrongEmphasis"/>
        </w:rPr>
        <w:t>Table 1.</w:t>
      </w:r>
      <w:r>
        <w:rPr/>
        <w:t xml:space="preserve"> Effective volume fractions derived from the five Boolean masks.</w:t>
      </w:r>
    </w:p>
    <w:tbl>
      <w:tblPr>
        <w:tblW w:w="4229" w:type="dxa"/>
        <w:jc w:val="center"/>
        <w:tblInd w:w="0" w:type="dxa"/>
        <w:tblLayout w:type="fixed"/>
        <w:tblCellMar>
          <w:top w:w="28" w:type="dxa"/>
          <w:left w:w="28" w:type="dxa"/>
          <w:bottom w:w="28" w:type="dxa"/>
          <w:right w:w="28" w:type="dxa"/>
        </w:tblCellMar>
      </w:tblPr>
      <w:tblGrid>
        <w:gridCol w:w="1555"/>
        <w:gridCol w:w="875"/>
        <w:gridCol w:w="1799"/>
      </w:tblGrid>
      <w:tr>
        <w:trPr>
          <w:tblHeader w:val="true"/>
        </w:trPr>
        <w:tc>
          <w:tcPr>
            <w:tcW w:w="1555" w:type="dxa"/>
            <w:tcBorders>
              <w:top w:val="single" w:sz="6" w:space="0" w:color="000000"/>
              <w:bottom w:val="single" w:sz="6" w:space="0" w:color="000000"/>
            </w:tcBorders>
            <w:vAlign w:val="center"/>
          </w:tcPr>
          <w:p>
            <w:pPr>
              <w:pStyle w:val="TableHeading"/>
              <w:widowControl w:val="false"/>
              <w:bidi w:val="0"/>
              <w:rPr/>
            </w:pPr>
            <w:r>
              <w:rPr/>
              <w:t>Process</w:t>
            </w:r>
          </w:p>
        </w:tc>
        <w:tc>
          <w:tcPr>
            <w:tcW w:w="875" w:type="dxa"/>
            <w:tcBorders>
              <w:top w:val="single" w:sz="6" w:space="0" w:color="000000"/>
              <w:bottom w:val="single" w:sz="6" w:space="0" w:color="000000"/>
            </w:tcBorders>
            <w:vAlign w:val="center"/>
          </w:tcPr>
          <w:p>
            <w:pPr>
              <w:pStyle w:val="TableHeading"/>
              <w:widowControl w:val="false"/>
              <w:bidi w:val="0"/>
              <w:rPr/>
            </w:pPr>
            <w:r>
              <w:rPr/>
              <w:t>Symbol</w:t>
            </w:r>
          </w:p>
        </w:tc>
        <w:tc>
          <w:tcPr>
            <w:tcW w:w="1799" w:type="dxa"/>
            <w:tcBorders>
              <w:top w:val="single" w:sz="6" w:space="0" w:color="000000"/>
              <w:bottom w:val="single" w:sz="6" w:space="0" w:color="000000"/>
            </w:tcBorders>
            <w:vAlign w:val="center"/>
          </w:tcPr>
          <w:p>
            <w:pPr>
              <w:pStyle w:val="TableHeading"/>
              <w:widowControl w:val="false"/>
              <w:bidi w:val="0"/>
              <w:rPr/>
            </w:pPr>
            <w:r>
              <w:rPr/>
              <w:t>Volume fraction</w:t>
            </w:r>
          </w:p>
        </w:tc>
      </w:tr>
      <w:tr>
        <w:trPr/>
        <w:tc>
          <w:tcPr>
            <w:tcW w:w="1555" w:type="dxa"/>
            <w:tcBorders/>
            <w:vAlign w:val="center"/>
          </w:tcPr>
          <w:p>
            <w:pPr>
              <w:pStyle w:val="TableContents"/>
              <w:widowControl w:val="false"/>
              <w:bidi w:val="0"/>
              <w:jc w:val="left"/>
              <w:rPr/>
            </w:pPr>
            <w:r>
              <w:rPr/>
              <w:t>Photosynthesis</w:t>
            </w:r>
          </w:p>
        </w:tc>
        <w:tc>
          <w:tcPr>
            <w:tcW w:w="875" w:type="dxa"/>
            <w:tcBorders/>
            <w:vAlign w:val="center"/>
          </w:tcPr>
          <w:p>
            <w:pPr>
              <w:pStyle w:val="TableContents"/>
              <w:widowControl w:val="false"/>
              <w:bidi w:val="0"/>
              <w:jc w:val="both"/>
              <w:rPr/>
            </w:pPr>
            <w:r>
              <w:rPr/>
              <w:t xml:space="preserve">  </w:t>
            </w:r>
            <w:r>
              <w:rPr/>
              <w:t>f</w:t>
            </w:r>
            <w:r>
              <w:rPr>
                <w:vertAlign w:val="subscript"/>
              </w:rPr>
              <w:t>photo</w:t>
            </w:r>
          </w:p>
        </w:tc>
        <w:tc>
          <w:tcPr>
            <w:tcW w:w="1799" w:type="dxa"/>
            <w:tcBorders/>
            <w:vAlign w:val="center"/>
          </w:tcPr>
          <w:p>
            <w:pPr>
              <w:pStyle w:val="TableContents"/>
              <w:widowControl w:val="false"/>
              <w:bidi w:val="0"/>
              <w:jc w:val="center"/>
              <w:rPr/>
            </w:pPr>
            <w:r>
              <w:rPr/>
              <w:t>0.20</w:t>
            </w:r>
          </w:p>
        </w:tc>
      </w:tr>
      <w:tr>
        <w:trPr/>
        <w:tc>
          <w:tcPr>
            <w:tcW w:w="1555" w:type="dxa"/>
            <w:tcBorders/>
            <w:vAlign w:val="center"/>
          </w:tcPr>
          <w:p>
            <w:pPr>
              <w:pStyle w:val="TableContents"/>
              <w:widowControl w:val="false"/>
              <w:bidi w:val="0"/>
              <w:jc w:val="left"/>
              <w:rPr/>
            </w:pPr>
            <w:r>
              <w:rPr/>
              <w:t>Respiration</w:t>
            </w:r>
          </w:p>
        </w:tc>
        <w:tc>
          <w:tcPr>
            <w:tcW w:w="875" w:type="dxa"/>
            <w:tcBorders/>
            <w:vAlign w:val="center"/>
          </w:tcPr>
          <w:p>
            <w:pPr>
              <w:pStyle w:val="TableContents"/>
              <w:widowControl w:val="false"/>
              <w:bidi w:val="0"/>
              <w:jc w:val="both"/>
              <w:rPr/>
            </w:pPr>
            <w:r>
              <w:rPr/>
              <w:t xml:space="preserve">  </w:t>
            </w:r>
            <w:r>
              <w:rPr/>
              <w:t>f</w:t>
            </w:r>
            <w:r>
              <w:rPr>
                <w:vertAlign w:val="subscript"/>
              </w:rPr>
              <w:t>resp</w:t>
            </w:r>
          </w:p>
        </w:tc>
        <w:tc>
          <w:tcPr>
            <w:tcW w:w="1799" w:type="dxa"/>
            <w:tcBorders/>
            <w:vAlign w:val="center"/>
          </w:tcPr>
          <w:p>
            <w:pPr>
              <w:pStyle w:val="TableContents"/>
              <w:widowControl w:val="false"/>
              <w:bidi w:val="0"/>
              <w:jc w:val="center"/>
              <w:rPr/>
            </w:pPr>
            <w:r>
              <w:rPr/>
              <w:t>0.40</w:t>
            </w:r>
          </w:p>
        </w:tc>
      </w:tr>
      <w:tr>
        <w:trPr/>
        <w:tc>
          <w:tcPr>
            <w:tcW w:w="1555" w:type="dxa"/>
            <w:tcBorders/>
            <w:vAlign w:val="center"/>
          </w:tcPr>
          <w:p>
            <w:pPr>
              <w:pStyle w:val="TableContents"/>
              <w:widowControl w:val="false"/>
              <w:bidi w:val="0"/>
              <w:jc w:val="left"/>
              <w:rPr/>
            </w:pPr>
            <w:r>
              <w:rPr/>
              <w:t>Transpiration</w:t>
            </w:r>
          </w:p>
        </w:tc>
        <w:tc>
          <w:tcPr>
            <w:tcW w:w="875" w:type="dxa"/>
            <w:tcBorders/>
            <w:vAlign w:val="center"/>
          </w:tcPr>
          <w:p>
            <w:pPr>
              <w:pStyle w:val="TableContents"/>
              <w:widowControl w:val="false"/>
              <w:bidi w:val="0"/>
              <w:jc w:val="both"/>
              <w:rPr/>
            </w:pPr>
            <w:r>
              <w:rPr/>
              <w:t xml:space="preserve">  </w:t>
            </w:r>
            <w:r>
              <w:rPr/>
              <w:t>f</w:t>
            </w:r>
            <w:r>
              <w:rPr>
                <w:vertAlign w:val="subscript"/>
              </w:rPr>
              <w:t>transp</w:t>
            </w:r>
          </w:p>
        </w:tc>
        <w:tc>
          <w:tcPr>
            <w:tcW w:w="1799" w:type="dxa"/>
            <w:tcBorders/>
            <w:vAlign w:val="center"/>
          </w:tcPr>
          <w:p>
            <w:pPr>
              <w:pStyle w:val="TableContents"/>
              <w:widowControl w:val="false"/>
              <w:bidi w:val="0"/>
              <w:jc w:val="center"/>
              <w:rPr/>
            </w:pPr>
            <w:r>
              <w:rPr/>
              <w:t>0.20</w:t>
            </w:r>
          </w:p>
        </w:tc>
      </w:tr>
      <w:tr>
        <w:trPr/>
        <w:tc>
          <w:tcPr>
            <w:tcW w:w="1555" w:type="dxa"/>
            <w:tcBorders/>
            <w:vAlign w:val="center"/>
          </w:tcPr>
          <w:p>
            <w:pPr>
              <w:pStyle w:val="TableContents"/>
              <w:widowControl w:val="false"/>
              <w:bidi w:val="0"/>
              <w:jc w:val="left"/>
              <w:rPr/>
            </w:pPr>
            <w:r>
              <w:rPr/>
              <w:t>Root uptake</w:t>
            </w:r>
          </w:p>
        </w:tc>
        <w:tc>
          <w:tcPr>
            <w:tcW w:w="875" w:type="dxa"/>
            <w:tcBorders/>
            <w:vAlign w:val="center"/>
          </w:tcPr>
          <w:p>
            <w:pPr>
              <w:pStyle w:val="TableContents"/>
              <w:widowControl w:val="false"/>
              <w:bidi w:val="0"/>
              <w:jc w:val="both"/>
              <w:rPr/>
            </w:pPr>
            <w:r>
              <w:rPr/>
              <w:t xml:space="preserve">  </w:t>
            </w:r>
            <w:r>
              <w:rPr/>
              <w:t>f</w:t>
            </w:r>
            <w:r>
              <w:rPr>
                <w:vertAlign w:val="subscript"/>
              </w:rPr>
              <w:t>uptake</w:t>
            </w:r>
          </w:p>
        </w:tc>
        <w:tc>
          <w:tcPr>
            <w:tcW w:w="1799" w:type="dxa"/>
            <w:tcBorders/>
            <w:vAlign w:val="center"/>
          </w:tcPr>
          <w:p>
            <w:pPr>
              <w:pStyle w:val="TableContents"/>
              <w:widowControl w:val="false"/>
              <w:bidi w:val="0"/>
              <w:jc w:val="center"/>
              <w:rPr/>
            </w:pPr>
            <w:r>
              <w:rPr/>
              <w:t>0.30</w:t>
            </w:r>
          </w:p>
        </w:tc>
      </w:tr>
      <w:tr>
        <w:trPr/>
        <w:tc>
          <w:tcPr>
            <w:tcW w:w="1555" w:type="dxa"/>
            <w:tcBorders>
              <w:bottom w:val="single" w:sz="6" w:space="0" w:color="000000"/>
            </w:tcBorders>
            <w:vAlign w:val="center"/>
          </w:tcPr>
          <w:p>
            <w:pPr>
              <w:pStyle w:val="TableContents"/>
              <w:widowControl w:val="false"/>
              <w:bidi w:val="0"/>
              <w:jc w:val="left"/>
              <w:rPr/>
            </w:pPr>
            <w:r>
              <w:rPr/>
              <w:t>Peltier cooling</w:t>
            </w:r>
          </w:p>
        </w:tc>
        <w:tc>
          <w:tcPr>
            <w:tcW w:w="875" w:type="dxa"/>
            <w:tcBorders>
              <w:bottom w:val="single" w:sz="6" w:space="0" w:color="000000"/>
            </w:tcBorders>
            <w:vAlign w:val="center"/>
          </w:tcPr>
          <w:p>
            <w:pPr>
              <w:pStyle w:val="TableContents"/>
              <w:widowControl w:val="false"/>
              <w:bidi w:val="0"/>
              <w:jc w:val="both"/>
              <w:rPr/>
            </w:pPr>
            <w:r>
              <w:rPr/>
              <w:t xml:space="preserve">  </w:t>
            </w:r>
            <w:r>
              <w:rPr/>
              <w:t>f</w:t>
            </w:r>
            <w:r>
              <w:rPr>
                <w:vertAlign w:val="subscript"/>
              </w:rPr>
              <w:t>ceil</w:t>
            </w:r>
          </w:p>
        </w:tc>
        <w:tc>
          <w:tcPr>
            <w:tcW w:w="1799" w:type="dxa"/>
            <w:tcBorders>
              <w:bottom w:val="single" w:sz="6" w:space="0" w:color="000000"/>
            </w:tcBorders>
            <w:vAlign w:val="center"/>
          </w:tcPr>
          <w:p>
            <w:pPr>
              <w:pStyle w:val="TableContents"/>
              <w:widowControl w:val="false"/>
              <w:bidi w:val="0"/>
              <w:jc w:val="center"/>
              <w:rPr/>
            </w:pPr>
            <w:r>
              <w:rPr/>
              <w:t>0.10</w:t>
            </w:r>
          </w:p>
        </w:tc>
      </w:tr>
    </w:tbl>
    <w:p>
      <w:pPr>
        <w:pStyle w:val="Normal"/>
        <w:bidi w:val="0"/>
        <w:jc w:val="left"/>
        <w:rPr/>
      </w:pPr>
      <w:r>
        <w:rPr/>
      </w:r>
    </w:p>
    <w:p>
      <w:pPr>
        <w:pStyle w:val="Normal"/>
        <w:bidi w:val="0"/>
        <w:jc w:val="left"/>
        <w:rPr/>
      </w:pPr>
      <w:r>
        <w:rPr/>
      </w:r>
      <w:r>
        <w:br w:type="page"/>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6120130" cy="4895850"/>
            <wp:effectExtent l="0" t="0" r="0" b="0"/>
            <wp:wrapTopAndBottom/>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6120130" cy="4895850"/>
                    </a:xfrm>
                    <a:prstGeom prst="rect">
                      <a:avLst/>
                    </a:prstGeom>
                  </pic:spPr>
                </pic:pic>
              </a:graphicData>
            </a:graphic>
          </wp:anchor>
        </w:drawing>
      </w:r>
    </w:p>
    <w:p>
      <w:pPr>
        <w:pStyle w:val="Normal"/>
        <w:bidi w:val="0"/>
        <w:jc w:val="left"/>
        <w:rPr/>
      </w:pPr>
      <w:r>
        <w:rPr>
          <w:b/>
          <w:bCs/>
        </w:rPr>
        <w:t>Figure S1. Boolean masks of the TECP (</w:t>
      </w:r>
      <w:r>
        <w:rPr>
          <w:rStyle w:val="StrongEmphasis"/>
        </w:rPr>
        <w:t>High-resolution</w:t>
      </w:r>
      <w:r>
        <w:rPr>
          <w:b/>
          <w:bCs/>
        </w:rPr>
        <w:t xml:space="preserve"> version of Fig. 1). </w:t>
      </w:r>
    </w:p>
    <w:p>
      <w:pPr>
        <w:pStyle w:val="Normal"/>
        <w:bidi w:val="0"/>
        <w:jc w:val="left"/>
        <w:rPr/>
      </w:pPr>
      <w:r>
        <w:rPr/>
        <w:t>See legend of Fig. 1 in the main text. </w:t>
      </w:r>
    </w:p>
    <w:p>
      <w:pPr>
        <w:pStyle w:val="Normal"/>
        <w:bidi w:val="0"/>
        <w:jc w:val="left"/>
        <w:rPr/>
      </w:pPr>
      <w:r>
        <w:rPr/>
      </w:r>
    </w:p>
    <w:p>
      <w:pPr>
        <w:pStyle w:val="Normal"/>
        <w:bidi w:val="0"/>
        <w:jc w:val="left"/>
        <w:rPr/>
      </w:pPr>
      <w:r>
        <w:rPr/>
      </w:r>
    </w:p>
    <w:p>
      <w:pPr>
        <w:pStyle w:val="Normal"/>
        <w:bidi w:val="0"/>
        <w:jc w:val="left"/>
        <w:rPr/>
      </w:pPr>
      <w:r>
        <w:rPr/>
      </w:r>
      <w:r>
        <w:br w:type="page"/>
      </w:r>
    </w:p>
    <w:p>
      <w:pPr>
        <w:pStyle w:val="Normal"/>
        <w:bidi w:val="0"/>
        <w:jc w:val="left"/>
        <w:rPr/>
      </w:pPr>
      <w:r>
        <w:rPr/>
      </w:r>
    </w:p>
    <w:p>
      <w:pPr>
        <w:pStyle w:val="Normal"/>
        <w:bidi w:val="0"/>
        <w:jc w:val="left"/>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6120130"/>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tretch>
                      <a:fillRect/>
                    </a:stretch>
                  </pic:blipFill>
                  <pic:spPr bwMode="auto">
                    <a:xfrm>
                      <a:off x="0" y="0"/>
                      <a:ext cx="6120130" cy="6120130"/>
                    </a:xfrm>
                    <a:prstGeom prst="rect">
                      <a:avLst/>
                    </a:prstGeom>
                  </pic:spPr>
                </pic:pic>
              </a:graphicData>
            </a:graphic>
          </wp:anchor>
        </w:drawing>
      </w:r>
    </w:p>
    <w:p>
      <w:pPr>
        <w:pStyle w:val="Normal"/>
        <w:bidi w:val="0"/>
        <w:jc w:val="left"/>
        <w:rPr/>
      </w:pPr>
      <w:r>
        <w:rPr>
          <w:rStyle w:val="StrongEmphasis"/>
        </w:rPr>
        <w:t>Figure S2. Stochastic phase diagram under Gaussian noise.</w:t>
      </w:r>
      <w:r>
        <w:rPr/>
        <w:t xml:space="preserve"> Scatter plot of mean soil moisture in the left (W</w:t>
      </w:r>
      <w:r>
        <w:rPr>
          <w:vertAlign w:val="subscript"/>
        </w:rPr>
        <w:t>L</w:t>
      </w:r>
      <w:r>
        <w:rPr/>
        <w:t>, marsh) and right (W</w:t>
      </w:r>
      <w:r>
        <w:rPr>
          <w:vertAlign w:val="subscript"/>
        </w:rPr>
        <w:t>R</w:t>
      </w:r>
      <w:r>
        <w:rPr/>
        <w:t>, continental) biomes under Gaussian noise applied to the Peltier power and the day/night cycle. The cloud remains confined along the diagonal, showing that random fluctuations alone do not break the spatial symmetry of the system. Structural asymmetry is required to activate the Wood Wide Web.</w:t>
      </w:r>
    </w:p>
    <w:p>
      <w:pPr>
        <w:pStyle w:val="Normal"/>
        <w:bidi w:val="0"/>
        <w:jc w:val="left"/>
        <w:rPr/>
      </w:pPr>
      <w:r>
        <w:rPr/>
      </w:r>
    </w:p>
    <w:p>
      <w:pPr>
        <w:pStyle w:val="Normal"/>
        <w:bidi w:val="0"/>
        <w:jc w:val="left"/>
        <w:rPr/>
      </w:pPr>
      <w:r>
        <w:rPr/>
      </w:r>
    </w:p>
    <w:p>
      <w:pPr>
        <w:pStyle w:val="Normal"/>
        <w:bidi w:val="0"/>
        <w:jc w:val="left"/>
        <w:rPr/>
      </w:pPr>
      <w:r>
        <w:rPr/>
      </w:r>
      <w:r>
        <w:br w:type="page"/>
      </w:r>
    </w:p>
    <w:p>
      <w:pPr>
        <w:pStyle w:val="TextBody"/>
        <w:bidi w:val="0"/>
        <w:jc w:val="left"/>
        <w:rPr>
          <w:sz w:val="28"/>
          <w:szCs w:val="28"/>
        </w:rPr>
      </w:pPr>
      <w:r>
        <w:rPr>
          <w:rStyle w:val="StrongEmphasis"/>
          <w:sz w:val="28"/>
          <w:szCs w:val="28"/>
        </w:rPr>
        <w:t>Supplementary Note 2. Dimensional analysis and parameter correspondence.</w:t>
      </w:r>
    </w:p>
    <w:p>
      <w:pPr>
        <w:pStyle w:val="Heading3"/>
        <w:bidi w:val="0"/>
        <w:ind w:left="0" w:hanging="0"/>
        <w:jc w:val="left"/>
        <w:rPr/>
      </w:pPr>
      <w:r>
        <w:rPr/>
        <w:t>S2.1 Conservative adimensionalisation</w:t>
      </w:r>
    </w:p>
    <w:p>
      <w:pPr>
        <w:pStyle w:val="TextBody"/>
        <w:bidi w:val="0"/>
        <w:jc w:val="left"/>
        <w:rPr/>
      </w:pPr>
      <w:r>
        <w:rPr/>
        <w:t>The physical equations involve coefficients spanning several orders of magnitude (e.g., L</w:t>
      </w:r>
      <w:r>
        <w:rPr>
          <w:vertAlign w:val="subscript"/>
        </w:rPr>
        <w:t>v</w:t>
      </w:r>
      <w:r>
        <w:rPr/>
        <w:t>=2.26×10</w:t>
      </w:r>
      <w:r>
        <w:rPr>
          <w:vertAlign w:val="superscript"/>
        </w:rPr>
        <w:t>6</w:t>
      </w:r>
      <w:r>
        <w:rPr/>
        <w:t> J kg⁻¹, k</w:t>
      </w:r>
      <w:r>
        <w:rPr>
          <w:vertAlign w:val="subscript"/>
        </w:rPr>
        <w:t>T</w:t>
      </w:r>
      <w:r>
        <w:rPr/>
        <w:t>≈0.5 W m</w:t>
      </w:r>
      <w:r>
        <w:rPr>
          <w:vertAlign w:val="superscript"/>
        </w:rPr>
        <w:t>-1</w:t>
      </w:r>
      <w:r>
        <w:rPr/>
        <w:t> K</w:t>
      </w:r>
      <w:r>
        <w:rPr>
          <w:vertAlign w:val="superscript"/>
        </w:rPr>
        <w:t>-1</w:t>
      </w:r>
      <w:r>
        <w:rPr/>
        <w:t>). Direct numerical integration causes Jacobian stiffness and solver divergence. We therefore introduce characteristic scales that map the physical system onto a dimensionless form where all terms are of comparable magnitude, preserving the topology of the bifurcation structure.</w:t>
      </w:r>
    </w:p>
    <w:p>
      <w:pPr>
        <w:pStyle w:val="TextBody"/>
        <w:bidi w:val="0"/>
        <w:jc w:val="left"/>
        <w:rPr/>
      </w:pPr>
      <w:r>
        <w:rPr/>
        <w:t>The characteristic scales are:</w:t>
      </w:r>
    </w:p>
    <w:tbl>
      <w:tblPr>
        <w:tblW w:w="4921" w:type="dxa"/>
        <w:jc w:val="center"/>
        <w:tblInd w:w="0" w:type="dxa"/>
        <w:tblLayout w:type="fixed"/>
        <w:tblCellMar>
          <w:top w:w="28" w:type="dxa"/>
          <w:left w:w="28" w:type="dxa"/>
          <w:bottom w:w="28" w:type="dxa"/>
          <w:right w:w="28" w:type="dxa"/>
        </w:tblCellMar>
      </w:tblPr>
      <w:tblGrid>
        <w:gridCol w:w="2390"/>
        <w:gridCol w:w="942"/>
        <w:gridCol w:w="1589"/>
      </w:tblGrid>
      <w:tr>
        <w:trPr>
          <w:tblHeader w:val="true"/>
        </w:trPr>
        <w:tc>
          <w:tcPr>
            <w:tcW w:w="2390" w:type="dxa"/>
            <w:tcBorders>
              <w:top w:val="single" w:sz="6" w:space="0" w:color="000000"/>
              <w:bottom w:val="single" w:sz="6" w:space="0" w:color="000000"/>
            </w:tcBorders>
            <w:vAlign w:val="center"/>
          </w:tcPr>
          <w:p>
            <w:pPr>
              <w:pStyle w:val="TableHeading"/>
              <w:widowControl w:val="false"/>
              <w:bidi w:val="0"/>
              <w:rPr/>
            </w:pPr>
            <w:r>
              <w:rPr/>
              <w:t>Quantity</w:t>
            </w:r>
          </w:p>
        </w:tc>
        <w:tc>
          <w:tcPr>
            <w:tcW w:w="942" w:type="dxa"/>
            <w:tcBorders>
              <w:top w:val="single" w:sz="6" w:space="0" w:color="000000"/>
              <w:bottom w:val="single" w:sz="6" w:space="0" w:color="000000"/>
            </w:tcBorders>
            <w:vAlign w:val="center"/>
          </w:tcPr>
          <w:p>
            <w:pPr>
              <w:pStyle w:val="TableHeading"/>
              <w:widowControl w:val="false"/>
              <w:bidi w:val="0"/>
              <w:rPr/>
            </w:pPr>
            <w:r>
              <w:rPr/>
              <w:t>Symbol</w:t>
            </w:r>
          </w:p>
        </w:tc>
        <w:tc>
          <w:tcPr>
            <w:tcW w:w="1589" w:type="dxa"/>
            <w:tcBorders>
              <w:top w:val="single" w:sz="6" w:space="0" w:color="000000"/>
              <w:bottom w:val="single" w:sz="6" w:space="0" w:color="000000"/>
            </w:tcBorders>
            <w:vAlign w:val="center"/>
          </w:tcPr>
          <w:p>
            <w:pPr>
              <w:pStyle w:val="TableHeading"/>
              <w:widowControl w:val="false"/>
              <w:bidi w:val="0"/>
              <w:rPr/>
            </w:pPr>
            <w:r>
              <w:rPr/>
              <w:t>Value</w:t>
            </w:r>
          </w:p>
        </w:tc>
      </w:tr>
      <w:tr>
        <w:trPr/>
        <w:tc>
          <w:tcPr>
            <w:tcW w:w="2390" w:type="dxa"/>
            <w:tcBorders/>
            <w:vAlign w:val="center"/>
          </w:tcPr>
          <w:p>
            <w:pPr>
              <w:pStyle w:val="TableContents"/>
              <w:widowControl w:val="false"/>
              <w:bidi w:val="0"/>
              <w:jc w:val="left"/>
              <w:rPr/>
            </w:pPr>
            <w:r>
              <w:rPr/>
              <w:t>Reference temperature</w:t>
            </w:r>
          </w:p>
        </w:tc>
        <w:tc>
          <w:tcPr>
            <w:tcW w:w="942" w:type="dxa"/>
            <w:tcBorders/>
            <w:vAlign w:val="center"/>
          </w:tcPr>
          <w:p>
            <w:pPr>
              <w:pStyle w:val="TableContents"/>
              <w:widowControl w:val="false"/>
              <w:bidi w:val="0"/>
              <w:jc w:val="left"/>
              <w:rPr/>
            </w:pPr>
            <w:r>
              <w:rPr/>
              <w:t>T</w:t>
            </w:r>
            <w:r>
              <w:rPr>
                <w:vertAlign w:val="subscript"/>
              </w:rPr>
              <w:t>0</w:t>
            </w:r>
            <w:r>
              <w:rPr/>
              <w:t>=T</w:t>
            </w:r>
            <w:r>
              <w:rPr>
                <w:vertAlign w:val="subscript"/>
              </w:rPr>
              <w:t>opt</w:t>
            </w:r>
          </w:p>
        </w:tc>
        <w:tc>
          <w:tcPr>
            <w:tcW w:w="1589" w:type="dxa"/>
            <w:tcBorders/>
            <w:vAlign w:val="center"/>
          </w:tcPr>
          <w:p>
            <w:pPr>
              <w:pStyle w:val="TableContents"/>
              <w:widowControl w:val="false"/>
              <w:bidi w:val="0"/>
              <w:jc w:val="left"/>
              <w:rPr/>
            </w:pPr>
            <w:r>
              <w:rPr/>
              <w:t>298 K</w:t>
            </w:r>
          </w:p>
        </w:tc>
      </w:tr>
      <w:tr>
        <w:trPr/>
        <w:tc>
          <w:tcPr>
            <w:tcW w:w="2390" w:type="dxa"/>
            <w:tcBorders/>
            <w:vAlign w:val="center"/>
          </w:tcPr>
          <w:p>
            <w:pPr>
              <w:pStyle w:val="TableContents"/>
              <w:widowControl w:val="false"/>
              <w:bidi w:val="0"/>
              <w:jc w:val="left"/>
              <w:rPr/>
            </w:pPr>
            <w:r>
              <w:rPr/>
              <w:t>Length</w:t>
            </w:r>
          </w:p>
        </w:tc>
        <w:tc>
          <w:tcPr>
            <w:tcW w:w="942" w:type="dxa"/>
            <w:tcBorders/>
            <w:vAlign w:val="center"/>
          </w:tcPr>
          <w:p>
            <w:pPr>
              <w:pStyle w:val="TableContents"/>
              <w:widowControl w:val="false"/>
              <w:bidi w:val="0"/>
              <w:jc w:val="left"/>
              <w:rPr/>
            </w:pPr>
            <w:r>
              <w:rPr/>
              <w:t>L</w:t>
            </w:r>
          </w:p>
        </w:tc>
        <w:tc>
          <w:tcPr>
            <w:tcW w:w="1589" w:type="dxa"/>
            <w:tcBorders/>
            <w:vAlign w:val="center"/>
          </w:tcPr>
          <w:p>
            <w:pPr>
              <w:pStyle w:val="TableContents"/>
              <w:widowControl w:val="false"/>
              <w:bidi w:val="0"/>
              <w:jc w:val="left"/>
              <w:rPr/>
            </w:pPr>
            <w:r>
              <w:rPr/>
              <w:t>1 m</w:t>
            </w:r>
          </w:p>
        </w:tc>
      </w:tr>
      <w:tr>
        <w:trPr/>
        <w:tc>
          <w:tcPr>
            <w:tcW w:w="2390" w:type="dxa"/>
            <w:tcBorders/>
            <w:vAlign w:val="center"/>
          </w:tcPr>
          <w:p>
            <w:pPr>
              <w:pStyle w:val="TableContents"/>
              <w:widowControl w:val="false"/>
              <w:bidi w:val="0"/>
              <w:jc w:val="left"/>
              <w:rPr/>
            </w:pPr>
            <w:r>
              <w:rPr/>
              <w:t>Time</w:t>
            </w:r>
          </w:p>
        </w:tc>
        <w:tc>
          <w:tcPr>
            <w:tcW w:w="942" w:type="dxa"/>
            <w:tcBorders/>
            <w:vAlign w:val="center"/>
          </w:tcPr>
          <w:p>
            <w:pPr>
              <w:pStyle w:val="TableContents"/>
              <w:widowControl w:val="false"/>
              <w:bidi w:val="0"/>
              <w:jc w:val="left"/>
              <w:rPr/>
            </w:pPr>
            <w:r>
              <w:rPr/>
              <w:t>τ</w:t>
            </w:r>
          </w:p>
        </w:tc>
        <w:tc>
          <w:tcPr>
            <w:tcW w:w="1589" w:type="dxa"/>
            <w:tcBorders/>
            <w:vAlign w:val="center"/>
          </w:tcPr>
          <w:p>
            <w:pPr>
              <w:pStyle w:val="TableContents"/>
              <w:widowControl w:val="false"/>
              <w:bidi w:val="0"/>
              <w:jc w:val="left"/>
              <w:rPr/>
            </w:pPr>
            <w:r>
              <w:rPr/>
              <w:t>100 s</w:t>
            </w:r>
          </w:p>
        </w:tc>
      </w:tr>
      <w:tr>
        <w:trPr/>
        <w:tc>
          <w:tcPr>
            <w:tcW w:w="2390" w:type="dxa"/>
            <w:tcBorders/>
            <w:vAlign w:val="center"/>
          </w:tcPr>
          <w:p>
            <w:pPr>
              <w:pStyle w:val="TableContents"/>
              <w:widowControl w:val="false"/>
              <w:bidi w:val="0"/>
              <w:jc w:val="left"/>
              <w:rPr/>
            </w:pPr>
            <w:r>
              <w:rPr/>
              <w:t>Thermal power density</w:t>
            </w:r>
          </w:p>
        </w:tc>
        <w:tc>
          <w:tcPr>
            <w:tcW w:w="942" w:type="dxa"/>
            <w:tcBorders/>
            <w:vAlign w:val="center"/>
          </w:tcPr>
          <w:p>
            <w:pPr>
              <w:pStyle w:val="TableContents"/>
              <w:widowControl w:val="false"/>
              <w:bidi w:val="0"/>
              <w:jc w:val="left"/>
              <w:rPr/>
            </w:pPr>
            <w:r>
              <w:rPr/>
              <w:t>Q</w:t>
            </w:r>
            <w:r>
              <w:rPr>
                <w:vertAlign w:val="subscript"/>
              </w:rPr>
              <w:t>0</w:t>
            </w:r>
          </w:p>
        </w:tc>
        <w:tc>
          <w:tcPr>
            <w:tcW w:w="1589" w:type="dxa"/>
            <w:tcBorders/>
            <w:vAlign w:val="center"/>
          </w:tcPr>
          <w:p>
            <w:pPr>
              <w:pStyle w:val="TableContents"/>
              <w:widowControl w:val="false"/>
              <w:bidi w:val="0"/>
              <w:jc w:val="left"/>
              <w:rPr/>
            </w:pPr>
            <w:r>
              <w:rPr/>
              <w:t>500 W m</w:t>
            </w:r>
            <w:r>
              <w:rPr>
                <w:vertAlign w:val="superscript"/>
              </w:rPr>
              <w:t>-3</w:t>
            </w:r>
          </w:p>
        </w:tc>
      </w:tr>
      <w:tr>
        <w:trPr/>
        <w:tc>
          <w:tcPr>
            <w:tcW w:w="2390" w:type="dxa"/>
            <w:tcBorders>
              <w:bottom w:val="single" w:sz="6" w:space="0" w:color="000000"/>
            </w:tcBorders>
            <w:vAlign w:val="center"/>
          </w:tcPr>
          <w:p>
            <w:pPr>
              <w:pStyle w:val="TableContents"/>
              <w:widowControl w:val="false"/>
              <w:bidi w:val="0"/>
              <w:jc w:val="left"/>
              <w:rPr/>
            </w:pPr>
            <w:r>
              <w:rPr/>
              <w:t>Condensation mass rate</w:t>
            </w:r>
          </w:p>
        </w:tc>
        <w:tc>
          <w:tcPr>
            <w:tcW w:w="942" w:type="dxa"/>
            <w:tcBorders>
              <w:bottom w:val="single" w:sz="6" w:space="0" w:color="000000"/>
            </w:tcBorders>
            <w:vAlign w:val="center"/>
          </w:tcPr>
          <w:p>
            <w:pPr>
              <w:pStyle w:val="TableContents"/>
              <w:widowControl w:val="false"/>
              <w:bidi w:val="0"/>
              <w:jc w:val="left"/>
              <w:rPr/>
            </w:pPr>
            <w:r>
              <w:rPr/>
              <w:t>C</w:t>
            </w:r>
            <w:r>
              <w:rPr>
                <w:vertAlign w:val="subscript"/>
              </w:rPr>
              <w:t>0</w:t>
            </w:r>
          </w:p>
        </w:tc>
        <w:tc>
          <w:tcPr>
            <w:tcW w:w="1589" w:type="dxa"/>
            <w:tcBorders>
              <w:bottom w:val="single" w:sz="6" w:space="0" w:color="000000"/>
            </w:tcBorders>
            <w:vAlign w:val="center"/>
          </w:tcPr>
          <w:p>
            <w:pPr>
              <w:pStyle w:val="TableContents"/>
              <w:widowControl w:val="false"/>
              <w:bidi w:val="0"/>
              <w:jc w:val="left"/>
              <w:rPr/>
            </w:pPr>
            <w:r>
              <w:rPr/>
              <w:t>10</w:t>
            </w:r>
            <w:r>
              <w:rPr>
                <w:vertAlign w:val="superscript"/>
              </w:rPr>
              <w:t>−5</w:t>
            </w:r>
            <w:r>
              <w:rPr/>
              <w:t> kg m</w:t>
            </w:r>
            <w:r>
              <w:rPr>
                <w:vertAlign w:val="superscript"/>
              </w:rPr>
              <w:t>-3</w:t>
            </w:r>
            <w:r>
              <w:rPr/>
              <w:t> s</w:t>
            </w:r>
            <w:r>
              <w:rPr>
                <w:vertAlign w:val="superscript"/>
              </w:rPr>
              <w:t>-1</w:t>
            </w:r>
          </w:p>
        </w:tc>
      </w:tr>
    </w:tbl>
    <w:p>
      <w:pPr>
        <w:pStyle w:val="TextBody"/>
        <w:bidi w:val="0"/>
        <w:jc w:val="left"/>
        <w:rPr/>
      </w:pPr>
      <w:r>
        <w:rPr/>
      </w:r>
    </w:p>
    <w:p>
      <w:pPr>
        <w:pStyle w:val="TextBody"/>
        <w:bidi w:val="0"/>
        <w:jc w:val="left"/>
        <w:rPr/>
      </w:pPr>
      <w:r>
        <w:rPr/>
        <w:t>All variables are replaced by their dimensionless counterparts:</w:t>
      </w:r>
    </w:p>
    <w:p>
      <w:pPr>
        <w:pStyle w:val="TextBody"/>
        <w:bidi w:val="0"/>
        <w:jc w:val="left"/>
        <w:rPr/>
      </w:pPr>
      <w:r>
        <w:rPr/>
      </w:r>
      <m:oMath xmlns:m="http://schemas.openxmlformats.org/officeDocument/2006/math">
        <m:acc>
          <m:accPr>
            <m:chr m:val="~"/>
          </m:accPr>
          <m:e>
            <m:r>
              <w:rPr>
                <w:rFonts w:ascii="Cambria Math" w:hAnsi="Cambria Math"/>
              </w:rPr>
              <m:t xml:space="preserve">T</m:t>
            </m:r>
          </m:e>
        </m:acc>
        <m:r>
          <w:rPr>
            <w:rFonts w:ascii="Cambria Math" w:hAnsi="Cambria Math"/>
          </w:rPr>
          <m:t xml:space="preserve">=</m:t>
        </m:r>
        <m:f>
          <m:num>
            <m:r>
              <w:rPr>
                <w:rFonts w:ascii="Cambria Math" w:hAnsi="Cambria Math"/>
              </w:rPr>
              <m:t xml:space="preserve">T</m:t>
            </m:r>
          </m:num>
          <m:den>
            <m:sSub>
              <m:e>
                <m:r>
                  <w:rPr>
                    <w:rFonts w:ascii="Cambria Math" w:hAnsi="Cambria Math"/>
                  </w:rPr>
                  <m:t xml:space="preserve">T</m:t>
                </m:r>
              </m:e>
              <m:sub>
                <m:r>
                  <w:rPr>
                    <w:rFonts w:ascii="Cambria Math" w:hAnsi="Cambria Math"/>
                  </w:rPr>
                  <m:t xml:space="preserve">0</m:t>
                </m:r>
              </m:sub>
            </m:sSub>
          </m:den>
        </m:f>
      </m:oMath>
      <w:r>
        <w:rPr>
          <w:rStyle w:val="SourceText"/>
        </w:rPr>
        <w:t> </w:t>
      </w:r>
      <w:r>
        <w:rPr>
          <w:rStyle w:val="SourceText"/>
        </w:rPr>
        <w:t xml:space="preserve">; </w:t>
      </w:r>
      <w:r>
        <w:rPr/>
      </w:r>
      <m:oMath xmlns:m="http://schemas.openxmlformats.org/officeDocument/2006/math">
        <m:acc>
          <m:accPr>
            <m:chr m:val="~"/>
          </m:accPr>
          <m:e>
            <m:r>
              <w:rPr>
                <w:rFonts w:ascii="Cambria Math" w:hAnsi="Cambria Math"/>
              </w:rPr>
              <m:t xml:space="preserve">∇</m:t>
            </m:r>
          </m:e>
        </m:acc>
        <m:r>
          <w:rPr>
            <w:rFonts w:ascii="Cambria Math" w:hAnsi="Cambria Math"/>
          </w:rPr>
          <m:t xml:space="preserve">=</m:t>
        </m:r>
        <m:r>
          <w:rPr>
            <w:rFonts w:ascii="Cambria Math" w:hAnsi="Cambria Math"/>
          </w:rPr>
          <m:t xml:space="preserve">L</m:t>
        </m:r>
        <m:r>
          <w:rPr>
            <w:rFonts w:ascii="Cambria Math" w:hAnsi="Cambria Math"/>
          </w:rPr>
          <m:t xml:space="preserve">∇</m:t>
        </m:r>
      </m:oMath>
      <w:r>
        <w:rPr>
          <w:rStyle w:val="SourceText"/>
        </w:rPr>
        <w:t xml:space="preserve"> ; </w:t>
      </w:r>
      <w:r>
        <w:rPr/>
      </w:r>
      <m:oMath xmlns:m="http://schemas.openxmlformats.org/officeDocument/2006/math">
        <m:acc>
          <m:accPr>
            <m:chr m:val="~"/>
          </m:accPr>
          <m:e>
            <m:r>
              <w:rPr>
                <w:rFonts w:ascii="Cambria Math" w:hAnsi="Cambria Math"/>
              </w:rPr>
              <m:t xml:space="preserve">t</m:t>
            </m:r>
          </m:e>
        </m:acc>
        <m:r>
          <w:rPr>
            <w:rFonts w:ascii="Cambria Math" w:hAnsi="Cambria Math"/>
          </w:rPr>
          <m:t xml:space="preserve">=</m:t>
        </m:r>
        <m:f>
          <m:num>
            <m:r>
              <w:rPr>
                <w:rFonts w:ascii="Cambria Math" w:hAnsi="Cambria Math"/>
              </w:rPr>
              <m:t xml:space="preserve">t</m:t>
            </m:r>
          </m:num>
          <m:den>
            <m:r>
              <w:rPr>
                <w:rFonts w:ascii="Cambria Math" w:hAnsi="Cambria Math"/>
              </w:rPr>
              <m:t xml:space="preserve">τ</m:t>
            </m:r>
          </m:den>
        </m:f>
      </m:oMath>
      <w:r>
        <w:rPr>
          <w:rStyle w:val="SourceText"/>
        </w:rPr>
        <w:t xml:space="preserve"> </w:t>
      </w:r>
    </w:p>
    <w:p>
      <w:pPr>
        <w:pStyle w:val="TextBody"/>
        <w:bidi w:val="0"/>
        <w:jc w:val="left"/>
        <w:rPr/>
      </w:pPr>
      <w:r>
        <w:rPr/>
        <w:t>The source terms are scaled as:</w:t>
      </w:r>
    </w:p>
    <w:p>
      <w:pPr>
        <w:pStyle w:val="TextBody"/>
        <w:bidi w:val="0"/>
        <w:jc w:val="left"/>
        <w:rPr/>
      </w:pPr>
      <w:r>
        <w:rPr/>
      </w:r>
      <m:oMath xmlns:m="http://schemas.openxmlformats.org/officeDocument/2006/math">
        <m:acc>
          <m:accPr>
            <m:chr m:val="~"/>
          </m:accPr>
          <m:e>
            <m:sSub>
              <m:e>
                <m:r>
                  <w:rPr>
                    <w:rFonts w:ascii="Cambria Math" w:hAnsi="Cambria Math"/>
                  </w:rPr>
                  <m:t xml:space="preserve">P</m:t>
                </m:r>
              </m:e>
              <m:sub>
                <m:r>
                  <w:rPr>
                    <w:rFonts w:ascii="Cambria Math" w:hAnsi="Cambria Math"/>
                  </w:rPr>
                  <m:t xml:space="preserve">elt</m:t>
                </m:r>
              </m:sub>
            </m:sSub>
          </m:e>
        </m:acc>
        <m:r>
          <w:rPr>
            <w:rFonts w:ascii="Cambria Math" w:hAnsi="Cambria Math"/>
          </w:rPr>
          <m:t xml:space="preserve">=</m:t>
        </m:r>
        <m:f>
          <m:num>
            <m:sSub>
              <m:e>
                <m:r>
                  <w:rPr>
                    <w:rFonts w:ascii="Cambria Math" w:hAnsi="Cambria Math"/>
                  </w:rPr>
                  <m:t xml:space="preserve">P</m:t>
                </m:r>
              </m:e>
              <m:sub>
                <m:r>
                  <w:rPr>
                    <w:rFonts w:ascii="Cambria Math" w:hAnsi="Cambria Math"/>
                  </w:rPr>
                  <m:t xml:space="preserve">elt</m:t>
                </m:r>
              </m:sub>
            </m:sSub>
          </m:num>
          <m:den>
            <m:sSub>
              <m:e>
                <m:r>
                  <w:rPr>
                    <w:rFonts w:ascii="Cambria Math" w:hAnsi="Cambria Math"/>
                  </w:rPr>
                  <m:t xml:space="preserve">Q</m:t>
                </m:r>
              </m:e>
              <m:sub>
                <m:r>
                  <w:rPr>
                    <w:rFonts w:ascii="Cambria Math" w:hAnsi="Cambria Math"/>
                  </w:rPr>
                  <m:t xml:space="preserve">0</m:t>
                </m:r>
              </m:sub>
            </m:sSub>
          </m:den>
        </m:f>
      </m:oMath>
      <w:r>
        <w:rPr>
          <w:rStyle w:val="SourceText"/>
        </w:rPr>
        <w:t> </w:t>
      </w:r>
      <w:r>
        <w:rPr>
          <w:rStyle w:val="SourceText"/>
        </w:rPr>
        <w:t xml:space="preserve">; </w:t>
      </w:r>
      <w:r>
        <w:rPr/>
      </w:r>
      <m:oMath xmlns:m="http://schemas.openxmlformats.org/officeDocument/2006/math">
        <m:acc>
          <m:accPr>
            <m:chr m:val="~"/>
          </m:accPr>
          <m:e>
            <m:sSub>
              <m:e>
                <m:r>
                  <w:rPr>
                    <w:rFonts w:ascii="Cambria Math" w:hAnsi="Cambria Math"/>
                  </w:rPr>
                  <m:t xml:space="preserve">L</m:t>
                </m:r>
              </m:e>
              <m:sub>
                <m:r>
                  <w:rPr>
                    <w:rFonts w:ascii="Cambria Math" w:hAnsi="Cambria Math"/>
                  </w:rPr>
                  <m:t xml:space="preserve">v</m:t>
                </m:r>
              </m:sub>
            </m:sSub>
          </m:e>
        </m:acc>
        <m:r>
          <w:rPr>
            <w:rFonts w:ascii="Cambria Math" w:hAnsi="Cambria Math"/>
          </w:rPr>
          <m:t xml:space="preserve">=</m:t>
        </m:r>
        <m:f>
          <m:num>
            <m:sSub>
              <m:e>
                <m:r>
                  <w:rPr>
                    <w:rFonts w:ascii="Cambria Math" w:hAnsi="Cambria Math"/>
                  </w:rPr>
                  <m:t xml:space="preserve">L</m:t>
                </m:r>
              </m:e>
              <m:sub>
                <m:r>
                  <w:rPr>
                    <w:rFonts w:ascii="Cambria Math" w:hAnsi="Cambria Math"/>
                  </w:rPr>
                  <m:t xml:space="preserve">v</m:t>
                </m:r>
              </m:sub>
            </m:sSub>
            <m:sSub>
              <m:e>
                <m:r>
                  <w:rPr>
                    <w:rFonts w:ascii="Cambria Math" w:hAnsi="Cambria Math"/>
                  </w:rPr>
                  <m:t xml:space="preserve">C</m:t>
                </m:r>
              </m:e>
              <m:sub>
                <m:r>
                  <w:rPr>
                    <w:rFonts w:ascii="Cambria Math" w:hAnsi="Cambria Math"/>
                  </w:rPr>
                  <m:t xml:space="preserve">0</m:t>
                </m:r>
              </m:sub>
            </m:sSub>
          </m:num>
          <m:den>
            <m:sSub>
              <m:e>
                <m:r>
                  <w:rPr>
                    <w:rFonts w:ascii="Cambria Math" w:hAnsi="Cambria Math"/>
                  </w:rPr>
                  <m:t xml:space="preserve">Q</m:t>
                </m:r>
              </m:e>
              <m:sub>
                <m:r>
                  <w:rPr>
                    <w:rFonts w:ascii="Cambria Math" w:hAnsi="Cambria Math"/>
                  </w:rPr>
                  <m:t xml:space="preserve">0</m:t>
                </m:r>
              </m:sub>
            </m:sSub>
          </m:den>
        </m:f>
      </m:oMath>
      <w:r>
        <w:rPr>
          <w:rStyle w:val="SourceText"/>
        </w:rPr>
        <w:t xml:space="preserve"> ; </w:t>
      </w:r>
      <w:r>
        <w:rPr/>
      </w:r>
      <m:oMath xmlns:m="http://schemas.openxmlformats.org/officeDocument/2006/math">
        <m:acc>
          <m:accPr>
            <m:chr m:val="~"/>
          </m:accPr>
          <m:e>
            <m:sSub>
              <m:e>
                <m:r>
                  <w:rPr>
                    <w:rFonts w:ascii="Cambria Math" w:hAnsi="Cambria Math"/>
                  </w:rPr>
                  <m:t xml:space="preserve">k</m:t>
                </m:r>
              </m:e>
              <m:sub>
                <m:r>
                  <w:rPr>
                    <w:rFonts w:ascii="Cambria Math" w:hAnsi="Cambria Math"/>
                  </w:rPr>
                  <m:t xml:space="preserve">T</m:t>
                </m:r>
              </m:sub>
            </m:sSub>
          </m:e>
        </m:acc>
        <m:r>
          <w:rPr>
            <w:rFonts w:ascii="Cambria Math" w:hAnsi="Cambria Math"/>
          </w:rPr>
          <m:t xml:space="preserve">=</m:t>
        </m:r>
        <m:f>
          <m:num>
            <m:sSub>
              <m:e>
                <m:r>
                  <w:rPr>
                    <w:rFonts w:ascii="Cambria Math" w:hAnsi="Cambria Math"/>
                  </w:rPr>
                  <m:t xml:space="preserve">k</m:t>
                </m:r>
              </m:e>
              <m:sub>
                <m:r>
                  <w:rPr>
                    <w:rFonts w:ascii="Cambria Math" w:hAnsi="Cambria Math"/>
                  </w:rPr>
                  <m:t xml:space="preserve">T</m:t>
                </m:r>
              </m:sub>
            </m:sSub>
            <m:sSub>
              <m:e>
                <m:r>
                  <w:rPr>
                    <w:rFonts w:ascii="Cambria Math" w:hAnsi="Cambria Math"/>
                  </w:rPr>
                  <m:t xml:space="preserve">T</m:t>
                </m:r>
              </m:e>
              <m:sub>
                <m:r>
                  <w:rPr>
                    <w:rFonts w:ascii="Cambria Math" w:hAnsi="Cambria Math"/>
                  </w:rPr>
                  <m:t xml:space="preserve">0</m:t>
                </m:r>
              </m:sub>
            </m:sSub>
          </m:num>
          <m:den>
            <m:sSup>
              <m:e>
                <m:r>
                  <w:rPr>
                    <w:rFonts w:ascii="Cambria Math" w:hAnsi="Cambria Math"/>
                  </w:rPr>
                  <m:t xml:space="preserve">L</m:t>
                </m:r>
              </m:e>
              <m:sup>
                <m:r>
                  <w:rPr>
                    <w:rFonts w:ascii="Cambria Math" w:hAnsi="Cambria Math"/>
                  </w:rPr>
                  <m:t xml:space="preserve">2</m:t>
                </m:r>
              </m:sup>
            </m:sSup>
            <m:sSub>
              <m:e>
                <m:r>
                  <w:rPr>
                    <w:rFonts w:ascii="Cambria Math" w:hAnsi="Cambria Math"/>
                  </w:rPr>
                  <m:t xml:space="preserve">Q</m:t>
                </m:r>
              </m:e>
              <m:sub>
                <m:r>
                  <w:rPr>
                    <w:rFonts w:ascii="Cambria Math" w:hAnsi="Cambria Math"/>
                  </w:rPr>
                  <m:t xml:space="preserve">0</m:t>
                </m:r>
              </m:sub>
            </m:sSub>
            <m:r>
              <w:rPr>
                <w:rFonts w:ascii="Cambria Math" w:hAnsi="Cambria Math"/>
              </w:rPr>
              <m:t xml:space="preserve">τ</m:t>
            </m:r>
          </m:den>
        </m:f>
      </m:oMath>
      <w:r>
        <w:rPr>
          <w:rStyle w:val="SourceText"/>
        </w:rPr>
        <w:t xml:space="preserve"> </w:t>
      </w:r>
    </w:p>
    <w:p>
      <w:pPr>
        <w:pStyle w:val="TextBody"/>
        <w:bidi w:val="0"/>
        <w:jc w:val="left"/>
        <w:rPr/>
      </w:pPr>
      <w:r>
        <w:rPr/>
        <w:t>The three governing dimensionless numbers are:</w:t>
      </w:r>
    </w:p>
    <w:p>
      <w:pPr>
        <w:pStyle w:val="TextBody"/>
        <w:numPr>
          <w:ilvl w:val="0"/>
          <w:numId w:val="3"/>
        </w:numPr>
        <w:tabs>
          <w:tab w:val="clear" w:pos="709"/>
          <w:tab w:val="left" w:pos="707" w:leader="none"/>
        </w:tabs>
        <w:bidi w:val="0"/>
        <w:ind w:left="707" w:hanging="283"/>
        <w:jc w:val="left"/>
        <w:rPr/>
      </w:pPr>
      <w:r>
        <w:rPr/>
        <w:t xml:space="preserve">Modified Rayleigh number: </w:t>
      </w:r>
      <w:r>
        <w:rPr/>
      </w:r>
      <m:oMath xmlns:m="http://schemas.openxmlformats.org/officeDocument/2006/math">
        <m:sSup>
          <m:e>
            <m:r>
              <w:rPr>
                <w:rFonts w:ascii="Cambria Math" w:hAnsi="Cambria Math"/>
              </w:rPr>
              <m:t xml:space="preserve">Ra</m:t>
            </m:r>
          </m:e>
          <m:sup>
            <m:r>
              <m:rPr>
                <m:lit/>
                <m:nor/>
              </m:rPr>
              <w:rPr>
                <w:rFonts w:ascii="Cambria Math" w:hAnsi="Cambria Math"/>
              </w:rPr>
              <m:t xml:space="preserve">*</m:t>
            </m:r>
          </m:sup>
        </m:sSup>
        <m:r>
          <w:rPr>
            <w:rFonts w:ascii="Cambria Math" w:hAnsi="Cambria Math"/>
          </w:rPr>
          <m:t xml:space="preserve">=</m:t>
        </m:r>
        <m:f>
          <m:num>
            <m:sSub>
              <m:e>
                <m:r>
                  <w:rPr>
                    <w:rFonts w:ascii="Cambria Math" w:hAnsi="Cambria Math"/>
                  </w:rPr>
                  <m:t xml:space="preserve">Q</m:t>
                </m:r>
              </m:e>
              <m:sub>
                <m:r>
                  <w:rPr>
                    <w:rFonts w:ascii="Cambria Math" w:hAnsi="Cambria Math"/>
                  </w:rPr>
                  <m:t xml:space="preserve">0</m:t>
                </m:r>
              </m:sub>
            </m:sSub>
            <m:sSup>
              <m:e>
                <m:r>
                  <w:rPr>
                    <w:rFonts w:ascii="Cambria Math" w:hAnsi="Cambria Math"/>
                  </w:rPr>
                  <m:t xml:space="preserve">L</m:t>
                </m:r>
              </m:e>
              <m:sup>
                <m:r>
                  <w:rPr>
                    <w:rFonts w:ascii="Cambria Math" w:hAnsi="Cambria Math"/>
                  </w:rPr>
                  <m:t xml:space="preserve">2</m:t>
                </m:r>
              </m:sup>
            </m:sSup>
          </m:num>
          <m:den>
            <m:sSub>
              <m:e>
                <m:r>
                  <w:rPr>
                    <w:rFonts w:ascii="Cambria Math" w:hAnsi="Cambria Math"/>
                  </w:rPr>
                  <m:t xml:space="preserve">k</m:t>
                </m:r>
              </m:e>
              <m:sub>
                <m:r>
                  <w:rPr>
                    <w:rFonts w:ascii="Cambria Math" w:hAnsi="Cambria Math"/>
                  </w:rPr>
                  <m:t xml:space="preserve">T</m:t>
                </m:r>
              </m:sub>
            </m:sSub>
            <m:sSub>
              <m:e>
                <m:r>
                  <w:rPr>
                    <w:rFonts w:ascii="Cambria Math" w:hAnsi="Cambria Math"/>
                  </w:rPr>
                  <m:t xml:space="preserve">T</m:t>
                </m:r>
              </m:e>
              <m:sub>
                <m:r>
                  <w:rPr>
                    <w:rFonts w:ascii="Cambria Math" w:hAnsi="Cambria Math"/>
                  </w:rPr>
                  <m:t xml:space="preserve">0</m:t>
                </m:r>
              </m:sub>
            </m:sSub>
          </m:den>
        </m:f>
      </m:oMath>
    </w:p>
    <w:p>
      <w:pPr>
        <w:pStyle w:val="TextBody"/>
        <w:numPr>
          <w:ilvl w:val="0"/>
          <w:numId w:val="3"/>
        </w:numPr>
        <w:tabs>
          <w:tab w:val="clear" w:pos="709"/>
          <w:tab w:val="left" w:pos="707" w:leader="none"/>
        </w:tabs>
        <w:bidi w:val="0"/>
        <w:ind w:left="707" w:hanging="283"/>
        <w:jc w:val="left"/>
        <w:rPr/>
      </w:pPr>
      <w:r>
        <w:rPr/>
        <w:t xml:space="preserve">Jakob number: </w:t>
      </w:r>
      <w:r>
        <w:rPr/>
      </w:r>
      <m:oMath xmlns:m="http://schemas.openxmlformats.org/officeDocument/2006/math">
        <m:r>
          <w:rPr>
            <w:rFonts w:ascii="Cambria Math" w:hAnsi="Cambria Math"/>
          </w:rPr>
          <m:t xml:space="preserve">Ja</m:t>
        </m:r>
        <m:r>
          <w:rPr>
            <w:rFonts w:ascii="Cambria Math" w:hAnsi="Cambria Math"/>
          </w:rPr>
          <m:t xml:space="preserve">=</m:t>
        </m:r>
        <m:f>
          <m:num>
            <m:sSub>
              <m:e>
                <m:r>
                  <w:rPr>
                    <w:rFonts w:ascii="Cambria Math" w:hAnsi="Cambria Math"/>
                  </w:rPr>
                  <m:t xml:space="preserve">L</m:t>
                </m:r>
              </m:e>
              <m:sub>
                <m:r>
                  <w:rPr>
                    <w:rFonts w:ascii="Cambria Math" w:hAnsi="Cambria Math"/>
                  </w:rPr>
                  <m:t xml:space="preserve">v</m:t>
                </m:r>
              </m:sub>
            </m:sSub>
            <m:sSub>
              <m:e>
                <m:r>
                  <w:rPr>
                    <w:rFonts w:ascii="Cambria Math" w:hAnsi="Cambria Math"/>
                  </w:rPr>
                  <m:t xml:space="preserve">C</m:t>
                </m:r>
              </m:e>
              <m:sub>
                <m:r>
                  <w:rPr>
                    <w:rFonts w:ascii="Cambria Math" w:hAnsi="Cambria Math"/>
                  </w:rPr>
                  <m:t xml:space="preserve">0</m:t>
                </m:r>
              </m:sub>
            </m:sSub>
          </m:num>
          <m:den>
            <m:sSub>
              <m:e>
                <m:r>
                  <w:rPr>
                    <w:rFonts w:ascii="Cambria Math" w:hAnsi="Cambria Math"/>
                  </w:rPr>
                  <m:t xml:space="preserve">Q</m:t>
                </m:r>
              </m:e>
              <m:sub>
                <m:r>
                  <w:rPr>
                    <w:rFonts w:ascii="Cambria Math" w:hAnsi="Cambria Math"/>
                  </w:rPr>
                  <m:t xml:space="preserve">0</m:t>
                </m:r>
              </m:sub>
            </m:sSub>
          </m:den>
        </m:f>
      </m:oMath>
    </w:p>
    <w:p>
      <w:pPr>
        <w:pStyle w:val="TextBody"/>
        <w:numPr>
          <w:ilvl w:val="0"/>
          <w:numId w:val="3"/>
        </w:numPr>
        <w:tabs>
          <w:tab w:val="clear" w:pos="709"/>
          <w:tab w:val="left" w:pos="707" w:leader="none"/>
        </w:tabs>
        <w:bidi w:val="0"/>
        <w:ind w:left="707" w:hanging="283"/>
        <w:jc w:val="left"/>
        <w:rPr/>
      </w:pPr>
      <w:r>
        <w:rPr/>
        <w:t xml:space="preserve">Biological Damköhler number: </w:t>
      </w:r>
      <w:r>
        <w:rPr/>
      </w:r>
      <m:oMath xmlns:m="http://schemas.openxmlformats.org/officeDocument/2006/math">
        <m:r>
          <w:rPr>
            <w:rFonts w:ascii="Cambria Math" w:hAnsi="Cambria Math"/>
          </w:rPr>
          <m:t xml:space="preserve">Da</m:t>
        </m:r>
        <m:r>
          <w:rPr>
            <w:rFonts w:ascii="Cambria Math" w:hAnsi="Cambria Math"/>
          </w:rPr>
          <m:t xml:space="preserve">=</m:t>
        </m:r>
        <m:f>
          <m:num>
            <m:sSub>
              <m:e>
                <m:r>
                  <w:rPr>
                    <w:rFonts w:ascii="Cambria Math" w:hAnsi="Cambria Math"/>
                  </w:rPr>
                  <m:t xml:space="preserve">P</m:t>
                </m:r>
              </m:e>
              <m:sub>
                <m:r>
                  <w:rPr>
                    <w:rFonts w:ascii="Cambria Math" w:hAnsi="Cambria Math"/>
                  </w:rPr>
                  <m:t xml:space="preserve">max</m:t>
                </m:r>
              </m:sub>
            </m:sSub>
            <m:r>
              <w:rPr>
                <w:rFonts w:ascii="Cambria Math" w:hAnsi="Cambria Math"/>
              </w:rPr>
              <m:t xml:space="preserve">τ</m:t>
            </m:r>
          </m:num>
          <m:den>
            <m:f>
              <m:fPr>
                <m:type m:val="lin"/>
              </m:fPr>
              <m:num>
                <m:sSup>
                  <m:e>
                    <m:r>
                      <w:rPr>
                        <w:rFonts w:ascii="Cambria Math" w:hAnsi="Cambria Math"/>
                      </w:rPr>
                      <m:t xml:space="preserve">L</m:t>
                    </m:r>
                  </m:e>
                  <m:sup>
                    <m:r>
                      <w:rPr>
                        <w:rFonts w:ascii="Cambria Math" w:hAnsi="Cambria Math"/>
                      </w:rPr>
                      <m:t xml:space="preserve">2</m:t>
                    </m:r>
                  </m:sup>
                </m:sSup>
              </m:num>
              <m:den>
                <m:sSub>
                  <m:e>
                    <m:r>
                      <w:rPr>
                        <w:rFonts w:ascii="Cambria Math" w:hAnsi="Cambria Math"/>
                      </w:rPr>
                      <m:t xml:space="preserve">D</m:t>
                    </m:r>
                  </m:e>
                  <m:sub>
                    <m:r>
                      <w:rPr>
                        <w:rFonts w:ascii="Cambria Math" w:hAnsi="Cambria Math"/>
                      </w:rPr>
                      <m:t xml:space="preserve">gas</m:t>
                    </m:r>
                  </m:sub>
                </m:sSub>
              </m:den>
            </m:f>
          </m:den>
        </m:f>
      </m:oMath>
    </w:p>
    <w:p>
      <w:pPr>
        <w:pStyle w:val="TextBody"/>
        <w:bidi w:val="0"/>
        <w:jc w:val="left"/>
        <w:rPr/>
      </w:pPr>
      <w:r>
        <w:rPr/>
        <w:t>With the chosen scales, Ra</w:t>
      </w:r>
      <w:r>
        <w:rPr>
          <w:vertAlign w:val="superscript"/>
        </w:rPr>
        <w:t>∗</w:t>
      </w:r>
      <w:r>
        <w:rPr/>
        <w:t>∼1, Ja∼1, and Da∼1, ensuring that all terms in the dimensionless equations are of order unity.</w:t>
      </w:r>
    </w:p>
    <w:p>
      <w:pPr>
        <w:pStyle w:val="TextBody"/>
        <w:bidi w:val="0"/>
        <w:jc w:val="left"/>
        <w:rPr/>
      </w:pPr>
      <w:r>
        <w:rPr/>
      </w:r>
    </w:p>
    <w:p>
      <w:pPr>
        <w:pStyle w:val="Heading3"/>
        <w:bidi w:val="0"/>
        <w:ind w:left="0" w:hanging="0"/>
        <w:jc w:val="left"/>
        <w:rPr/>
      </w:pPr>
      <w:r>
        <w:rPr/>
        <w:t>S2.2 Correspondence between dimensionless and physical parameters</w:t>
      </w:r>
    </w:p>
    <w:p>
      <w:pPr>
        <w:pStyle w:val="TextBody"/>
        <w:bidi w:val="0"/>
        <w:jc w:val="left"/>
        <w:rPr/>
      </w:pPr>
      <w:r>
        <w:rPr>
          <w:rStyle w:val="StrongEmphasis"/>
        </w:rPr>
        <w:t>Table S2.1</w:t>
      </w:r>
      <w:r>
        <w:rPr/>
        <w:t xml:space="preserve"> provides the mapping from the dimensionless parameter values used in the TECP code to their approximate physical equivalents, based on the above scaling. Parameters that are intrinsically dimensionless (e.g., Hill coefficient </w:t>
      </w:r>
      <w:r>
        <w:rPr>
          <w:i/>
          <w:iCs/>
        </w:rPr>
        <w:t>n</w:t>
      </w:r>
      <w:r>
        <w:rPr/>
        <w:t>, volume fractions) are indicated as such.</w:t>
      </w:r>
    </w:p>
    <w:p>
      <w:pPr>
        <w:pStyle w:val="TextBody"/>
        <w:bidi w:val="0"/>
        <w:jc w:val="left"/>
        <w:rPr/>
      </w:pPr>
      <w:r>
        <w:rPr/>
      </w:r>
    </w:p>
    <w:p>
      <w:pPr>
        <w:pStyle w:val="TextBody"/>
        <w:bidi w:val="0"/>
        <w:jc w:val="left"/>
        <w:rPr/>
      </w:pPr>
      <w:r>
        <w:rPr>
          <w:rStyle w:val="StrongEmphasis"/>
        </w:rPr>
        <w:t>Table S2.1 – Dimensionless-to-physical parameter correspondence.</w:t>
      </w:r>
    </w:p>
    <w:tbl>
      <w:tblPr>
        <w:tblW w:w="9638" w:type="dxa"/>
        <w:jc w:val="center"/>
        <w:tblInd w:w="0" w:type="dxa"/>
        <w:tblLayout w:type="fixed"/>
        <w:tblCellMar>
          <w:top w:w="28" w:type="dxa"/>
          <w:left w:w="28" w:type="dxa"/>
          <w:bottom w:w="28" w:type="dxa"/>
          <w:right w:w="28" w:type="dxa"/>
        </w:tblCellMar>
      </w:tblPr>
      <w:tblGrid>
        <w:gridCol w:w="1961"/>
        <w:gridCol w:w="2183"/>
        <w:gridCol w:w="2888"/>
        <w:gridCol w:w="2605"/>
      </w:tblGrid>
      <w:tr>
        <w:trPr>
          <w:tblHeader w:val="true"/>
        </w:trPr>
        <w:tc>
          <w:tcPr>
            <w:tcW w:w="1961" w:type="dxa"/>
            <w:tcBorders>
              <w:top w:val="single" w:sz="2" w:space="0" w:color="000000"/>
              <w:bottom w:val="single" w:sz="6" w:space="0" w:color="000000"/>
            </w:tcBorders>
            <w:vAlign w:val="center"/>
          </w:tcPr>
          <w:p>
            <w:pPr>
              <w:pStyle w:val="TableHeading"/>
              <w:widowControl w:val="false"/>
              <w:bidi w:val="0"/>
              <w:rPr/>
            </w:pPr>
            <w:r>
              <w:rPr/>
              <w:t>Dimensionless parameter</w:t>
            </w:r>
          </w:p>
        </w:tc>
        <w:tc>
          <w:tcPr>
            <w:tcW w:w="2183" w:type="dxa"/>
            <w:tcBorders>
              <w:top w:val="single" w:sz="2" w:space="0" w:color="000000"/>
              <w:bottom w:val="single" w:sz="6" w:space="0" w:color="000000"/>
            </w:tcBorders>
            <w:vAlign w:val="center"/>
          </w:tcPr>
          <w:p>
            <w:pPr>
              <w:pStyle w:val="TableHeading"/>
              <w:widowControl w:val="false"/>
              <w:bidi w:val="0"/>
              <w:rPr/>
            </w:pPr>
            <w:r>
              <w:rPr/>
              <w:t>Code value</w:t>
            </w:r>
          </w:p>
        </w:tc>
        <w:tc>
          <w:tcPr>
            <w:tcW w:w="2888" w:type="dxa"/>
            <w:tcBorders>
              <w:top w:val="single" w:sz="2" w:space="0" w:color="000000"/>
              <w:bottom w:val="single" w:sz="6" w:space="0" w:color="000000"/>
            </w:tcBorders>
            <w:vAlign w:val="center"/>
          </w:tcPr>
          <w:p>
            <w:pPr>
              <w:pStyle w:val="TableHeading"/>
              <w:widowControl w:val="false"/>
              <w:bidi w:val="0"/>
              <w:rPr/>
            </w:pPr>
            <w:r>
              <w:rPr/>
              <w:t>Physical equivalent (approx.)</w:t>
            </w:r>
          </w:p>
        </w:tc>
        <w:tc>
          <w:tcPr>
            <w:tcW w:w="2605" w:type="dxa"/>
            <w:tcBorders>
              <w:top w:val="single" w:sz="2" w:space="0" w:color="000000"/>
              <w:bottom w:val="single" w:sz="6" w:space="0" w:color="000000"/>
            </w:tcBorders>
            <w:vAlign w:val="center"/>
          </w:tcPr>
          <w:p>
            <w:pPr>
              <w:pStyle w:val="TableHeading"/>
              <w:widowControl w:val="false"/>
              <w:bidi w:val="0"/>
              <w:rPr/>
            </w:pPr>
            <w:r>
              <w:rPr/>
              <w:t>Comments</w:t>
            </w:r>
          </w:p>
        </w:tc>
      </w:tr>
      <w:tr>
        <w:trPr/>
        <w:tc>
          <w:tcPr>
            <w:tcW w:w="1961" w:type="dxa"/>
            <w:tcBorders/>
            <w:vAlign w:val="center"/>
          </w:tcPr>
          <w:p>
            <w:pPr>
              <w:pStyle w:val="TableContents"/>
              <w:widowControl w:val="false"/>
              <w:bidi w:val="0"/>
              <w:jc w:val="left"/>
              <w:rPr/>
            </w:pPr>
            <w:r>
              <w:rPr/>
              <w:t>P</w:t>
            </w:r>
            <w:r>
              <w:rPr>
                <w:vertAlign w:val="subscript"/>
              </w:rPr>
              <w:t>elt</w:t>
            </w:r>
          </w:p>
        </w:tc>
        <w:tc>
          <w:tcPr>
            <w:tcW w:w="2183" w:type="dxa"/>
            <w:tcBorders/>
            <w:vAlign w:val="center"/>
          </w:tcPr>
          <w:p>
            <w:pPr>
              <w:pStyle w:val="TableContents"/>
              <w:widowControl w:val="false"/>
              <w:bidi w:val="0"/>
              <w:jc w:val="left"/>
              <w:rPr/>
            </w:pPr>
            <w:r>
              <w:rPr/>
              <w:t>0.01</w:t>
            </w:r>
          </w:p>
        </w:tc>
        <w:tc>
          <w:tcPr>
            <w:tcW w:w="2888" w:type="dxa"/>
            <w:tcBorders/>
            <w:vAlign w:val="center"/>
          </w:tcPr>
          <w:p>
            <w:pPr>
              <w:pStyle w:val="TableContents"/>
              <w:widowControl w:val="false"/>
              <w:bidi w:val="0"/>
              <w:jc w:val="left"/>
              <w:rPr/>
            </w:pPr>
            <w:r>
              <w:rPr/>
              <w:t>∼</w:t>
            </w:r>
            <w:r>
              <w:rPr/>
              <w:t>5 W m</w:t>
            </w:r>
            <w:r>
              <w:rPr>
                <w:vertAlign w:val="superscript"/>
              </w:rPr>
              <w:t>-3</w:t>
            </w:r>
          </w:p>
        </w:tc>
        <w:tc>
          <w:tcPr>
            <w:tcW w:w="2605" w:type="dxa"/>
            <w:tcBorders/>
            <w:vAlign w:val="center"/>
          </w:tcPr>
          <w:p>
            <w:pPr>
              <w:pStyle w:val="TableContents"/>
              <w:widowControl w:val="false"/>
              <w:bidi w:val="0"/>
              <w:jc w:val="left"/>
              <w:rPr/>
            </w:pPr>
            <w:r>
              <w:rPr/>
              <w:t>Peltier cooling power density</w:t>
            </w:r>
          </w:p>
        </w:tc>
      </w:tr>
      <w:tr>
        <w:trPr/>
        <w:tc>
          <w:tcPr>
            <w:tcW w:w="1961" w:type="dxa"/>
            <w:tcBorders/>
            <w:vAlign w:val="center"/>
          </w:tcPr>
          <w:p>
            <w:pPr>
              <w:pStyle w:val="TableContents"/>
              <w:widowControl w:val="false"/>
              <w:bidi w:val="0"/>
              <w:jc w:val="left"/>
              <w:rPr/>
            </w:pPr>
            <w:r>
              <w:rPr/>
              <w:t>L</w:t>
            </w:r>
            <w:r>
              <w:rPr>
                <w:vertAlign w:val="subscript"/>
              </w:rPr>
              <w:t>v</w:t>
            </w:r>
          </w:p>
        </w:tc>
        <w:tc>
          <w:tcPr>
            <w:tcW w:w="2183" w:type="dxa"/>
            <w:tcBorders/>
            <w:vAlign w:val="center"/>
          </w:tcPr>
          <w:p>
            <w:pPr>
              <w:pStyle w:val="TableContents"/>
              <w:widowControl w:val="false"/>
              <w:bidi w:val="0"/>
              <w:jc w:val="left"/>
              <w:rPr/>
            </w:pPr>
            <w:r>
              <w:rPr/>
              <w:t>0.5</w:t>
            </w:r>
          </w:p>
        </w:tc>
        <w:tc>
          <w:tcPr>
            <w:tcW w:w="2888" w:type="dxa"/>
            <w:tcBorders/>
            <w:vAlign w:val="center"/>
          </w:tcPr>
          <w:p>
            <w:pPr>
              <w:pStyle w:val="TableContents"/>
              <w:widowControl w:val="false"/>
              <w:bidi w:val="0"/>
              <w:jc w:val="left"/>
              <w:rPr/>
            </w:pPr>
            <w:r>
              <w:rPr/>
              <w:t>∼</w:t>
            </w:r>
            <w:r>
              <w:rPr/>
              <w:t>1.13×10</w:t>
            </w:r>
            <w:r>
              <w:rPr>
                <w:vertAlign w:val="superscript"/>
              </w:rPr>
              <w:t>6</w:t>
            </w:r>
            <w:r>
              <w:rPr/>
              <w:t> J kg</w:t>
            </w:r>
            <w:r>
              <w:rPr>
                <w:vertAlign w:val="superscript"/>
              </w:rPr>
              <w:t>-1</w:t>
            </w:r>
          </w:p>
        </w:tc>
        <w:tc>
          <w:tcPr>
            <w:tcW w:w="2605" w:type="dxa"/>
            <w:tcBorders/>
            <w:vAlign w:val="center"/>
          </w:tcPr>
          <w:p>
            <w:pPr>
              <w:pStyle w:val="TableContents"/>
              <w:widowControl w:val="false"/>
              <w:bidi w:val="0"/>
              <w:jc w:val="left"/>
              <w:rPr/>
            </w:pPr>
            <w:r>
              <w:rPr/>
              <w:t>Effective latent heat of condensation</w:t>
            </w:r>
          </w:p>
        </w:tc>
      </w:tr>
      <w:tr>
        <w:trPr/>
        <w:tc>
          <w:tcPr>
            <w:tcW w:w="1961" w:type="dxa"/>
            <w:tcBorders/>
            <w:vAlign w:val="center"/>
          </w:tcPr>
          <w:p>
            <w:pPr>
              <w:pStyle w:val="TableContents"/>
              <w:widowControl w:val="false"/>
              <w:bidi w:val="0"/>
              <w:jc w:val="left"/>
              <w:rPr/>
            </w:pPr>
            <w:r>
              <w:rPr/>
              <w:t>D</w:t>
            </w:r>
            <w:r>
              <w:rPr>
                <w:vertAlign w:val="subscript"/>
              </w:rPr>
              <w:t>gas</w:t>
            </w:r>
          </w:p>
        </w:tc>
        <w:tc>
          <w:tcPr>
            <w:tcW w:w="2183" w:type="dxa"/>
            <w:tcBorders/>
            <w:vAlign w:val="center"/>
          </w:tcPr>
          <w:p>
            <w:pPr>
              <w:pStyle w:val="TableContents"/>
              <w:widowControl w:val="false"/>
              <w:bidi w:val="0"/>
              <w:jc w:val="left"/>
              <w:rPr/>
            </w:pPr>
            <w:r>
              <w:rPr/>
              <w:t>2×10</w:t>
            </w:r>
            <w:r>
              <w:rPr>
                <w:vertAlign w:val="superscript"/>
              </w:rPr>
              <w:t>−5</w:t>
            </w:r>
          </w:p>
        </w:tc>
        <w:tc>
          <w:tcPr>
            <w:tcW w:w="2888" w:type="dxa"/>
            <w:tcBorders/>
            <w:vAlign w:val="center"/>
          </w:tcPr>
          <w:p>
            <w:pPr>
              <w:pStyle w:val="TableContents"/>
              <w:widowControl w:val="false"/>
              <w:bidi w:val="0"/>
              <w:jc w:val="left"/>
              <w:rPr/>
            </w:pPr>
            <w:r>
              <w:rPr/>
              <w:t>2×10</w:t>
            </w:r>
            <w:r>
              <w:rPr>
                <w:vertAlign w:val="superscript"/>
              </w:rPr>
              <w:t>−5</w:t>
            </w:r>
            <w:r>
              <w:rPr/>
              <w:t> m</w:t>
            </w:r>
            <w:r>
              <w:rPr>
                <w:vertAlign w:val="superscript"/>
              </w:rPr>
              <w:t>2</w:t>
            </w:r>
            <w:r>
              <w:rPr/>
              <w:t> s</w:t>
            </w:r>
            <w:r>
              <w:rPr>
                <w:vertAlign w:val="superscript"/>
              </w:rPr>
              <w:t>-1</w:t>
            </w:r>
          </w:p>
        </w:tc>
        <w:tc>
          <w:tcPr>
            <w:tcW w:w="2605" w:type="dxa"/>
            <w:tcBorders/>
            <w:vAlign w:val="center"/>
          </w:tcPr>
          <w:p>
            <w:pPr>
              <w:pStyle w:val="TableContents"/>
              <w:widowControl w:val="false"/>
              <w:bidi w:val="0"/>
              <w:jc w:val="left"/>
              <w:rPr/>
            </w:pPr>
            <w:r>
              <w:rPr/>
              <w:t>Gas diffusivity (same order as physical value)</w:t>
            </w:r>
          </w:p>
        </w:tc>
      </w:tr>
      <w:tr>
        <w:trPr/>
        <w:tc>
          <w:tcPr>
            <w:tcW w:w="1961" w:type="dxa"/>
            <w:tcBorders/>
            <w:vAlign w:val="center"/>
          </w:tcPr>
          <w:p>
            <w:pPr>
              <w:pStyle w:val="TableContents"/>
              <w:widowControl w:val="false"/>
              <w:bidi w:val="0"/>
              <w:jc w:val="left"/>
              <w:rPr/>
            </w:pPr>
            <w:r>
              <w:rPr/>
              <w:t>P</w:t>
            </w:r>
            <w:r>
              <w:rPr>
                <w:vertAlign w:val="subscript"/>
              </w:rPr>
              <w:t>max</w:t>
            </w:r>
          </w:p>
        </w:tc>
        <w:tc>
          <w:tcPr>
            <w:tcW w:w="2183" w:type="dxa"/>
            <w:tcBorders/>
            <w:vAlign w:val="center"/>
          </w:tcPr>
          <w:p>
            <w:pPr>
              <w:pStyle w:val="TableContents"/>
              <w:widowControl w:val="false"/>
              <w:bidi w:val="0"/>
              <w:jc w:val="left"/>
              <w:rPr/>
            </w:pPr>
            <w:r>
              <w:rPr/>
              <w:t>0.01</w:t>
            </w:r>
          </w:p>
        </w:tc>
        <w:tc>
          <w:tcPr>
            <w:tcW w:w="2888" w:type="dxa"/>
            <w:tcBorders/>
            <w:vAlign w:val="center"/>
          </w:tcPr>
          <w:p>
            <w:pPr>
              <w:pStyle w:val="TableContents"/>
              <w:widowControl w:val="false"/>
              <w:bidi w:val="0"/>
              <w:jc w:val="left"/>
              <w:rPr/>
            </w:pPr>
            <w:r>
              <w:rPr/>
              <w:t>∼</w:t>
            </w:r>
            <w:r>
              <w:rPr/>
              <w:t>5×10</w:t>
            </w:r>
            <w:r>
              <w:rPr>
                <w:vertAlign w:val="superscript"/>
              </w:rPr>
              <w:t>−4</w:t>
            </w:r>
            <w:r>
              <w:rPr/>
              <w:t> s</w:t>
            </w:r>
            <w:r>
              <w:rPr>
                <w:vertAlign w:val="superscript"/>
              </w:rPr>
              <w:t>-1</w:t>
            </w:r>
          </w:p>
        </w:tc>
        <w:tc>
          <w:tcPr>
            <w:tcW w:w="2605" w:type="dxa"/>
            <w:tcBorders/>
            <w:vAlign w:val="center"/>
          </w:tcPr>
          <w:p>
            <w:pPr>
              <w:pStyle w:val="TableContents"/>
              <w:widowControl w:val="false"/>
              <w:bidi w:val="0"/>
              <w:jc w:val="left"/>
              <w:rPr/>
            </w:pPr>
            <w:r>
              <w:rPr/>
              <w:t>Maximum photosynthetic rate</w:t>
            </w:r>
          </w:p>
        </w:tc>
      </w:tr>
      <w:tr>
        <w:trPr/>
        <w:tc>
          <w:tcPr>
            <w:tcW w:w="1961" w:type="dxa"/>
            <w:tcBorders/>
            <w:vAlign w:val="center"/>
          </w:tcPr>
          <w:p>
            <w:pPr>
              <w:pStyle w:val="TableContents"/>
              <w:widowControl w:val="false"/>
              <w:bidi w:val="0"/>
              <w:jc w:val="left"/>
              <w:rPr/>
            </w:pPr>
            <w:r>
              <w:rPr/>
              <w:t>R</w:t>
            </w:r>
            <w:r>
              <w:rPr>
                <w:vertAlign w:val="subscript"/>
              </w:rPr>
              <w:t>maint</w:t>
            </w:r>
          </w:p>
        </w:tc>
        <w:tc>
          <w:tcPr>
            <w:tcW w:w="2183" w:type="dxa"/>
            <w:tcBorders/>
            <w:vAlign w:val="center"/>
          </w:tcPr>
          <w:p>
            <w:pPr>
              <w:pStyle w:val="TableContents"/>
              <w:widowControl w:val="false"/>
              <w:bidi w:val="0"/>
              <w:jc w:val="left"/>
              <w:rPr/>
            </w:pPr>
            <w:r>
              <w:rPr/>
              <w:t>0.002</w:t>
            </w:r>
          </w:p>
        </w:tc>
        <w:tc>
          <w:tcPr>
            <w:tcW w:w="2888" w:type="dxa"/>
            <w:tcBorders/>
            <w:vAlign w:val="center"/>
          </w:tcPr>
          <w:p>
            <w:pPr>
              <w:pStyle w:val="TableContents"/>
              <w:widowControl w:val="false"/>
              <w:bidi w:val="0"/>
              <w:jc w:val="left"/>
              <w:rPr/>
            </w:pPr>
            <w:r>
              <w:rPr/>
              <w:t>∼</w:t>
            </w:r>
            <w:r>
              <w:rPr/>
              <w:t>10</w:t>
            </w:r>
            <w:r>
              <w:rPr>
                <w:vertAlign w:val="superscript"/>
              </w:rPr>
              <w:t>−4</w:t>
            </w:r>
            <w:r>
              <w:rPr/>
              <w:t> s</w:t>
            </w:r>
            <w:r>
              <w:rPr>
                <w:vertAlign w:val="superscript"/>
              </w:rPr>
              <w:t>-1</w:t>
            </w:r>
          </w:p>
        </w:tc>
        <w:tc>
          <w:tcPr>
            <w:tcW w:w="2605" w:type="dxa"/>
            <w:tcBorders/>
            <w:vAlign w:val="center"/>
          </w:tcPr>
          <w:p>
            <w:pPr>
              <w:pStyle w:val="TableContents"/>
              <w:widowControl w:val="false"/>
              <w:bidi w:val="0"/>
              <w:jc w:val="left"/>
              <w:rPr/>
            </w:pPr>
            <w:r>
              <w:rPr/>
              <w:t>Maintenance respiration rate</w:t>
            </w:r>
          </w:p>
        </w:tc>
      </w:tr>
      <w:tr>
        <w:trPr/>
        <w:tc>
          <w:tcPr>
            <w:tcW w:w="1961" w:type="dxa"/>
            <w:tcBorders/>
            <w:vAlign w:val="center"/>
          </w:tcPr>
          <w:p>
            <w:pPr>
              <w:pStyle w:val="TableContents"/>
              <w:widowControl w:val="false"/>
              <w:bidi w:val="0"/>
              <w:jc w:val="left"/>
              <w:rPr/>
            </w:pPr>
            <w:r>
              <w:rPr/>
              <w:t>γ</w:t>
            </w:r>
            <w:r>
              <w:rPr>
                <w:vertAlign w:val="subscript"/>
              </w:rPr>
              <w:t>M</w:t>
            </w:r>
          </w:p>
        </w:tc>
        <w:tc>
          <w:tcPr>
            <w:tcW w:w="2183" w:type="dxa"/>
            <w:tcBorders/>
            <w:vAlign w:val="center"/>
          </w:tcPr>
          <w:p>
            <w:pPr>
              <w:pStyle w:val="TableContents"/>
              <w:widowControl w:val="false"/>
              <w:bidi w:val="0"/>
              <w:jc w:val="left"/>
              <w:rPr/>
            </w:pPr>
            <w:r>
              <w:rPr/>
              <w:t>0.05 (dimensionless), 0.08 (V10)</w:t>
            </w:r>
          </w:p>
        </w:tc>
        <w:tc>
          <w:tcPr>
            <w:tcW w:w="2888" w:type="dxa"/>
            <w:tcBorders/>
            <w:vAlign w:val="center"/>
          </w:tcPr>
          <w:p>
            <w:pPr>
              <w:pStyle w:val="TableContents"/>
              <w:widowControl w:val="false"/>
              <w:bidi w:val="0"/>
              <w:jc w:val="left"/>
              <w:rPr/>
            </w:pPr>
            <w:r>
              <w:rPr/>
              <w:t>∼</w:t>
            </w:r>
            <w:r>
              <w:rPr/>
              <w:t>5×10</w:t>
            </w:r>
            <w:r>
              <w:rPr>
                <w:vertAlign w:val="superscript"/>
              </w:rPr>
              <w:t>−4</w:t>
            </w:r>
            <w:r>
              <w:rPr/>
              <w:t> s</w:t>
            </w:r>
            <w:r>
              <w:rPr>
                <w:vertAlign w:val="superscript"/>
              </w:rPr>
              <w:t>-1</w:t>
            </w:r>
            <w:r>
              <w:rPr/>
              <w:t xml:space="preserve"> (dimensionless), ∼4.8×10</w:t>
            </w:r>
            <w:r>
              <w:rPr>
                <w:vertAlign w:val="superscript"/>
              </w:rPr>
              <w:t>−6</w:t>
            </w:r>
            <w:r>
              <w:rPr/>
              <w:t> s</w:t>
            </w:r>
            <w:r>
              <w:rPr>
                <w:vertAlign w:val="superscript"/>
              </w:rPr>
              <w:t>-1</w:t>
            </w:r>
            <w:r>
              <w:rPr/>
              <w:t xml:space="preserve"> (V10)</w:t>
            </w:r>
          </w:p>
        </w:tc>
        <w:tc>
          <w:tcPr>
            <w:tcW w:w="2605" w:type="dxa"/>
            <w:tcBorders/>
            <w:vAlign w:val="center"/>
          </w:tcPr>
          <w:p>
            <w:pPr>
              <w:pStyle w:val="TableContents"/>
              <w:widowControl w:val="false"/>
              <w:bidi w:val="0"/>
              <w:jc w:val="left"/>
              <w:rPr/>
            </w:pPr>
            <w:r>
              <w:rPr/>
              <w:t>Mycelial growth rate</w:t>
            </w:r>
          </w:p>
        </w:tc>
      </w:tr>
      <w:tr>
        <w:trPr/>
        <w:tc>
          <w:tcPr>
            <w:tcW w:w="1961" w:type="dxa"/>
            <w:tcBorders/>
            <w:vAlign w:val="center"/>
          </w:tcPr>
          <w:p>
            <w:pPr>
              <w:pStyle w:val="TableContents"/>
              <w:widowControl w:val="false"/>
              <w:bidi w:val="0"/>
              <w:jc w:val="left"/>
              <w:rPr/>
            </w:pPr>
            <w:r>
              <w:rPr/>
              <w:t>λ</w:t>
            </w:r>
            <w:r>
              <w:rPr>
                <w:vertAlign w:val="subscript"/>
              </w:rPr>
              <w:t>S</w:t>
            </w:r>
          </w:p>
        </w:tc>
        <w:tc>
          <w:tcPr>
            <w:tcW w:w="2183" w:type="dxa"/>
            <w:tcBorders/>
            <w:vAlign w:val="center"/>
          </w:tcPr>
          <w:p>
            <w:pPr>
              <w:pStyle w:val="TableContents"/>
              <w:widowControl w:val="false"/>
              <w:bidi w:val="0"/>
              <w:jc w:val="left"/>
              <w:rPr/>
            </w:pPr>
            <w:r>
              <w:rPr/>
              <w:t>0.1 (dimensionless), 0.08 (V10)</w:t>
            </w:r>
          </w:p>
        </w:tc>
        <w:tc>
          <w:tcPr>
            <w:tcW w:w="2888" w:type="dxa"/>
            <w:tcBorders/>
            <w:vAlign w:val="center"/>
          </w:tcPr>
          <w:p>
            <w:pPr>
              <w:pStyle w:val="TableContents"/>
              <w:widowControl w:val="false"/>
              <w:bidi w:val="0"/>
              <w:jc w:val="left"/>
              <w:rPr/>
            </w:pPr>
            <w:r>
              <w:rPr/>
              <w:t>∼</w:t>
            </w:r>
            <w:r>
              <w:rPr/>
              <w:t>10</w:t>
            </w:r>
            <w:r>
              <w:rPr>
                <w:vertAlign w:val="superscript"/>
              </w:rPr>
              <w:t>−3</w:t>
            </w:r>
            <w:r>
              <w:rPr/>
              <w:t> s</w:t>
            </w:r>
            <w:r>
              <w:rPr>
                <w:vertAlign w:val="superscript"/>
              </w:rPr>
              <w:t>-1</w:t>
            </w:r>
            <w:r>
              <w:rPr/>
              <w:t xml:space="preserve"> (dimensionless), ∼4.8×10</w:t>
            </w:r>
            <w:r>
              <w:rPr>
                <w:vertAlign w:val="superscript"/>
              </w:rPr>
              <w:t>−6</w:t>
            </w:r>
            <w:r>
              <w:rPr/>
              <w:t> s</w:t>
            </w:r>
            <w:r>
              <w:rPr>
                <w:vertAlign w:val="superscript"/>
              </w:rPr>
              <w:t>-1</w:t>
            </w:r>
            <w:r>
              <w:rPr/>
              <w:t xml:space="preserve"> (V10)</w:t>
            </w:r>
          </w:p>
        </w:tc>
        <w:tc>
          <w:tcPr>
            <w:tcW w:w="2605" w:type="dxa"/>
            <w:tcBorders/>
            <w:vAlign w:val="center"/>
          </w:tcPr>
          <w:p>
            <w:pPr>
              <w:pStyle w:val="TableContents"/>
              <w:widowControl w:val="false"/>
              <w:bidi w:val="0"/>
              <w:jc w:val="left"/>
              <w:rPr/>
            </w:pPr>
            <w:r>
              <w:rPr/>
              <w:t>Signal decay rate</w:t>
            </w:r>
          </w:p>
        </w:tc>
      </w:tr>
      <w:tr>
        <w:trPr/>
        <w:tc>
          <w:tcPr>
            <w:tcW w:w="1961" w:type="dxa"/>
            <w:tcBorders/>
            <w:vAlign w:val="center"/>
          </w:tcPr>
          <w:p>
            <w:pPr>
              <w:pStyle w:val="TableContents"/>
              <w:widowControl w:val="false"/>
              <w:bidi w:val="0"/>
              <w:jc w:val="left"/>
              <w:rPr/>
            </w:pPr>
            <w:r>
              <w:rPr/>
              <w:t>k</w:t>
            </w:r>
            <w:r>
              <w:rPr>
                <w:vertAlign w:val="subscript"/>
              </w:rPr>
              <w:t>prod</w:t>
            </w:r>
          </w:p>
        </w:tc>
        <w:tc>
          <w:tcPr>
            <w:tcW w:w="2183" w:type="dxa"/>
            <w:tcBorders/>
            <w:vAlign w:val="center"/>
          </w:tcPr>
          <w:p>
            <w:pPr>
              <w:pStyle w:val="TableContents"/>
              <w:widowControl w:val="false"/>
              <w:bidi w:val="0"/>
              <w:jc w:val="left"/>
              <w:rPr/>
            </w:pPr>
            <w:r>
              <w:rPr/>
              <w:t>0.01</w:t>
            </w:r>
          </w:p>
        </w:tc>
        <w:tc>
          <w:tcPr>
            <w:tcW w:w="2888" w:type="dxa"/>
            <w:tcBorders/>
            <w:vAlign w:val="center"/>
          </w:tcPr>
          <w:p>
            <w:pPr>
              <w:pStyle w:val="TableContents"/>
              <w:widowControl w:val="false"/>
              <w:bidi w:val="0"/>
              <w:jc w:val="left"/>
              <w:rPr/>
            </w:pPr>
            <w:r>
              <w:rPr/>
              <w:t>∼</w:t>
            </w:r>
            <w:r>
              <w:rPr/>
              <w:t>10</w:t>
            </w:r>
            <w:r>
              <w:rPr>
                <w:vertAlign w:val="superscript"/>
              </w:rPr>
              <w:t>−4</w:t>
            </w:r>
            <w:r>
              <w:rPr/>
              <w:t> s</w:t>
            </w:r>
            <w:r>
              <w:rPr>
                <w:vertAlign w:val="superscript"/>
              </w:rPr>
              <w:t>-1</w:t>
            </w:r>
          </w:p>
        </w:tc>
        <w:tc>
          <w:tcPr>
            <w:tcW w:w="2605" w:type="dxa"/>
            <w:tcBorders/>
            <w:vAlign w:val="center"/>
          </w:tcPr>
          <w:p>
            <w:pPr>
              <w:pStyle w:val="TableContents"/>
              <w:widowControl w:val="false"/>
              <w:bidi w:val="0"/>
              <w:jc w:val="left"/>
              <w:rPr/>
            </w:pPr>
            <w:r>
              <w:rPr/>
              <w:t>Signal production rate</w:t>
            </w:r>
          </w:p>
        </w:tc>
      </w:tr>
      <w:tr>
        <w:trPr/>
        <w:tc>
          <w:tcPr>
            <w:tcW w:w="1961" w:type="dxa"/>
            <w:tcBorders/>
            <w:vAlign w:val="center"/>
          </w:tcPr>
          <w:p>
            <w:pPr>
              <w:pStyle w:val="TableContents"/>
              <w:widowControl w:val="false"/>
              <w:bidi w:val="0"/>
              <w:jc w:val="left"/>
              <w:rPr/>
            </w:pPr>
            <w:r>
              <w:rPr/>
              <w:t>K</w:t>
            </w:r>
            <w:r>
              <w:rPr>
                <w:vertAlign w:val="subscript"/>
              </w:rPr>
              <w:t>m</w:t>
            </w:r>
          </w:p>
        </w:tc>
        <w:tc>
          <w:tcPr>
            <w:tcW w:w="2183" w:type="dxa"/>
            <w:tcBorders/>
            <w:vAlign w:val="center"/>
          </w:tcPr>
          <w:p>
            <w:pPr>
              <w:pStyle w:val="TableContents"/>
              <w:widowControl w:val="false"/>
              <w:bidi w:val="0"/>
              <w:jc w:val="left"/>
              <w:rPr/>
            </w:pPr>
            <w:r>
              <w:rPr/>
              <w:t>0.01</w:t>
            </w:r>
          </w:p>
        </w:tc>
        <w:tc>
          <w:tcPr>
            <w:tcW w:w="2888" w:type="dxa"/>
            <w:tcBorders/>
            <w:vAlign w:val="center"/>
          </w:tcPr>
          <w:p>
            <w:pPr>
              <w:pStyle w:val="TableContents"/>
              <w:widowControl w:val="false"/>
              <w:bidi w:val="0"/>
              <w:jc w:val="left"/>
              <w:rPr/>
            </w:pPr>
            <w:r>
              <w:rPr/>
              <w:t>-</w:t>
            </w:r>
          </w:p>
        </w:tc>
        <w:tc>
          <w:tcPr>
            <w:tcW w:w="2605" w:type="dxa"/>
            <w:tcBorders/>
            <w:vAlign w:val="center"/>
          </w:tcPr>
          <w:p>
            <w:pPr>
              <w:pStyle w:val="TableContents"/>
              <w:widowControl w:val="false"/>
              <w:bidi w:val="0"/>
              <w:jc w:val="left"/>
              <w:rPr/>
            </w:pPr>
            <w:r>
              <w:rPr/>
              <w:t>Half-saturation constant (dimensionless)</w:t>
            </w:r>
          </w:p>
        </w:tc>
      </w:tr>
      <w:tr>
        <w:trPr/>
        <w:tc>
          <w:tcPr>
            <w:tcW w:w="1961" w:type="dxa"/>
            <w:tcBorders/>
            <w:vAlign w:val="center"/>
          </w:tcPr>
          <w:p>
            <w:pPr>
              <w:pStyle w:val="TableContents"/>
              <w:widowControl w:val="false"/>
              <w:bidi w:val="0"/>
              <w:jc w:val="left"/>
              <w:rPr>
                <w:i/>
                <w:i/>
                <w:iCs/>
              </w:rPr>
            </w:pPr>
            <w:r>
              <w:rPr>
                <w:i/>
                <w:iCs/>
              </w:rPr>
              <w:t>n</w:t>
            </w:r>
          </w:p>
        </w:tc>
        <w:tc>
          <w:tcPr>
            <w:tcW w:w="2183" w:type="dxa"/>
            <w:tcBorders/>
            <w:vAlign w:val="center"/>
          </w:tcPr>
          <w:p>
            <w:pPr>
              <w:pStyle w:val="TableContents"/>
              <w:widowControl w:val="false"/>
              <w:bidi w:val="0"/>
              <w:jc w:val="left"/>
              <w:rPr/>
            </w:pPr>
            <w:r>
              <w:rPr/>
              <w:t>2</w:t>
            </w:r>
          </w:p>
        </w:tc>
        <w:tc>
          <w:tcPr>
            <w:tcW w:w="2888" w:type="dxa"/>
            <w:tcBorders/>
            <w:vAlign w:val="center"/>
          </w:tcPr>
          <w:p>
            <w:pPr>
              <w:pStyle w:val="TableContents"/>
              <w:widowControl w:val="false"/>
              <w:bidi w:val="0"/>
              <w:jc w:val="left"/>
              <w:rPr/>
            </w:pPr>
            <w:r>
              <w:rPr/>
              <w:t>-</w:t>
            </w:r>
          </w:p>
        </w:tc>
        <w:tc>
          <w:tcPr>
            <w:tcW w:w="2605" w:type="dxa"/>
            <w:tcBorders/>
            <w:vAlign w:val="center"/>
          </w:tcPr>
          <w:p>
            <w:pPr>
              <w:pStyle w:val="TableContents"/>
              <w:widowControl w:val="false"/>
              <w:bidi w:val="0"/>
              <w:jc w:val="left"/>
              <w:rPr/>
            </w:pPr>
            <w:r>
              <w:rPr/>
              <w:t>Hill coefficient (dimensionless)</w:t>
            </w:r>
          </w:p>
        </w:tc>
      </w:tr>
      <w:tr>
        <w:trPr/>
        <w:tc>
          <w:tcPr>
            <w:tcW w:w="1961" w:type="dxa"/>
            <w:tcBorders/>
            <w:vAlign w:val="center"/>
          </w:tcPr>
          <w:p>
            <w:pPr>
              <w:pStyle w:val="TableContents"/>
              <w:widowControl w:val="false"/>
              <w:bidi w:val="0"/>
              <w:jc w:val="left"/>
              <w:rPr/>
            </w:pPr>
            <w:r>
              <w:rPr/>
              <w:t>f</w:t>
            </w:r>
            <w:r>
              <w:rPr>
                <w:vertAlign w:val="subscript"/>
              </w:rPr>
              <w:t>photo</w:t>
            </w:r>
          </w:p>
        </w:tc>
        <w:tc>
          <w:tcPr>
            <w:tcW w:w="2183" w:type="dxa"/>
            <w:tcBorders/>
            <w:vAlign w:val="center"/>
          </w:tcPr>
          <w:p>
            <w:pPr>
              <w:pStyle w:val="TableContents"/>
              <w:widowControl w:val="false"/>
              <w:bidi w:val="0"/>
              <w:jc w:val="left"/>
              <w:rPr/>
            </w:pPr>
            <w:r>
              <w:rPr/>
              <w:t>0.20</w:t>
            </w:r>
          </w:p>
        </w:tc>
        <w:tc>
          <w:tcPr>
            <w:tcW w:w="2888" w:type="dxa"/>
            <w:tcBorders/>
            <w:vAlign w:val="center"/>
          </w:tcPr>
          <w:p>
            <w:pPr>
              <w:pStyle w:val="TableContents"/>
              <w:widowControl w:val="false"/>
              <w:bidi w:val="0"/>
              <w:jc w:val="left"/>
              <w:rPr/>
            </w:pPr>
            <w:r>
              <w:rPr/>
              <w:t>-</w:t>
            </w:r>
          </w:p>
        </w:tc>
        <w:tc>
          <w:tcPr>
            <w:tcW w:w="2605" w:type="dxa"/>
            <w:tcBorders/>
            <w:vAlign w:val="center"/>
          </w:tcPr>
          <w:p>
            <w:pPr>
              <w:pStyle w:val="TableContents"/>
              <w:widowControl w:val="false"/>
              <w:bidi w:val="0"/>
              <w:jc w:val="left"/>
              <w:rPr/>
            </w:pPr>
            <w:r>
              <w:rPr/>
              <w:t>Volume fraction (dimensionless)</w:t>
            </w:r>
          </w:p>
        </w:tc>
      </w:tr>
      <w:tr>
        <w:trPr/>
        <w:tc>
          <w:tcPr>
            <w:tcW w:w="1961" w:type="dxa"/>
            <w:tcBorders/>
            <w:vAlign w:val="center"/>
          </w:tcPr>
          <w:p>
            <w:pPr>
              <w:pStyle w:val="TableContents"/>
              <w:widowControl w:val="false"/>
              <w:bidi w:val="0"/>
              <w:jc w:val="left"/>
              <w:rPr/>
            </w:pPr>
            <w:r>
              <w:rPr/>
              <w:t>f</w:t>
            </w:r>
            <w:r>
              <w:rPr>
                <w:vertAlign w:val="subscript"/>
              </w:rPr>
              <w:t>resp</w:t>
            </w:r>
          </w:p>
        </w:tc>
        <w:tc>
          <w:tcPr>
            <w:tcW w:w="2183" w:type="dxa"/>
            <w:tcBorders/>
            <w:vAlign w:val="center"/>
          </w:tcPr>
          <w:p>
            <w:pPr>
              <w:pStyle w:val="TableContents"/>
              <w:widowControl w:val="false"/>
              <w:bidi w:val="0"/>
              <w:jc w:val="left"/>
              <w:rPr/>
            </w:pPr>
            <w:r>
              <w:rPr/>
              <w:t>0.40</w:t>
            </w:r>
          </w:p>
        </w:tc>
        <w:tc>
          <w:tcPr>
            <w:tcW w:w="2888" w:type="dxa"/>
            <w:tcBorders/>
            <w:vAlign w:val="center"/>
          </w:tcPr>
          <w:p>
            <w:pPr>
              <w:pStyle w:val="TableContents"/>
              <w:widowControl w:val="false"/>
              <w:bidi w:val="0"/>
              <w:jc w:val="left"/>
              <w:rPr/>
            </w:pPr>
            <w:r>
              <w:rPr/>
              <w:t>-</w:t>
            </w:r>
          </w:p>
        </w:tc>
        <w:tc>
          <w:tcPr>
            <w:tcW w:w="2605" w:type="dxa"/>
            <w:tcBorders/>
            <w:vAlign w:val="center"/>
          </w:tcPr>
          <w:p>
            <w:pPr>
              <w:pStyle w:val="TableContents"/>
              <w:widowControl w:val="false"/>
              <w:bidi w:val="0"/>
              <w:jc w:val="left"/>
              <w:rPr/>
            </w:pPr>
            <w:r>
              <w:rPr/>
              <w:t>Volume fraction (dimensionless)</w:t>
            </w:r>
          </w:p>
        </w:tc>
      </w:tr>
      <w:tr>
        <w:trPr/>
        <w:tc>
          <w:tcPr>
            <w:tcW w:w="1961" w:type="dxa"/>
            <w:tcBorders/>
            <w:vAlign w:val="center"/>
          </w:tcPr>
          <w:p>
            <w:pPr>
              <w:pStyle w:val="TableContents"/>
              <w:widowControl w:val="false"/>
              <w:bidi w:val="0"/>
              <w:jc w:val="left"/>
              <w:rPr/>
            </w:pPr>
            <w:r>
              <w:rPr/>
              <w:t>f</w:t>
            </w:r>
            <w:r>
              <w:rPr>
                <w:vertAlign w:val="subscript"/>
              </w:rPr>
              <w:t>transp</w:t>
            </w:r>
          </w:p>
        </w:tc>
        <w:tc>
          <w:tcPr>
            <w:tcW w:w="2183" w:type="dxa"/>
            <w:tcBorders/>
            <w:vAlign w:val="center"/>
          </w:tcPr>
          <w:p>
            <w:pPr>
              <w:pStyle w:val="TableContents"/>
              <w:widowControl w:val="false"/>
              <w:bidi w:val="0"/>
              <w:jc w:val="left"/>
              <w:rPr/>
            </w:pPr>
            <w:r>
              <w:rPr/>
              <w:t>0.20</w:t>
            </w:r>
          </w:p>
        </w:tc>
        <w:tc>
          <w:tcPr>
            <w:tcW w:w="2888" w:type="dxa"/>
            <w:tcBorders/>
            <w:vAlign w:val="center"/>
          </w:tcPr>
          <w:p>
            <w:pPr>
              <w:pStyle w:val="TableContents"/>
              <w:widowControl w:val="false"/>
              <w:bidi w:val="0"/>
              <w:jc w:val="left"/>
              <w:rPr/>
            </w:pPr>
            <w:r>
              <w:rPr/>
              <w:t>-</w:t>
            </w:r>
          </w:p>
        </w:tc>
        <w:tc>
          <w:tcPr>
            <w:tcW w:w="2605" w:type="dxa"/>
            <w:tcBorders/>
            <w:vAlign w:val="center"/>
          </w:tcPr>
          <w:p>
            <w:pPr>
              <w:pStyle w:val="TableContents"/>
              <w:widowControl w:val="false"/>
              <w:bidi w:val="0"/>
              <w:jc w:val="left"/>
              <w:rPr/>
            </w:pPr>
            <w:r>
              <w:rPr/>
              <w:t>Volume fraction (dimensionless)</w:t>
            </w:r>
          </w:p>
        </w:tc>
      </w:tr>
      <w:tr>
        <w:trPr/>
        <w:tc>
          <w:tcPr>
            <w:tcW w:w="1961" w:type="dxa"/>
            <w:tcBorders/>
            <w:vAlign w:val="center"/>
          </w:tcPr>
          <w:p>
            <w:pPr>
              <w:pStyle w:val="TableContents"/>
              <w:widowControl w:val="false"/>
              <w:bidi w:val="0"/>
              <w:jc w:val="left"/>
              <w:rPr/>
            </w:pPr>
            <w:r>
              <w:rPr/>
              <w:t>f</w:t>
            </w:r>
            <w:r>
              <w:rPr>
                <w:vertAlign w:val="subscript"/>
              </w:rPr>
              <w:t>uptake</w:t>
            </w:r>
          </w:p>
        </w:tc>
        <w:tc>
          <w:tcPr>
            <w:tcW w:w="2183" w:type="dxa"/>
            <w:tcBorders/>
            <w:vAlign w:val="center"/>
          </w:tcPr>
          <w:p>
            <w:pPr>
              <w:pStyle w:val="TableContents"/>
              <w:widowControl w:val="false"/>
              <w:bidi w:val="0"/>
              <w:jc w:val="left"/>
              <w:rPr/>
            </w:pPr>
            <w:r>
              <w:rPr/>
              <w:t>0.30</w:t>
            </w:r>
          </w:p>
        </w:tc>
        <w:tc>
          <w:tcPr>
            <w:tcW w:w="2888" w:type="dxa"/>
            <w:tcBorders/>
            <w:vAlign w:val="center"/>
          </w:tcPr>
          <w:p>
            <w:pPr>
              <w:pStyle w:val="TableContents"/>
              <w:widowControl w:val="false"/>
              <w:bidi w:val="0"/>
              <w:jc w:val="left"/>
              <w:rPr/>
            </w:pPr>
            <w:r>
              <w:rPr/>
              <w:t>-</w:t>
            </w:r>
          </w:p>
        </w:tc>
        <w:tc>
          <w:tcPr>
            <w:tcW w:w="2605" w:type="dxa"/>
            <w:tcBorders/>
            <w:vAlign w:val="center"/>
          </w:tcPr>
          <w:p>
            <w:pPr>
              <w:pStyle w:val="TableContents"/>
              <w:widowControl w:val="false"/>
              <w:bidi w:val="0"/>
              <w:jc w:val="left"/>
              <w:rPr/>
            </w:pPr>
            <w:r>
              <w:rPr/>
              <w:t>Volume fraction (dimensionless)</w:t>
            </w:r>
          </w:p>
        </w:tc>
      </w:tr>
      <w:tr>
        <w:trPr/>
        <w:tc>
          <w:tcPr>
            <w:tcW w:w="1961" w:type="dxa"/>
            <w:tcBorders>
              <w:bottom w:val="single" w:sz="6" w:space="0" w:color="000000"/>
            </w:tcBorders>
            <w:vAlign w:val="center"/>
          </w:tcPr>
          <w:p>
            <w:pPr>
              <w:pStyle w:val="TableContents"/>
              <w:widowControl w:val="false"/>
              <w:bidi w:val="0"/>
              <w:jc w:val="left"/>
              <w:rPr/>
            </w:pPr>
            <w:r>
              <w:rPr/>
              <w:t>f</w:t>
            </w:r>
            <w:r>
              <w:rPr>
                <w:vertAlign w:val="subscript"/>
              </w:rPr>
              <w:t>ceil</w:t>
            </w:r>
          </w:p>
        </w:tc>
        <w:tc>
          <w:tcPr>
            <w:tcW w:w="2183" w:type="dxa"/>
            <w:tcBorders>
              <w:bottom w:val="single" w:sz="6" w:space="0" w:color="000000"/>
            </w:tcBorders>
            <w:vAlign w:val="center"/>
          </w:tcPr>
          <w:p>
            <w:pPr>
              <w:pStyle w:val="TableContents"/>
              <w:widowControl w:val="false"/>
              <w:bidi w:val="0"/>
              <w:jc w:val="left"/>
              <w:rPr/>
            </w:pPr>
            <w:r>
              <w:rPr/>
              <w:t>0.10</w:t>
            </w:r>
          </w:p>
        </w:tc>
        <w:tc>
          <w:tcPr>
            <w:tcW w:w="2888" w:type="dxa"/>
            <w:tcBorders>
              <w:bottom w:val="single" w:sz="6" w:space="0" w:color="000000"/>
            </w:tcBorders>
            <w:vAlign w:val="center"/>
          </w:tcPr>
          <w:p>
            <w:pPr>
              <w:pStyle w:val="TableContents"/>
              <w:widowControl w:val="false"/>
              <w:bidi w:val="0"/>
              <w:jc w:val="left"/>
              <w:rPr/>
            </w:pPr>
            <w:r>
              <w:rPr/>
              <w:t>-</w:t>
            </w:r>
          </w:p>
        </w:tc>
        <w:tc>
          <w:tcPr>
            <w:tcW w:w="2605" w:type="dxa"/>
            <w:tcBorders>
              <w:bottom w:val="single" w:sz="6" w:space="0" w:color="000000"/>
            </w:tcBorders>
            <w:vAlign w:val="center"/>
          </w:tcPr>
          <w:p>
            <w:pPr>
              <w:pStyle w:val="TableContents"/>
              <w:widowControl w:val="false"/>
              <w:bidi w:val="0"/>
              <w:jc w:val="left"/>
              <w:rPr/>
            </w:pPr>
            <w:r>
              <w:rPr/>
              <w:t>Volume fraction (dimensionless)</w:t>
            </w:r>
          </w:p>
        </w:tc>
      </w:tr>
    </w:tbl>
    <w:p>
      <w:pPr>
        <w:pStyle w:val="Heading3"/>
        <w:bidi w:val="0"/>
        <w:ind w:left="0" w:hanging="0"/>
        <w:jc w:val="left"/>
        <w:rPr/>
      </w:pPr>
      <w:r>
        <w:rPr/>
      </w:r>
      <w:r>
        <w:br w:type="page"/>
      </w:r>
    </w:p>
    <w:p>
      <w:pPr>
        <w:pStyle w:val="Heading3"/>
        <w:bidi w:val="0"/>
        <w:ind w:left="0" w:hanging="0"/>
        <w:jc w:val="left"/>
        <w:rPr/>
      </w:pPr>
      <w:r>
        <w:rPr/>
        <w:t>S2.3 Scale factors for the dimensionally-resolved model (V10)</w:t>
      </w:r>
    </w:p>
    <w:p>
      <w:pPr>
        <w:pStyle w:val="TextBody"/>
        <w:bidi w:val="0"/>
        <w:jc w:val="left"/>
        <w:rPr/>
      </w:pPr>
      <w:r>
        <w:rPr/>
        <w:t>To separate the biological timescales that are artificially compressed in the dimensionless model, we introduce experimentally informed scale factors. Each process is assigned a factor s</w:t>
      </w:r>
      <w:r>
        <w:rPr>
          <w:vertAlign w:val="subscript"/>
        </w:rPr>
        <w:t>i</w:t>
      </w:r>
      <w:r>
        <w:rPr/>
        <w:t>=τ</w:t>
      </w:r>
      <w:r>
        <w:rPr>
          <w:vertAlign w:val="subscript"/>
        </w:rPr>
        <w:t>i</w:t>
      </w:r>
      <w:r>
        <w:rPr/>
        <w:t>/τ</w:t>
      </w:r>
      <w:r>
        <w:rPr>
          <w:vertAlign w:val="subscript"/>
        </w:rPr>
        <w:t>base</w:t>
      </w:r>
      <w:r>
        <w:rPr/>
        <w:t>, where τ</w:t>
      </w:r>
      <w:r>
        <w:rPr>
          <w:vertAlign w:val="subscript"/>
        </w:rPr>
        <w:t>base</w:t>
      </w:r>
      <w:r>
        <w:rPr/>
        <w:t>=1 h (3600 s) is the reference timescale (the approximate response time of photosynthesis to a change in light intensity). The factors are:</w:t>
      </w:r>
    </w:p>
    <w:tbl>
      <w:tblPr>
        <w:tblW w:w="9638" w:type="dxa"/>
        <w:jc w:val="center"/>
        <w:tblInd w:w="0" w:type="dxa"/>
        <w:tblLayout w:type="fixed"/>
        <w:tblCellMar>
          <w:top w:w="28" w:type="dxa"/>
          <w:left w:w="28" w:type="dxa"/>
          <w:bottom w:w="28" w:type="dxa"/>
          <w:right w:w="28" w:type="dxa"/>
        </w:tblCellMar>
      </w:tblPr>
      <w:tblGrid>
        <w:gridCol w:w="2919"/>
        <w:gridCol w:w="1067"/>
        <w:gridCol w:w="5652"/>
      </w:tblGrid>
      <w:tr>
        <w:trPr>
          <w:tblHeader w:val="true"/>
        </w:trPr>
        <w:tc>
          <w:tcPr>
            <w:tcW w:w="2919" w:type="dxa"/>
            <w:tcBorders>
              <w:top w:val="single" w:sz="2" w:space="0" w:color="000000"/>
              <w:bottom w:val="single" w:sz="6" w:space="0" w:color="000000"/>
            </w:tcBorders>
            <w:vAlign w:val="center"/>
          </w:tcPr>
          <w:p>
            <w:pPr>
              <w:pStyle w:val="TableHeading"/>
              <w:widowControl w:val="false"/>
              <w:bidi w:val="0"/>
              <w:rPr/>
            </w:pPr>
            <w:r>
              <w:rPr/>
              <w:t>Process</w:t>
            </w:r>
          </w:p>
        </w:tc>
        <w:tc>
          <w:tcPr>
            <w:tcW w:w="1067" w:type="dxa"/>
            <w:tcBorders>
              <w:top w:val="single" w:sz="2" w:space="0" w:color="000000"/>
              <w:bottom w:val="single" w:sz="6" w:space="0" w:color="000000"/>
            </w:tcBorders>
            <w:vAlign w:val="center"/>
          </w:tcPr>
          <w:p>
            <w:pPr>
              <w:pStyle w:val="TableHeading"/>
              <w:widowControl w:val="false"/>
              <w:bidi w:val="0"/>
              <w:rPr/>
            </w:pPr>
            <w:r>
              <w:rPr/>
              <w:t>Scale factor s</w:t>
            </w:r>
            <w:r>
              <w:rPr>
                <w:vertAlign w:val="subscript"/>
              </w:rPr>
              <w:t>i</w:t>
            </w:r>
          </w:p>
        </w:tc>
        <w:tc>
          <w:tcPr>
            <w:tcW w:w="5652" w:type="dxa"/>
            <w:tcBorders>
              <w:top w:val="single" w:sz="2" w:space="0" w:color="000000"/>
              <w:bottom w:val="single" w:sz="6" w:space="0" w:color="000000"/>
            </w:tcBorders>
            <w:vAlign w:val="center"/>
          </w:tcPr>
          <w:p>
            <w:pPr>
              <w:pStyle w:val="TableHeading"/>
              <w:widowControl w:val="false"/>
              <w:bidi w:val="0"/>
              <w:rPr/>
            </w:pPr>
            <w:r>
              <w:rPr/>
              <w:t>Biological justification</w:t>
            </w:r>
          </w:p>
        </w:tc>
      </w:tr>
      <w:tr>
        <w:trPr/>
        <w:tc>
          <w:tcPr>
            <w:tcW w:w="2919" w:type="dxa"/>
            <w:tcBorders/>
            <w:vAlign w:val="center"/>
          </w:tcPr>
          <w:p>
            <w:pPr>
              <w:pStyle w:val="TableContents"/>
              <w:widowControl w:val="false"/>
              <w:bidi w:val="0"/>
              <w:jc w:val="left"/>
              <w:rPr/>
            </w:pPr>
            <w:r>
              <w:rPr/>
              <w:t>Photosynthesis (P</w:t>
            </w:r>
            <w:r>
              <w:rPr>
                <w:vertAlign w:val="subscript"/>
              </w:rPr>
              <w:t>max</w:t>
            </w:r>
            <w:r>
              <w:rPr/>
              <w:t>)</w:t>
            </w:r>
          </w:p>
        </w:tc>
        <w:tc>
          <w:tcPr>
            <w:tcW w:w="1067" w:type="dxa"/>
            <w:tcBorders/>
            <w:vAlign w:val="center"/>
          </w:tcPr>
          <w:p>
            <w:pPr>
              <w:pStyle w:val="TableContents"/>
              <w:widowControl w:val="false"/>
              <w:bidi w:val="0"/>
              <w:jc w:val="left"/>
              <w:rPr/>
            </w:pPr>
            <w:r>
              <w:rPr/>
              <w:t>1</w:t>
            </w:r>
          </w:p>
        </w:tc>
        <w:tc>
          <w:tcPr>
            <w:tcW w:w="5652" w:type="dxa"/>
            <w:tcBorders/>
            <w:vAlign w:val="center"/>
          </w:tcPr>
          <w:p>
            <w:pPr>
              <w:pStyle w:val="TableContents"/>
              <w:widowControl w:val="false"/>
              <w:bidi w:val="0"/>
              <w:jc w:val="left"/>
              <w:rPr/>
            </w:pPr>
            <w:r>
              <w:rPr/>
              <w:t>Response to light occurs within minutes to hours</w:t>
            </w:r>
          </w:p>
        </w:tc>
      </w:tr>
      <w:tr>
        <w:trPr/>
        <w:tc>
          <w:tcPr>
            <w:tcW w:w="2919" w:type="dxa"/>
            <w:tcBorders/>
            <w:vAlign w:val="center"/>
          </w:tcPr>
          <w:p>
            <w:pPr>
              <w:pStyle w:val="TableContents"/>
              <w:widowControl w:val="false"/>
              <w:bidi w:val="0"/>
              <w:jc w:val="left"/>
              <w:rPr/>
            </w:pPr>
            <w:r>
              <w:rPr/>
              <w:t>Respiration (R</w:t>
            </w:r>
            <w:r>
              <w:rPr>
                <w:vertAlign w:val="subscript"/>
              </w:rPr>
              <w:t>maint</w:t>
            </w:r>
            <w:r>
              <w:rPr/>
              <w:t>)</w:t>
            </w:r>
          </w:p>
        </w:tc>
        <w:tc>
          <w:tcPr>
            <w:tcW w:w="1067" w:type="dxa"/>
            <w:tcBorders/>
            <w:vAlign w:val="center"/>
          </w:tcPr>
          <w:p>
            <w:pPr>
              <w:pStyle w:val="TableContents"/>
              <w:widowControl w:val="false"/>
              <w:bidi w:val="0"/>
              <w:jc w:val="left"/>
              <w:rPr/>
            </w:pPr>
            <w:r>
              <w:rPr/>
              <w:t>1</w:t>
            </w:r>
          </w:p>
        </w:tc>
        <w:tc>
          <w:tcPr>
            <w:tcW w:w="5652" w:type="dxa"/>
            <w:tcBorders/>
            <w:vAlign w:val="center"/>
          </w:tcPr>
          <w:p>
            <w:pPr>
              <w:pStyle w:val="TableContents"/>
              <w:widowControl w:val="false"/>
              <w:bidi w:val="0"/>
              <w:jc w:val="left"/>
              <w:rPr/>
            </w:pPr>
            <w:r>
              <w:rPr/>
              <w:t>Tightly coupled to photosynthetic activity</w:t>
            </w:r>
          </w:p>
        </w:tc>
      </w:tr>
      <w:tr>
        <w:trPr/>
        <w:tc>
          <w:tcPr>
            <w:tcW w:w="2919" w:type="dxa"/>
            <w:tcBorders/>
            <w:vAlign w:val="center"/>
          </w:tcPr>
          <w:p>
            <w:pPr>
              <w:pStyle w:val="TableContents"/>
              <w:widowControl w:val="false"/>
              <w:bidi w:val="0"/>
              <w:jc w:val="left"/>
              <w:rPr/>
            </w:pPr>
            <w:r>
              <w:rPr/>
              <w:t>Evapotranspiration (E, T</w:t>
            </w:r>
            <w:r>
              <w:rPr>
                <w:vertAlign w:val="subscript"/>
              </w:rPr>
              <w:t>r</w:t>
            </w:r>
            <w:r>
              <w:rPr/>
              <w:t>)</w:t>
            </w:r>
          </w:p>
        </w:tc>
        <w:tc>
          <w:tcPr>
            <w:tcW w:w="1067" w:type="dxa"/>
            <w:tcBorders/>
            <w:vAlign w:val="center"/>
          </w:tcPr>
          <w:p>
            <w:pPr>
              <w:pStyle w:val="TableContents"/>
              <w:widowControl w:val="false"/>
              <w:bidi w:val="0"/>
              <w:jc w:val="left"/>
              <w:rPr/>
            </w:pPr>
            <w:r>
              <w:rPr/>
              <w:t>1</w:t>
            </w:r>
          </w:p>
        </w:tc>
        <w:tc>
          <w:tcPr>
            <w:tcW w:w="5652" w:type="dxa"/>
            <w:tcBorders/>
            <w:vAlign w:val="center"/>
          </w:tcPr>
          <w:p>
            <w:pPr>
              <w:pStyle w:val="TableContents"/>
              <w:widowControl w:val="false"/>
              <w:bidi w:val="0"/>
              <w:jc w:val="left"/>
              <w:rPr/>
            </w:pPr>
            <w:r>
              <w:rPr/>
              <w:t>Driven by diurnal cycle</w:t>
            </w:r>
          </w:p>
        </w:tc>
      </w:tr>
      <w:tr>
        <w:trPr/>
        <w:tc>
          <w:tcPr>
            <w:tcW w:w="2919" w:type="dxa"/>
            <w:tcBorders/>
            <w:vAlign w:val="center"/>
          </w:tcPr>
          <w:p>
            <w:pPr>
              <w:pStyle w:val="TableContents"/>
              <w:widowControl w:val="false"/>
              <w:bidi w:val="0"/>
              <w:jc w:val="left"/>
              <w:rPr/>
            </w:pPr>
            <w:r>
              <w:rPr/>
              <w:t>Condensation / thermal exchange</w:t>
            </w:r>
          </w:p>
        </w:tc>
        <w:tc>
          <w:tcPr>
            <w:tcW w:w="1067" w:type="dxa"/>
            <w:tcBorders/>
            <w:vAlign w:val="center"/>
          </w:tcPr>
          <w:p>
            <w:pPr>
              <w:pStyle w:val="TableContents"/>
              <w:widowControl w:val="false"/>
              <w:bidi w:val="0"/>
              <w:jc w:val="left"/>
              <w:rPr/>
            </w:pPr>
            <w:r>
              <w:rPr/>
              <w:t>1</w:t>
            </w:r>
          </w:p>
        </w:tc>
        <w:tc>
          <w:tcPr>
            <w:tcW w:w="5652" w:type="dxa"/>
            <w:tcBorders/>
            <w:vAlign w:val="center"/>
          </w:tcPr>
          <w:p>
            <w:pPr>
              <w:pStyle w:val="TableContents"/>
              <w:widowControl w:val="false"/>
              <w:bidi w:val="0"/>
              <w:jc w:val="left"/>
              <w:rPr/>
            </w:pPr>
            <w:r>
              <w:rPr/>
              <w:t>Fast physical processes</w:t>
            </w:r>
          </w:p>
        </w:tc>
      </w:tr>
      <w:tr>
        <w:trPr/>
        <w:tc>
          <w:tcPr>
            <w:tcW w:w="2919" w:type="dxa"/>
            <w:tcBorders/>
            <w:vAlign w:val="center"/>
          </w:tcPr>
          <w:p>
            <w:pPr>
              <w:pStyle w:val="TableContents"/>
              <w:widowControl w:val="false"/>
              <w:bidi w:val="0"/>
              <w:jc w:val="left"/>
              <w:rPr/>
            </w:pPr>
            <w:r>
              <w:rPr/>
              <w:t>Mycelial growth (γ</w:t>
            </w:r>
            <w:r>
              <w:rPr>
                <w:vertAlign w:val="subscript"/>
              </w:rPr>
              <w:t>M</w:t>
            </w:r>
            <w:r>
              <w:rPr/>
              <w:t>, δ</w:t>
            </w:r>
            <w:r>
              <w:rPr>
                <w:vertAlign w:val="subscript"/>
              </w:rPr>
              <w:t>M</w:t>
            </w:r>
            <w:r>
              <w:rPr/>
              <w:t>)</w:t>
            </w:r>
          </w:p>
        </w:tc>
        <w:tc>
          <w:tcPr>
            <w:tcW w:w="1067" w:type="dxa"/>
            <w:tcBorders/>
            <w:vAlign w:val="center"/>
          </w:tcPr>
          <w:p>
            <w:pPr>
              <w:pStyle w:val="TableContents"/>
              <w:widowControl w:val="false"/>
              <w:bidi w:val="0"/>
              <w:jc w:val="left"/>
              <w:rPr/>
            </w:pPr>
            <w:r>
              <w:rPr/>
              <w:t>168</w:t>
            </w:r>
          </w:p>
        </w:tc>
        <w:tc>
          <w:tcPr>
            <w:tcW w:w="5652" w:type="dxa"/>
            <w:tcBorders/>
            <w:vAlign w:val="center"/>
          </w:tcPr>
          <w:p>
            <w:pPr>
              <w:pStyle w:val="TableContents"/>
              <w:widowControl w:val="false"/>
              <w:bidi w:val="0"/>
              <w:jc w:val="left"/>
              <w:rPr/>
            </w:pPr>
            <w:r>
              <w:rPr/>
              <w:t>Hyphal extension operates on a daily to weekly scale</w:t>
            </w:r>
          </w:p>
        </w:tc>
      </w:tr>
      <w:tr>
        <w:trPr/>
        <w:tc>
          <w:tcPr>
            <w:tcW w:w="2919" w:type="dxa"/>
            <w:tcBorders/>
            <w:vAlign w:val="center"/>
          </w:tcPr>
          <w:p>
            <w:pPr>
              <w:pStyle w:val="TableContents"/>
              <w:widowControl w:val="false"/>
              <w:bidi w:val="0"/>
              <w:jc w:val="left"/>
              <w:rPr/>
            </w:pPr>
            <w:r>
              <w:rPr/>
              <w:t>Mycorrhizal signalling (λ</w:t>
            </w:r>
            <w:r>
              <w:rPr>
                <w:vertAlign w:val="subscript"/>
              </w:rPr>
              <w:t>S</w:t>
            </w:r>
            <w:r>
              <w:rPr/>
              <w:t>, k</w:t>
            </w:r>
            <w:r>
              <w:rPr>
                <w:vertAlign w:val="subscript"/>
              </w:rPr>
              <w:t>prod</w:t>
            </w:r>
            <w:r>
              <w:rPr/>
              <w:t>, k</w:t>
            </w:r>
            <w:r>
              <w:rPr>
                <w:vertAlign w:val="subscript"/>
              </w:rPr>
              <w:t>basal</w:t>
            </w:r>
            <w:r>
              <w:rPr/>
              <w:t>)</w:t>
            </w:r>
          </w:p>
        </w:tc>
        <w:tc>
          <w:tcPr>
            <w:tcW w:w="1067" w:type="dxa"/>
            <w:tcBorders/>
            <w:vAlign w:val="center"/>
          </w:tcPr>
          <w:p>
            <w:pPr>
              <w:pStyle w:val="TableContents"/>
              <w:widowControl w:val="false"/>
              <w:bidi w:val="0"/>
              <w:jc w:val="left"/>
              <w:rPr/>
            </w:pPr>
            <w:r>
              <w:rPr/>
              <w:t>4–168</w:t>
            </w:r>
          </w:p>
        </w:tc>
        <w:tc>
          <w:tcPr>
            <w:tcW w:w="5652" w:type="dxa"/>
            <w:tcBorders/>
            <w:vAlign w:val="center"/>
          </w:tcPr>
          <w:p>
            <w:pPr>
              <w:pStyle w:val="TableContents"/>
              <w:widowControl w:val="false"/>
              <w:bidi w:val="0"/>
              <w:jc w:val="left"/>
              <w:rPr/>
            </w:pPr>
            <w:r>
              <w:rPr/>
              <w:t>Signal propagation ranges from hours (jasmonate) to days (nutrient transport); swept to identify the critical range</w:t>
            </w:r>
          </w:p>
        </w:tc>
      </w:tr>
      <w:tr>
        <w:trPr/>
        <w:tc>
          <w:tcPr>
            <w:tcW w:w="2919" w:type="dxa"/>
            <w:tcBorders>
              <w:bottom w:val="single" w:sz="6" w:space="0" w:color="000000"/>
            </w:tcBorders>
            <w:vAlign w:val="center"/>
          </w:tcPr>
          <w:p>
            <w:pPr>
              <w:pStyle w:val="TableContents"/>
              <w:widowControl w:val="false"/>
              <w:bidi w:val="0"/>
              <w:jc w:val="left"/>
              <w:rPr/>
            </w:pPr>
            <w:r>
              <w:rPr/>
              <w:t>Biomass growth (Y</w:t>
            </w:r>
            <w:r>
              <w:rPr>
                <w:vertAlign w:val="subscript"/>
              </w:rPr>
              <w:t>B</w:t>
            </w:r>
            <w:r>
              <w:rPr/>
              <w:t>)</w:t>
            </w:r>
          </w:p>
        </w:tc>
        <w:tc>
          <w:tcPr>
            <w:tcW w:w="1067" w:type="dxa"/>
            <w:tcBorders>
              <w:bottom w:val="single" w:sz="6" w:space="0" w:color="000000"/>
            </w:tcBorders>
            <w:vAlign w:val="center"/>
          </w:tcPr>
          <w:p>
            <w:pPr>
              <w:pStyle w:val="TableContents"/>
              <w:widowControl w:val="false"/>
              <w:bidi w:val="0"/>
              <w:jc w:val="left"/>
              <w:rPr/>
            </w:pPr>
            <w:r>
              <w:rPr/>
              <w:t>168</w:t>
            </w:r>
          </w:p>
        </w:tc>
        <w:tc>
          <w:tcPr>
            <w:tcW w:w="5652" w:type="dxa"/>
            <w:tcBorders>
              <w:bottom w:val="single" w:sz="6" w:space="0" w:color="000000"/>
            </w:tcBorders>
            <w:vAlign w:val="center"/>
          </w:tcPr>
          <w:p>
            <w:pPr>
              <w:pStyle w:val="TableContents"/>
              <w:widowControl w:val="false"/>
              <w:bidi w:val="0"/>
              <w:jc w:val="left"/>
              <w:rPr/>
            </w:pPr>
            <w:r>
              <w:rPr/>
              <w:t>Plant biomass accumulates over weeks</w:t>
            </w:r>
          </w:p>
        </w:tc>
      </w:tr>
    </w:tbl>
    <w:p>
      <w:pPr>
        <w:pStyle w:val="TextBody"/>
        <w:bidi w:val="0"/>
        <w:jc w:val="left"/>
        <w:rPr/>
      </w:pPr>
      <w:r>
        <w:rPr/>
      </w:r>
    </w:p>
    <w:p>
      <w:pPr>
        <w:pStyle w:val="TextBody"/>
        <w:bidi w:val="0"/>
        <w:jc w:val="left"/>
        <w:rPr/>
      </w:pPr>
      <w:r>
        <w:rPr/>
        <w:t>These factors are applied to the dimensionless rates as multiplicative corrections, ensuring that the fast and slow processes evolve on distinct, physically plausible timescales while preserving the topological structure of the bifurcation diagram.</w:t>
      </w:r>
    </w:p>
    <w:p>
      <w:pPr>
        <w:pStyle w:val="Normal"/>
        <w:bidi w:val="0"/>
        <w:jc w:val="left"/>
        <w:rPr/>
      </w:pPr>
      <w:r>
        <w:rPr/>
      </w:r>
    </w:p>
    <w:p>
      <w:pPr>
        <w:pStyle w:val="Normal"/>
        <w:bidi w:val="0"/>
        <w:jc w:val="left"/>
        <w:rPr/>
      </w:pPr>
      <w:r>
        <w:rPr/>
      </w:r>
    </w:p>
    <w:p>
      <w:pPr>
        <w:pStyle w:val="Normal"/>
        <w:bidi w:val="0"/>
        <w:jc w:val="left"/>
        <w:rPr/>
      </w:pPr>
      <w:r>
        <w:rPr/>
      </w:r>
      <w:r>
        <w:br w:type="page"/>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120130" cy="3263900"/>
            <wp:effectExtent l="0" t="0" r="0" b="0"/>
            <wp:wrapTopAndBottom/>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tretch>
                      <a:fillRect/>
                    </a:stretch>
                  </pic:blipFill>
                  <pic:spPr bwMode="auto">
                    <a:xfrm>
                      <a:off x="0" y="0"/>
                      <a:ext cx="6120130" cy="3263900"/>
                    </a:xfrm>
                    <a:prstGeom prst="rect">
                      <a:avLst/>
                    </a:prstGeom>
                  </pic:spPr>
                </pic:pic>
              </a:graphicData>
            </a:graphic>
          </wp:anchor>
        </w:drawing>
      </w:r>
    </w:p>
    <w:p>
      <w:pPr>
        <w:pStyle w:val="Normal"/>
        <w:bidi w:val="0"/>
        <w:jc w:val="left"/>
        <w:rPr>
          <w:b/>
          <w:b/>
          <w:bCs/>
        </w:rPr>
      </w:pPr>
      <w:r>
        <w:rPr>
          <w:b/>
          <w:bCs/>
        </w:rPr>
        <w:t>Figure S3. Deterministic 3D biological state variables (</w:t>
      </w:r>
      <w:r>
        <w:rPr>
          <w:rStyle w:val="StrongEmphasis"/>
        </w:rPr>
        <w:t>High-resolution</w:t>
      </w:r>
      <w:r>
        <w:rPr>
          <w:b/>
          <w:bCs/>
        </w:rPr>
        <w:t xml:space="preserve"> version of Fig. 3).</w:t>
      </w:r>
    </w:p>
    <w:p>
      <w:pPr>
        <w:pStyle w:val="Normal"/>
        <w:bidi w:val="0"/>
        <w:jc w:val="left"/>
        <w:rPr/>
      </w:pPr>
      <w:r>
        <w:rPr/>
        <w:t>See legend of Fig. 3 in the main text.</w:t>
      </w:r>
    </w:p>
    <w:p>
      <w:pPr>
        <w:pStyle w:val="Normal"/>
        <w:bidi w:val="0"/>
        <w:jc w:val="left"/>
        <w:rPr/>
      </w:pPr>
      <w:r>
        <w:rPr/>
      </w:r>
      <w:r>
        <w:br w:type="page"/>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6120130" cy="4079875"/>
            <wp:effectExtent l="0" t="0" r="0" b="0"/>
            <wp:wrapTopAndBottom/>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tretch>
                      <a:fillRect/>
                    </a:stretch>
                  </pic:blipFill>
                  <pic:spPr bwMode="auto">
                    <a:xfrm>
                      <a:off x="0" y="0"/>
                      <a:ext cx="6120130" cy="4079875"/>
                    </a:xfrm>
                    <a:prstGeom prst="rect">
                      <a:avLst/>
                    </a:prstGeom>
                  </pic:spPr>
                </pic:pic>
              </a:graphicData>
            </a:graphic>
          </wp:anchor>
        </w:drawing>
      </w:r>
    </w:p>
    <w:p>
      <w:pPr>
        <w:pStyle w:val="Normal"/>
        <w:bidi w:val="0"/>
        <w:jc w:val="left"/>
        <w:rPr>
          <w:b/>
          <w:b/>
          <w:bCs/>
        </w:rPr>
      </w:pPr>
      <w:r>
        <w:rPr>
          <w:b/>
          <w:bCs/>
        </w:rPr>
        <w:t>Figure S4. Deterministic thermodynamic metrics (</w:t>
      </w:r>
      <w:r>
        <w:rPr>
          <w:rStyle w:val="StrongEmphasis"/>
        </w:rPr>
        <w:t>High-resolution</w:t>
      </w:r>
      <w:r>
        <w:rPr>
          <w:b/>
          <w:bCs/>
        </w:rPr>
        <w:t xml:space="preserve"> version of Fig. 4).</w:t>
      </w:r>
    </w:p>
    <w:p>
      <w:pPr>
        <w:pStyle w:val="Normal"/>
        <w:bidi w:val="0"/>
        <w:jc w:val="left"/>
        <w:rPr/>
      </w:pPr>
      <w:r>
        <w:rPr/>
        <w:t>See legend of Fig. 4 in the main text.</w:t>
      </w:r>
    </w:p>
    <w:p>
      <w:pPr>
        <w:pStyle w:val="Normal"/>
        <w:bidi w:val="0"/>
        <w:jc w:val="left"/>
        <w:rPr/>
      </w:pPr>
      <w:r>
        <w:rPr/>
      </w:r>
      <w:r>
        <w:br w:type="page"/>
      </w:r>
    </w:p>
    <w:p>
      <w:pPr>
        <w:pStyle w:val="Normal"/>
        <w:bidi w:val="0"/>
        <w:jc w:val="left"/>
        <w:rPr/>
      </w:pPr>
      <w:r>
        <w:rPr/>
      </w:r>
    </w:p>
    <w:p>
      <w:pPr>
        <w:pStyle w:val="Normal"/>
        <w:bidi w:val="0"/>
        <w:jc w:val="left"/>
        <w:rPr/>
      </w:pPr>
      <w:r>
        <w:rP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6120130" cy="6120130"/>
            <wp:effectExtent l="0" t="0" r="0" b="0"/>
            <wp:wrapTopAndBottom/>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tretch>
                      <a:fillRect/>
                    </a:stretch>
                  </pic:blipFill>
                  <pic:spPr bwMode="auto">
                    <a:xfrm>
                      <a:off x="0" y="0"/>
                      <a:ext cx="6120130" cy="6120130"/>
                    </a:xfrm>
                    <a:prstGeom prst="rect">
                      <a:avLst/>
                    </a:prstGeom>
                  </pic:spPr>
                </pic:pic>
              </a:graphicData>
            </a:graphic>
          </wp:anchor>
        </w:drawing>
      </w:r>
    </w:p>
    <w:p>
      <w:pPr>
        <w:pStyle w:val="Normal"/>
        <w:bidi w:val="0"/>
        <w:jc w:val="left"/>
        <w:rPr/>
      </w:pPr>
      <w:r>
        <w:rPr/>
      </w:r>
    </w:p>
    <w:p>
      <w:pPr>
        <w:pStyle w:val="Normal"/>
        <w:bidi w:val="0"/>
        <w:jc w:val="left"/>
        <w:rPr/>
      </w:pPr>
      <w:r>
        <w:rPr>
          <w:b/>
          <w:bCs/>
        </w:rPr>
        <w:t>Figure S5. Stroboscopic Poincaré sections (</w:t>
      </w:r>
      <w:r>
        <w:rPr>
          <w:rStyle w:val="StrongEmphasis"/>
        </w:rPr>
        <w:t>High-resolution</w:t>
      </w:r>
      <w:r>
        <w:rPr>
          <w:b/>
          <w:bCs/>
        </w:rPr>
        <w:t xml:space="preserve"> version of Fig. 6).</w:t>
      </w:r>
    </w:p>
    <w:p>
      <w:pPr>
        <w:pStyle w:val="Normal"/>
        <w:bidi w:val="0"/>
        <w:jc w:val="left"/>
        <w:rPr/>
      </w:pPr>
      <w:r>
        <w:rPr/>
        <w:t>See legend of Fig. 6 in the main text.</w:t>
      </w:r>
    </w:p>
    <w:p>
      <w:pPr>
        <w:pStyle w:val="Normal"/>
        <w:bidi w:val="0"/>
        <w:jc w:val="left"/>
        <w:rPr/>
      </w:pPr>
      <w:r>
        <w:rPr/>
      </w:r>
      <w:r>
        <w:br w:type="page"/>
      </w:r>
    </w:p>
    <w:p>
      <w:pPr>
        <w:pStyle w:val="Normal"/>
        <w:bidi w:val="0"/>
        <w:jc w:val="left"/>
        <w:rPr/>
      </w:pPr>
      <w:r>
        <w:rPr/>
      </w:r>
    </w:p>
    <w:p>
      <w:pPr>
        <w:pStyle w:val="Normal"/>
        <w:bidi w:val="0"/>
        <w:jc w:val="left"/>
        <w:rPr/>
      </w:pPr>
      <w:r>
        <w:rPr/>
        <w:drawing>
          <wp:anchor behindDoc="0" distT="0" distB="0" distL="0" distR="0" simplePos="0" locked="0" layoutInCell="0" allowOverlap="1" relativeHeight="7">
            <wp:simplePos x="0" y="0"/>
            <wp:positionH relativeFrom="column">
              <wp:align>center</wp:align>
            </wp:positionH>
            <wp:positionV relativeFrom="paragraph">
              <wp:posOffset>635</wp:posOffset>
            </wp:positionV>
            <wp:extent cx="6120130" cy="6120130"/>
            <wp:effectExtent l="0" t="0" r="0" b="0"/>
            <wp:wrapTopAndBottom/>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tretch>
                      <a:fillRect/>
                    </a:stretch>
                  </pic:blipFill>
                  <pic:spPr bwMode="auto">
                    <a:xfrm>
                      <a:off x="0" y="0"/>
                      <a:ext cx="6120130" cy="6120130"/>
                    </a:xfrm>
                    <a:prstGeom prst="rect">
                      <a:avLst/>
                    </a:prstGeom>
                  </pic:spPr>
                </pic:pic>
              </a:graphicData>
            </a:graphic>
          </wp:anchor>
        </w:drawing>
      </w:r>
    </w:p>
    <w:p>
      <w:pPr>
        <w:pStyle w:val="Normal"/>
        <w:bidi w:val="0"/>
        <w:jc w:val="left"/>
        <w:rPr/>
      </w:pPr>
      <w:r>
        <w:rPr>
          <w:b/>
          <w:bCs/>
        </w:rPr>
        <w:t>Figure S5. Return maps (CO</w:t>
      </w:r>
      <w:r>
        <w:rPr>
          <w:b/>
          <w:bCs/>
          <w:vertAlign w:val="subscript"/>
        </w:rPr>
        <w:t>2</w:t>
      </w:r>
      <w:r>
        <w:rPr>
          <w:b/>
          <w:bCs/>
        </w:rPr>
        <w:t xml:space="preserve"> stroboscopic) without WWW (</w:t>
      </w:r>
      <w:r>
        <w:rPr>
          <w:rStyle w:val="StrongEmphasis"/>
        </w:rPr>
        <w:t>High-resolution</w:t>
      </w:r>
      <w:r>
        <w:rPr>
          <w:b/>
          <w:bCs/>
        </w:rPr>
        <w:t xml:space="preserve"> version of Fig. 6).</w:t>
      </w:r>
    </w:p>
    <w:p>
      <w:pPr>
        <w:pStyle w:val="Normal"/>
        <w:bidi w:val="0"/>
        <w:jc w:val="left"/>
        <w:rPr/>
      </w:pPr>
      <w:r>
        <w:rPr/>
        <w:t>See legend of Fig. 6 in the main text.</w:t>
      </w:r>
    </w:p>
    <w:p>
      <w:pPr>
        <w:pStyle w:val="Normal"/>
        <w:bidi w:val="0"/>
        <w:jc w:val="left"/>
        <w:rPr/>
      </w:pPr>
      <w:r>
        <w:rPr/>
      </w:r>
      <w:r>
        <w:br w:type="page"/>
      </w:r>
    </w:p>
    <w:p>
      <w:pPr>
        <w:pStyle w:val="Normal"/>
        <w:bidi w:val="0"/>
        <w:jc w:val="left"/>
        <w:rPr/>
      </w:pPr>
      <w:r>
        <w:rPr/>
      </w:r>
    </w:p>
    <w:p>
      <w:pPr>
        <w:pStyle w:val="Normal"/>
        <w:bidi w:val="0"/>
        <w:jc w:val="left"/>
        <w:rPr/>
      </w:pPr>
      <w:r>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6120130" cy="6120130"/>
            <wp:effectExtent l="0" t="0" r="0" b="0"/>
            <wp:wrapTopAndBottom/>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8"/>
                    <a:stretch>
                      <a:fillRect/>
                    </a:stretch>
                  </pic:blipFill>
                  <pic:spPr bwMode="auto">
                    <a:xfrm>
                      <a:off x="0" y="0"/>
                      <a:ext cx="6120130" cy="6120130"/>
                    </a:xfrm>
                    <a:prstGeom prst="rect">
                      <a:avLst/>
                    </a:prstGeom>
                  </pic:spPr>
                </pic:pic>
              </a:graphicData>
            </a:graphic>
          </wp:anchor>
        </w:drawing>
      </w:r>
    </w:p>
    <w:p>
      <w:pPr>
        <w:pStyle w:val="Normal"/>
        <w:bidi w:val="0"/>
        <w:jc w:val="left"/>
        <w:rPr/>
      </w:pPr>
      <w:r>
        <w:rPr>
          <w:b/>
          <w:bCs/>
        </w:rPr>
        <w:t>Figure S5. Return maps (CO</w:t>
      </w:r>
      <w:r>
        <w:rPr>
          <w:b/>
          <w:bCs/>
          <w:vertAlign w:val="subscript"/>
        </w:rPr>
        <w:t>2</w:t>
      </w:r>
      <w:r>
        <w:rPr>
          <w:b/>
          <w:bCs/>
        </w:rPr>
        <w:t xml:space="preserve"> stroboscopic) with WWW (</w:t>
      </w:r>
      <w:r>
        <w:rPr>
          <w:rStyle w:val="StrongEmphasis"/>
        </w:rPr>
        <w:t>High-resolution</w:t>
      </w:r>
      <w:r>
        <w:rPr>
          <w:b/>
          <w:bCs/>
        </w:rPr>
        <w:t xml:space="preserve"> version of Fig. 6).</w:t>
      </w:r>
    </w:p>
    <w:p>
      <w:pPr>
        <w:pStyle w:val="Normal"/>
        <w:bidi w:val="0"/>
        <w:jc w:val="left"/>
        <w:rPr/>
      </w:pPr>
      <w:r>
        <w:rPr/>
        <w:t>See legend of Fig. 6 in the main text.</w:t>
      </w:r>
    </w:p>
    <w:p>
      <w:pPr>
        <w:pStyle w:val="Normal"/>
        <w:bidi w:val="0"/>
        <w:jc w:val="left"/>
        <w:rPr/>
      </w:pPr>
      <w:r>
        <w:rPr/>
      </w:r>
      <w:r>
        <w:br w:type="page"/>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0" allowOverlap="1" relativeHeight="9">
            <wp:simplePos x="0" y="0"/>
            <wp:positionH relativeFrom="column">
              <wp:align>center</wp:align>
            </wp:positionH>
            <wp:positionV relativeFrom="paragraph">
              <wp:posOffset>635</wp:posOffset>
            </wp:positionV>
            <wp:extent cx="6120130" cy="3824605"/>
            <wp:effectExtent l="0" t="0" r="0" b="0"/>
            <wp:wrapTopAndBottom/>
            <wp:docPr id="8"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pic:cNvPicPr>
                      <a:picLocks noChangeAspect="1" noChangeArrowheads="1"/>
                    </pic:cNvPicPr>
                  </pic:nvPicPr>
                  <pic:blipFill>
                    <a:blip r:embed="rId9"/>
                    <a:stretch>
                      <a:fillRect/>
                    </a:stretch>
                  </pic:blipFill>
                  <pic:spPr bwMode="auto">
                    <a:xfrm>
                      <a:off x="0" y="0"/>
                      <a:ext cx="6120130" cy="3824605"/>
                    </a:xfrm>
                    <a:prstGeom prst="rect">
                      <a:avLst/>
                    </a:prstGeom>
                  </pic:spPr>
                </pic:pic>
              </a:graphicData>
            </a:graphic>
          </wp:anchor>
        </w:drawing>
      </w:r>
    </w:p>
    <w:p>
      <w:pPr>
        <w:pStyle w:val="Normal"/>
        <w:bidi w:val="0"/>
        <w:jc w:val="left"/>
        <w:rPr>
          <w:b/>
          <w:b/>
          <w:bCs/>
        </w:rPr>
      </w:pPr>
      <w:r>
        <w:rPr>
          <w:b/>
          <w:bCs/>
        </w:rPr>
        <w:t>Figure S6. Bifurcation of the forced limit cycle with γ (</w:t>
      </w:r>
      <w:r>
        <w:rPr>
          <w:rStyle w:val="StrongEmphasis"/>
        </w:rPr>
        <w:t>High-resolution</w:t>
      </w:r>
      <w:r>
        <w:rPr>
          <w:b/>
          <w:bCs/>
        </w:rPr>
        <w:t xml:space="preserve"> version of Fig. 7).</w:t>
      </w:r>
    </w:p>
    <w:p>
      <w:pPr>
        <w:pStyle w:val="Normal"/>
        <w:bidi w:val="0"/>
        <w:jc w:val="left"/>
        <w:rPr/>
      </w:pPr>
      <w:r>
        <w:rPr/>
        <w:t>See legend of Fig. 7 in the main text.</w:t>
      </w:r>
    </w:p>
    <w:p>
      <w:pPr>
        <w:pStyle w:val="Normal"/>
        <w:bidi w:val="0"/>
        <w:jc w:val="left"/>
        <w:rPr/>
      </w:pPr>
      <w:r>
        <w:rPr/>
      </w:r>
    </w:p>
    <w:p>
      <w:pPr>
        <w:pStyle w:val="Normal"/>
        <w:bidi w:val="0"/>
        <w:jc w:val="left"/>
        <w:rPr/>
      </w:pPr>
      <w:r>
        <w:rPr/>
      </w:r>
      <w:r>
        <w:br w:type="page"/>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0" allowOverlap="1" relativeHeight="10">
            <wp:simplePos x="0" y="0"/>
            <wp:positionH relativeFrom="column">
              <wp:align>center</wp:align>
            </wp:positionH>
            <wp:positionV relativeFrom="paragraph">
              <wp:posOffset>635</wp:posOffset>
            </wp:positionV>
            <wp:extent cx="6120130" cy="3824605"/>
            <wp:effectExtent l="0" t="0" r="0" b="0"/>
            <wp:wrapTopAndBottom/>
            <wp:docPr id="9"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pic:cNvPicPr>
                      <a:picLocks noChangeAspect="1" noChangeArrowheads="1"/>
                    </pic:cNvPicPr>
                  </pic:nvPicPr>
                  <pic:blipFill>
                    <a:blip r:embed="rId10"/>
                    <a:stretch>
                      <a:fillRect/>
                    </a:stretch>
                  </pic:blipFill>
                  <pic:spPr bwMode="auto">
                    <a:xfrm>
                      <a:off x="0" y="0"/>
                      <a:ext cx="6120130" cy="3824605"/>
                    </a:xfrm>
                    <a:prstGeom prst="rect">
                      <a:avLst/>
                    </a:prstGeom>
                  </pic:spPr>
                </pic:pic>
              </a:graphicData>
            </a:graphic>
          </wp:anchor>
        </w:drawing>
      </w:r>
    </w:p>
    <w:p>
      <w:pPr>
        <w:pStyle w:val="Normal"/>
        <w:bidi w:val="0"/>
        <w:jc w:val="left"/>
        <w:rPr/>
      </w:pPr>
      <w:r>
        <w:rPr>
          <w:b/>
          <w:bCs/>
        </w:rPr>
        <w:t>Figure S6. Robustness of the forced limit cycle to period changes (</w:t>
      </w:r>
      <w:r>
        <w:rPr>
          <w:rStyle w:val="StrongEmphasis"/>
        </w:rPr>
        <w:t>High-resolution</w:t>
      </w:r>
      <w:r>
        <w:rPr>
          <w:b/>
          <w:bCs/>
        </w:rPr>
        <w:t xml:space="preserve"> version of Fig. 7). </w:t>
      </w:r>
      <w:r>
        <w:rPr/>
        <w:t>See legend of Fig. 7 in the main text.</w:t>
      </w:r>
    </w:p>
    <w:p>
      <w:pPr>
        <w:pStyle w:val="Normal"/>
        <w:bidi w:val="0"/>
        <w:jc w:val="left"/>
        <w:rPr/>
      </w:pPr>
      <w:r>
        <w:rPr/>
      </w:r>
    </w:p>
    <w:p>
      <w:pPr>
        <w:pStyle w:val="Normal"/>
        <w:bidi w:val="0"/>
        <w:jc w:val="left"/>
        <w:rPr/>
      </w:pPr>
      <w:r>
        <w:rPr/>
      </w:r>
      <w:r>
        <w:br w:type="page"/>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0" allowOverlap="1" relativeHeight="11">
            <wp:simplePos x="0" y="0"/>
            <wp:positionH relativeFrom="column">
              <wp:align>center</wp:align>
            </wp:positionH>
            <wp:positionV relativeFrom="paragraph">
              <wp:posOffset>635</wp:posOffset>
            </wp:positionV>
            <wp:extent cx="6120130" cy="4589780"/>
            <wp:effectExtent l="0" t="0" r="0" b="0"/>
            <wp:wrapTopAndBottom/>
            <wp:docPr id="10"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pic:cNvPicPr>
                      <a:picLocks noChangeAspect="1" noChangeArrowheads="1"/>
                    </pic:cNvPicPr>
                  </pic:nvPicPr>
                  <pic:blipFill>
                    <a:blip r:embed="rId11"/>
                    <a:stretch>
                      <a:fillRect/>
                    </a:stretch>
                  </pic:blipFill>
                  <pic:spPr bwMode="auto">
                    <a:xfrm>
                      <a:off x="0" y="0"/>
                      <a:ext cx="6120130" cy="4589780"/>
                    </a:xfrm>
                    <a:prstGeom prst="rect">
                      <a:avLst/>
                    </a:prstGeom>
                  </pic:spPr>
                </pic:pic>
              </a:graphicData>
            </a:graphic>
          </wp:anchor>
        </w:drawing>
      </w:r>
    </w:p>
    <w:p>
      <w:pPr>
        <w:pStyle w:val="Normal"/>
        <w:bidi w:val="0"/>
        <w:jc w:val="left"/>
        <w:rPr>
          <w:b/>
          <w:b/>
          <w:bCs/>
        </w:rPr>
      </w:pPr>
      <w:r>
        <w:rPr>
          <w:b/>
          <w:bCs/>
        </w:rPr>
        <w:t>Figure S7. 2D heatmap of parametric resilience (</w:t>
      </w:r>
      <w:r>
        <w:rPr>
          <w:rStyle w:val="StrongEmphasis"/>
        </w:rPr>
        <w:t>High-resolution</w:t>
      </w:r>
      <w:r>
        <w:rPr>
          <w:b/>
          <w:bCs/>
        </w:rPr>
        <w:t xml:space="preserve"> version of Fig. 8).</w:t>
      </w:r>
    </w:p>
    <w:p>
      <w:pPr>
        <w:pStyle w:val="Normal"/>
        <w:bidi w:val="0"/>
        <w:jc w:val="left"/>
        <w:rPr/>
      </w:pPr>
      <w:r>
        <w:rPr/>
        <w:t>See legend of Fig. 8 in the main text.</w:t>
      </w:r>
    </w:p>
    <w:p>
      <w:pPr>
        <w:pStyle w:val="Normal"/>
        <w:bidi w:val="0"/>
        <w:jc w:val="left"/>
        <w:rPr/>
      </w:pPr>
      <w:r>
        <w:rPr/>
      </w:r>
      <w:r>
        <w:br w:type="page"/>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0" allowOverlap="1" relativeHeight="12">
            <wp:simplePos x="0" y="0"/>
            <wp:positionH relativeFrom="column">
              <wp:align>center</wp:align>
            </wp:positionH>
            <wp:positionV relativeFrom="paragraph">
              <wp:posOffset>635</wp:posOffset>
            </wp:positionV>
            <wp:extent cx="3190875" cy="3190875"/>
            <wp:effectExtent l="0" t="0" r="0" b="0"/>
            <wp:wrapTopAndBottom/>
            <wp:docPr id="11"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pic:cNvPicPr>
                      <a:picLocks noChangeAspect="1" noChangeArrowheads="1"/>
                    </pic:cNvPicPr>
                  </pic:nvPicPr>
                  <pic:blipFill>
                    <a:blip r:embed="rId12"/>
                    <a:stretch>
                      <a:fillRect/>
                    </a:stretch>
                  </pic:blipFill>
                  <pic:spPr bwMode="auto">
                    <a:xfrm>
                      <a:off x="0" y="0"/>
                      <a:ext cx="3190875" cy="3190875"/>
                    </a:xfrm>
                    <a:prstGeom prst="rect">
                      <a:avLst/>
                    </a:prstGeom>
                  </pic:spPr>
                </pic:pic>
              </a:graphicData>
            </a:graphic>
          </wp:anchor>
        </w:drawing>
      </w:r>
    </w:p>
    <w:p>
      <w:pPr>
        <w:pStyle w:val="Normal"/>
        <w:bidi w:val="0"/>
        <w:jc w:val="left"/>
        <w:rPr>
          <w:b/>
          <w:b/>
          <w:bCs/>
        </w:rPr>
      </w:pPr>
      <w:r>
        <w:rPr>
          <w:b/>
          <w:bCs/>
        </w:rPr>
        <w:t>Figure S8. 1D sweeps at three signal speeds (</w:t>
      </w:r>
      <w:r>
        <w:rPr>
          <w:rStyle w:val="StrongEmphasis"/>
        </w:rPr>
        <w:t>High-resolution</w:t>
      </w:r>
      <w:r>
        <w:rPr>
          <w:b/>
          <w:bCs/>
        </w:rPr>
        <w:t xml:space="preserve"> version of Fig. 9).</w:t>
      </w:r>
    </w:p>
    <w:p>
      <w:pPr>
        <w:pStyle w:val="Normal"/>
        <w:bidi w:val="0"/>
        <w:jc w:val="left"/>
        <w:rPr/>
      </w:pPr>
      <w:r>
        <w:rPr/>
        <w:t>See legend of Fig. 9 in the main text.</w:t>
      </w:r>
    </w:p>
    <w:p>
      <w:pPr>
        <w:pStyle w:val="Normal"/>
        <w:bidi w:val="0"/>
        <w:jc w:val="left"/>
        <w:rPr/>
      </w:pPr>
      <w:r>
        <w:rPr/>
      </w:r>
      <w:r>
        <w:br w:type="page"/>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0" allowOverlap="1" relativeHeight="13">
            <wp:simplePos x="0" y="0"/>
            <wp:positionH relativeFrom="column">
              <wp:align>center</wp:align>
            </wp:positionH>
            <wp:positionV relativeFrom="paragraph">
              <wp:posOffset>635</wp:posOffset>
            </wp:positionV>
            <wp:extent cx="3200400" cy="3200400"/>
            <wp:effectExtent l="0" t="0" r="0" b="0"/>
            <wp:wrapTopAndBottom/>
            <wp:docPr id="12"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pic:cNvPicPr>
                      <a:picLocks noChangeAspect="1" noChangeArrowheads="1"/>
                    </pic:cNvPicPr>
                  </pic:nvPicPr>
                  <pic:blipFill>
                    <a:blip r:embed="rId13"/>
                    <a:stretch>
                      <a:fillRect/>
                    </a:stretch>
                  </pic:blipFill>
                  <pic:spPr bwMode="auto">
                    <a:xfrm>
                      <a:off x="0" y="0"/>
                      <a:ext cx="3200400" cy="3200400"/>
                    </a:xfrm>
                    <a:prstGeom prst="rect">
                      <a:avLst/>
                    </a:prstGeom>
                  </pic:spPr>
                </pic:pic>
              </a:graphicData>
            </a:graphic>
          </wp:anchor>
        </w:drawing>
      </w:r>
    </w:p>
    <w:p>
      <w:pPr>
        <w:pStyle w:val="Normal"/>
        <w:bidi w:val="0"/>
        <w:jc w:val="left"/>
        <w:rPr>
          <w:b/>
          <w:b/>
          <w:bCs/>
        </w:rPr>
      </w:pPr>
      <w:r>
        <w:rPr>
          <w:b/>
          <w:bCs/>
        </w:rPr>
        <w:t>Figure S9. Power-law fit (</w:t>
      </w:r>
      <w:r>
        <w:rPr>
          <w:rStyle w:val="StrongEmphasis"/>
        </w:rPr>
        <w:t>High-resolution</w:t>
      </w:r>
      <w:r>
        <w:rPr>
          <w:b/>
          <w:bCs/>
        </w:rPr>
        <w:t xml:space="preserve"> version of Fig. 10).</w:t>
      </w:r>
    </w:p>
    <w:p>
      <w:pPr>
        <w:pStyle w:val="Normal"/>
        <w:bidi w:val="0"/>
        <w:jc w:val="left"/>
        <w:rPr/>
      </w:pPr>
      <w:r>
        <w:rPr/>
        <w:t>See legend of Fig. 10 in the main text.</w:t>
      </w:r>
    </w:p>
    <w:p>
      <w:pPr>
        <w:pStyle w:val="Normal"/>
        <w:bidi w:val="0"/>
        <w:jc w:val="left"/>
        <w:rPr/>
      </w:pPr>
      <w:r>
        <w:rPr/>
      </w:r>
    </w:p>
    <w:p>
      <w:pPr>
        <w:pStyle w:val="Normal"/>
        <w:bidi w:val="0"/>
        <w:jc w:val="left"/>
        <w:rPr/>
      </w:pPr>
      <w:r>
        <w:rPr/>
      </w:r>
      <w:r>
        <w:br w:type="page"/>
      </w:r>
    </w:p>
    <w:p>
      <w:pPr>
        <w:pStyle w:val="TextBody"/>
        <w:bidi w:val="0"/>
        <w:jc w:val="left"/>
        <w:rPr>
          <w:sz w:val="28"/>
          <w:szCs w:val="28"/>
        </w:rPr>
      </w:pPr>
      <w:r>
        <w:rPr>
          <w:rStyle w:val="StrongEmphasis"/>
          <w:sz w:val="28"/>
          <w:szCs w:val="28"/>
        </w:rPr>
        <w:t>Supplementary Note 3. Code availability and Zenodo repository.</w:t>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TextBody"/>
        <w:bidi w:val="0"/>
        <w:jc w:val="left"/>
        <w:rPr/>
      </w:pPr>
      <w:r>
        <w:rPr>
          <w:rStyle w:val="StrongEmphasis"/>
        </w:rPr>
        <w:t>Code availability.</w:t>
      </w:r>
      <w:r>
        <w:rPr/>
        <w:t xml:space="preserve"> All simulation code is archived on Zenodo (version 3, DOI: 10.5281/zenodo.21721670). The repository includes the FiPy 3D solver, the homogeneous analysis scripts, the stroboscopic analysis code, the Boolean mask builder, and the parameter sweep scripts.</w:t>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Liberation Mono">
    <w:altName w:val="Courier New"/>
    <w:charset w:val="01"/>
    <w:family w:val="roman"/>
    <w:pitch w:val="variable"/>
  </w:font>
  <w:font w:name="Liberation Sans">
    <w:altName w:val="Arial"/>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fr-FR"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oto Serif CJK SC" w:cs="Lohit Devanagari"/>
      <w:color w:val="auto"/>
      <w:kern w:val="2"/>
      <w:sz w:val="24"/>
      <w:szCs w:val="24"/>
      <w:lang w:val="fr-FR" w:eastAsia="zh-CN" w:bidi="hi-IN"/>
    </w:rPr>
  </w:style>
  <w:style w:type="paragraph" w:styleId="Heading2">
    <w:name w:val="Heading 2"/>
    <w:basedOn w:val="Heading"/>
    <w:next w:val="TextBody"/>
    <w:qFormat/>
    <w:pPr>
      <w:numPr>
        <w:ilvl w:val="0"/>
        <w:numId w:val="0"/>
      </w:numPr>
      <w:spacing w:before="200" w:after="120"/>
      <w:outlineLvl w:val="1"/>
    </w:pPr>
    <w:rPr>
      <w:rFonts w:ascii="Liberation Serif" w:hAnsi="Liberation Serif" w:eastAsia="Noto Serif CJK SC" w:cs="Lohit Devanagari"/>
      <w:b/>
      <w:bCs/>
      <w:sz w:val="36"/>
      <w:szCs w:val="36"/>
    </w:rPr>
  </w:style>
  <w:style w:type="paragraph" w:styleId="Heading3">
    <w:name w:val="Heading 3"/>
    <w:basedOn w:val="Heading"/>
    <w:next w:val="TextBody"/>
    <w:qFormat/>
    <w:pPr>
      <w:numPr>
        <w:ilvl w:val="0"/>
        <w:numId w:val="0"/>
      </w:numPr>
      <w:spacing w:before="140" w:after="120"/>
      <w:outlineLvl w:val="2"/>
    </w:pPr>
    <w:rPr>
      <w:rFonts w:ascii="Liberation Serif" w:hAnsi="Liberation Serif" w:eastAsia="Noto Serif CJK SC" w:cs="Lohit Devanagari"/>
      <w:b/>
      <w:bCs/>
      <w:sz w:val="28"/>
      <w:szCs w:val="28"/>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SourceText">
    <w:name w:val="Source Text"/>
    <w:qFormat/>
    <w:rPr>
      <w:rFonts w:ascii="Liberation Mono" w:hAnsi="Liberation Mono" w:eastAsia="Noto Sans Mono CJK SC" w:cs="Liberation Mono"/>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429</TotalTime>
  <Application>LibreOffice/7.3.7.2$Linux_X86_64 LibreOffice_project/30$Build-2</Application>
  <AppVersion>15.0000</AppVersion>
  <Pages>20</Pages>
  <Words>1633</Words>
  <Characters>9707</Characters>
  <CharactersWithSpaces>11164</CharactersWithSpaces>
  <Paragraphs>212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2026-07-21T16:53:15Z</dcterms:created>
  <dc:creator/>
  <dc:description/>
  <dc:language>en-US</dc:language>
  <cp:lastModifiedBy/>
  <dcterms:modified xsi:type="dcterms:W3CDTF">2026-07-31T16:41:54Z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file>