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B9E6C7">
      <w:pPr>
        <w:jc w:val="center"/>
        <w:rPr>
          <w:rFonts w:ascii="Calibri" w:hAnsi="Calibri" w:eastAsia="Calibri" w:cs="Calibri"/>
          <w:b/>
          <w:bCs/>
          <w:sz w:val="32"/>
          <w:szCs w:val="32"/>
        </w:rPr>
      </w:pPr>
      <w:r>
        <w:rPr>
          <w:rFonts w:ascii="Calibri" w:hAnsi="Calibri" w:eastAsia="Calibri" w:cs="Calibri"/>
          <w:b/>
          <w:bCs/>
          <w:sz w:val="32"/>
          <w:szCs w:val="32"/>
        </w:rPr>
        <w:t>Supplementary Figures S1 to S3</w:t>
      </w:r>
    </w:p>
    <w:p w14:paraId="34E3CE3F">
      <w:pPr>
        <w:rPr>
          <w:rFonts w:hint="default"/>
          <w:lang w:val="en-US" w:eastAsia="zh-CN"/>
        </w:rPr>
      </w:pPr>
    </w:p>
    <w:p w14:paraId="75EFBDD7"/>
    <w:p w14:paraId="5CAD3F02"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192405</wp:posOffset>
            </wp:positionH>
            <wp:positionV relativeFrom="paragraph">
              <wp:posOffset>83185</wp:posOffset>
            </wp:positionV>
            <wp:extent cx="4743450" cy="4004310"/>
            <wp:effectExtent l="0" t="0" r="0" b="0"/>
            <wp:wrapTopAndBottom/>
            <wp:docPr id="1" name="图片 2" descr="C:/Users/10369/Desktop/新Fontus/ATS/准备阶段/Figures 格式转化前/流程图.png流程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2" descr="C:/Users/10369/Desktop/新Fontus/ATS/准备阶段/Figures 格式转化前/流程图.png流程图"/>
                    <pic:cNvPicPr>
                      <a:picLocks noChangeAspect="1"/>
                    </pic:cNvPicPr>
                  </pic:nvPicPr>
                  <pic:blipFill>
                    <a:blip r:embed="rId4"/>
                    <a:srcRect l="-2203" t="-191" r="-4372"/>
                    <a:stretch>
                      <a:fillRect/>
                    </a:stretch>
                  </pic:blipFill>
                  <pic:spPr>
                    <a:xfrm>
                      <a:off x="0" y="0"/>
                      <a:ext cx="4743450" cy="4004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B39B260">
      <w:pPr>
        <w:bidi w:val="0"/>
        <w:rPr>
          <w:rFonts w:asciiTheme="minorHAnsi" w:hAnsiTheme="minorHAnsi" w:eastAsiaTheme="minorEastAsia" w:cstheme="minorBidi"/>
          <w:kern w:val="2"/>
          <w:sz w:val="24"/>
          <w:szCs w:val="24"/>
          <w:lang w:val="en-US" w:eastAsia="zh-CN" w:bidi="ar-SA"/>
        </w:rPr>
      </w:pPr>
      <w:bookmarkStart w:id="0" w:name="_GoBack"/>
      <w:bookmarkEnd w:id="0"/>
    </w:p>
    <w:p w14:paraId="5FA92BB2">
      <w:pPr>
        <w:bidi w:val="0"/>
        <w:jc w:val="left"/>
        <w:rPr>
          <w:rFonts w:hint="default" w:ascii="Arial" w:hAnsi="Arial" w:eastAsia="宋体" w:cs="Arial"/>
          <w:sz w:val="24"/>
          <w:szCs w:val="24"/>
          <w:lang w:val="en-US" w:eastAsia="zh-CN"/>
        </w:rPr>
      </w:pPr>
      <w:r>
        <w:rPr>
          <w:rFonts w:hint="eastAsia" w:ascii="Arial" w:hAnsi="Arial" w:eastAsia="宋体" w:cs="Arial"/>
          <w:b/>
          <w:bCs/>
          <w:sz w:val="24"/>
          <w:szCs w:val="24"/>
          <w:lang w:val="en-US" w:eastAsia="zh-CN"/>
        </w:rPr>
        <w:t>Figure S1</w:t>
      </w:r>
      <w:r>
        <w:rPr>
          <w:rFonts w:hint="eastAsia" w:ascii="Arial" w:hAnsi="Arial" w:eastAsia="宋体" w:cs="Arial"/>
          <w:sz w:val="24"/>
          <w:szCs w:val="24"/>
          <w:lang w:val="en-US" w:eastAsia="zh-CN"/>
        </w:rPr>
        <w:t xml:space="preserve">: </w:t>
      </w:r>
      <w:r>
        <w:rPr>
          <w:rFonts w:hint="default" w:ascii="Arial" w:hAnsi="Arial" w:eastAsia="宋体" w:cs="Arial"/>
          <w:sz w:val="24"/>
          <w:szCs w:val="24"/>
          <w:lang w:val="en-US" w:eastAsia="zh-CN"/>
        </w:rPr>
        <w:t>Flow chart for selection of the study population. TAAD, type A aortic dissection; TEVAR, thoracic endovascular aneurysm repair; CTA, computed tomography angiography</w:t>
      </w:r>
    </w:p>
    <w:p w14:paraId="00FB0A3C">
      <w:pPr>
        <w:rPr>
          <w:rFonts w:hint="default" w:ascii="Arial" w:hAnsi="Arial" w:eastAsia="宋体" w:cs="Arial"/>
          <w:sz w:val="24"/>
          <w:szCs w:val="24"/>
          <w:lang w:val="en-US" w:eastAsia="zh-CN"/>
        </w:rPr>
      </w:pPr>
      <w:r>
        <w:rPr>
          <w:rFonts w:hint="default" w:ascii="Arial" w:hAnsi="Arial" w:eastAsia="宋体" w:cs="Arial"/>
          <w:sz w:val="24"/>
          <w:szCs w:val="24"/>
          <w:lang w:val="en-US" w:eastAsia="zh-CN"/>
        </w:rPr>
        <w:br w:type="page"/>
      </w:r>
    </w:p>
    <w:p w14:paraId="1ADDC15B">
      <w:pPr>
        <w:bidi w:val="0"/>
        <w:jc w:val="left"/>
        <w:rPr>
          <w:rFonts w:hint="default" w:ascii="Arial" w:hAnsi="Arial" w:eastAsia="宋体" w:cs="Arial"/>
          <w:sz w:val="24"/>
          <w:szCs w:val="24"/>
          <w:lang w:val="en-US" w:eastAsia="zh-CN"/>
        </w:rPr>
      </w:pPr>
      <w:r>
        <w:rPr>
          <w:rFonts w:hint="default" w:ascii="Arial" w:hAnsi="Arial" w:eastAsia="宋体" w:cs="Arial"/>
          <w:sz w:val="24"/>
          <w:szCs w:val="24"/>
          <w:lang w:val="en-US" w:eastAsia="zh-CN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-217805</wp:posOffset>
            </wp:positionH>
            <wp:positionV relativeFrom="paragraph">
              <wp:posOffset>307340</wp:posOffset>
            </wp:positionV>
            <wp:extent cx="5614670" cy="3303270"/>
            <wp:effectExtent l="0" t="0" r="11430" b="11430"/>
            <wp:wrapTopAndBottom/>
            <wp:docPr id="2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14670" cy="330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D6E6470">
      <w:pPr>
        <w:bidi w:val="0"/>
        <w:rPr>
          <w:rFonts w:hint="default" w:asciiTheme="minorHAnsi" w:hAnsiTheme="minorHAnsi" w:eastAsiaTheme="minorEastAsia" w:cstheme="minorBidi"/>
          <w:kern w:val="2"/>
          <w:sz w:val="24"/>
          <w:szCs w:val="24"/>
          <w:lang w:val="en-US" w:eastAsia="zh-CN" w:bidi="ar-SA"/>
        </w:rPr>
      </w:pPr>
    </w:p>
    <w:p w14:paraId="656705F2">
      <w:pPr>
        <w:bidi w:val="0"/>
        <w:jc w:val="left"/>
        <w:rPr>
          <w:rFonts w:hint="default" w:ascii="Arial" w:hAnsi="Arial" w:eastAsia="宋体" w:cs="Arial"/>
          <w:sz w:val="24"/>
          <w:szCs w:val="24"/>
          <w:lang w:val="en-US" w:eastAsia="zh-CN"/>
        </w:rPr>
      </w:pPr>
      <w:r>
        <w:rPr>
          <w:rFonts w:hint="default" w:ascii="Arial" w:hAnsi="Arial" w:eastAsia="宋体" w:cs="Arial"/>
          <w:b/>
          <w:bCs/>
          <w:sz w:val="24"/>
          <w:szCs w:val="24"/>
          <w:lang w:val="en-US" w:eastAsia="zh-CN"/>
        </w:rPr>
        <w:t xml:space="preserve">Figure </w:t>
      </w:r>
      <w:r>
        <w:rPr>
          <w:rFonts w:hint="eastAsia" w:ascii="Arial" w:hAnsi="Arial" w:eastAsia="宋体" w:cs="Arial"/>
          <w:b/>
          <w:bCs/>
          <w:sz w:val="24"/>
          <w:szCs w:val="24"/>
          <w:lang w:val="en-US" w:eastAsia="zh-CN"/>
        </w:rPr>
        <w:t>S2</w:t>
      </w:r>
      <w:r>
        <w:rPr>
          <w:rFonts w:hint="default" w:ascii="Arial" w:hAnsi="Arial" w:eastAsia="宋体" w:cs="Arial"/>
          <w:b/>
          <w:bCs/>
          <w:sz w:val="24"/>
          <w:szCs w:val="24"/>
          <w:lang w:val="en-US" w:eastAsia="zh-CN"/>
        </w:rPr>
        <w:t>:</w:t>
      </w:r>
      <w:r>
        <w:rPr>
          <w:rFonts w:hint="default" w:ascii="Arial" w:hAnsi="Arial" w:eastAsia="宋体" w:cs="Arial"/>
          <w:sz w:val="24"/>
          <w:szCs w:val="24"/>
          <w:lang w:val="en-US" w:eastAsia="zh-CN"/>
        </w:rPr>
        <w:t xml:space="preserve"> Fontus Device Description and Model Selection. (A) Schematic diagram and components. (B) Available sizes. (Reproduced from Zhang W et al., Int J Cardiol 431 (2025) 133268; Used with permission.)</w:t>
      </w:r>
    </w:p>
    <w:p w14:paraId="035CB64A">
      <w:pPr>
        <w:rPr>
          <w:rFonts w:hint="default" w:ascii="Arial" w:hAnsi="Arial" w:eastAsia="宋体" w:cs="Arial"/>
          <w:sz w:val="24"/>
          <w:szCs w:val="24"/>
          <w:lang w:val="en-US" w:eastAsia="zh-CN"/>
        </w:rPr>
      </w:pPr>
      <w:r>
        <w:rPr>
          <w:rFonts w:hint="default" w:ascii="Arial" w:hAnsi="Arial" w:eastAsia="宋体" w:cs="Arial"/>
          <w:sz w:val="24"/>
          <w:szCs w:val="24"/>
          <w:lang w:val="en-US" w:eastAsia="zh-CN"/>
        </w:rPr>
        <w:br w:type="page"/>
      </w:r>
    </w:p>
    <w:p w14:paraId="1C526D3D">
      <w:pPr>
        <w:bidi w:val="0"/>
        <w:jc w:val="left"/>
        <w:rPr>
          <w:rFonts w:hint="default" w:ascii="Arial" w:hAnsi="Arial" w:eastAsia="宋体" w:cs="Arial"/>
          <w:sz w:val="24"/>
          <w:szCs w:val="24"/>
          <w:lang w:val="en-US" w:eastAsia="zh-CN"/>
        </w:rPr>
      </w:pPr>
      <w:r>
        <w:rPr>
          <w:rFonts w:hint="default" w:ascii="Arial" w:hAnsi="Arial" w:eastAsia="宋体" w:cs="Arial"/>
          <w:sz w:val="24"/>
          <w:szCs w:val="24"/>
          <w:lang w:val="en-US" w:eastAsia="zh-CN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159385</wp:posOffset>
            </wp:positionH>
            <wp:positionV relativeFrom="paragraph">
              <wp:posOffset>26035</wp:posOffset>
            </wp:positionV>
            <wp:extent cx="4606290" cy="4984750"/>
            <wp:effectExtent l="0" t="0" r="3810" b="6350"/>
            <wp:wrapTopAndBottom/>
            <wp:docPr id="3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606290" cy="4984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ECAADB0">
      <w:pPr>
        <w:bidi w:val="0"/>
        <w:jc w:val="left"/>
        <w:rPr>
          <w:rFonts w:hint="default" w:asciiTheme="minorHAnsi" w:hAnsiTheme="minorHAnsi" w:eastAsiaTheme="minorEastAsia" w:cstheme="minorBidi"/>
          <w:kern w:val="2"/>
          <w:sz w:val="24"/>
          <w:szCs w:val="24"/>
          <w:lang w:val="en-US" w:eastAsia="zh-CN" w:bidi="ar-SA"/>
        </w:rPr>
      </w:pPr>
      <w:r>
        <w:rPr>
          <w:rFonts w:hint="default" w:ascii="Arial" w:hAnsi="Arial" w:eastAsia="宋体" w:cs="Arial"/>
          <w:b/>
          <w:bCs/>
          <w:sz w:val="24"/>
          <w:szCs w:val="24"/>
          <w:lang w:val="en-US" w:eastAsia="zh-CN"/>
        </w:rPr>
        <w:t xml:space="preserve">Figure </w:t>
      </w:r>
      <w:r>
        <w:rPr>
          <w:rFonts w:hint="eastAsia" w:ascii="Arial" w:hAnsi="Arial" w:eastAsia="宋体" w:cs="Arial"/>
          <w:b/>
          <w:bCs/>
          <w:sz w:val="24"/>
          <w:szCs w:val="24"/>
          <w:lang w:val="en-US" w:eastAsia="zh-CN"/>
        </w:rPr>
        <w:t>S3</w:t>
      </w:r>
      <w:r>
        <w:rPr>
          <w:rFonts w:hint="default" w:ascii="Arial" w:hAnsi="Arial" w:eastAsia="宋体" w:cs="Arial"/>
          <w:b/>
          <w:bCs/>
          <w:sz w:val="24"/>
          <w:szCs w:val="24"/>
          <w:lang w:val="en-US" w:eastAsia="zh-CN"/>
        </w:rPr>
        <w:t>:</w:t>
      </w:r>
      <w:r>
        <w:rPr>
          <w:rFonts w:hint="default" w:ascii="Arial" w:hAnsi="Arial" w:eastAsia="宋体" w:cs="Arial"/>
          <w:sz w:val="24"/>
          <w:szCs w:val="24"/>
          <w:lang w:val="en-US" w:eastAsia="zh-CN"/>
        </w:rPr>
        <w:t xml:space="preserve"> Fontus Stent CT Imaging Findings. (A) 3D reconstruction post-Fontus placement. (B) Branch endoleak (white arrow) and its spontaneous resolution at six months. (C) Sagittal reconstruction of dSINE (red arrow) caused by excessive distal angulation. (LSA, Left Subclavian Artery; dSINE, Distal Stent Graft-Induced New Entry.)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ABC6E22"/>
    <w:rsid w:val="043F299D"/>
    <w:rsid w:val="10AC760C"/>
    <w:rsid w:val="184A22E6"/>
    <w:rsid w:val="2BAE5C6B"/>
    <w:rsid w:val="2D3E35CA"/>
    <w:rsid w:val="33EA0A41"/>
    <w:rsid w:val="35E93C67"/>
    <w:rsid w:val="3ABC6E22"/>
    <w:rsid w:val="51850890"/>
    <w:rsid w:val="675707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4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106</Words>
  <Characters>641</Characters>
  <Lines>0</Lines>
  <Paragraphs>0</Paragraphs>
  <TotalTime>3</TotalTime>
  <ScaleCrop>false</ScaleCrop>
  <LinksUpToDate>false</LinksUpToDate>
  <CharactersWithSpaces>743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2025-12-23T08:15:00Z</dcterms:created>
  <dc:creator>Weize Zhang</dc:creator>
  <cp:lastModifiedBy>Weize Zhang</cp:lastModifiedBy>
  <dcterms:modified xsi:type="dcterms:W3CDTF">2026-04-24T08:25:10Z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B778F57225F845DEB7BB12DC850D5FCA_13</vt:lpwstr>
  </property>
  <property fmtid="{D5CDD505-2E9C-101B-9397-08002B2CF9AE}" pid="4" name="KSOTemplateDocerSaveRecord">
    <vt:lpwstr>eyJoZGlkIjoiMTBhZmE3MTU3ZmIyNWNmN2ZjYzk5ZjMyODBmZDBlZjAiLCJ1c2VySWQiOiIzODQzNDU3NTMifQ==</vt:lpwstr>
  </property>
</Properties>
</file>