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media/rId1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supplementary-information"/>
    <w:p>
      <w:pPr>
        <w:pStyle w:val="1"/>
      </w:pPr>
      <w:r>
        <w:t xml:space="preserve">Supplementary Information</w:t>
      </w:r>
    </w:p>
    <w:p>
      <w:pPr>
        <w:pStyle w:val="NoIndent"/>
      </w:pPr>
      <w:r>
        <w:rPr>
          <w:b/>
          <w:bCs/>
        </w:rPr>
        <w:t xml:space="preserve">A physics-based framework for monitoring global temperature surges</w:t>
      </w:r>
    </w:p>
    <w:p>
      <w:pPr>
        <w:pStyle w:val="NoIndent"/>
      </w:pPr>
      <w:r>
        <w:t xml:space="preserve">Shoshiro Minobe, Erik Behrens, Kirsten L. Findell, Erich M. Fischer, Benoit Meyssignac, Takuro Michibata &amp; Rowan Sutton</w:t>
      </w:r>
    </w:p>
    <w:bookmarkStart w:id="20" w:name="Xafa8f85d13c4329813001552571e3507192ef0c"/>
    <w:p>
      <w:pPr>
        <w:pStyle w:val="2"/>
      </w:pPr>
      <w:r>
        <w:t xml:space="preserve">Supplementary Note 1 | Idealized examples of the one-year budget</w:t>
      </w:r>
    </w:p>
    <w:p>
      <w:pPr>
        <w:pStyle w:val="FirstParagraph"/>
      </w:pPr>
      <w:r>
        <w:t xml:space="preserve">To aid interpretation of the budget decomposition (Fig. 2b), this note illustrates equation (2) for three idealized histories of the subsurface reservoir, with the radiative term and</w:t>
      </w:r>
      <w:r>
        <w:t xml:space="preserve"> </w:t>
      </w:r>
      <w:r>
        <w:rPr>
          <w:i/>
          <w:iCs/>
        </w:rPr>
        <w:t xml:space="preserve">C</w:t>
      </w:r>
      <w:r>
        <w:t xml:space="preserve"> </w:t>
      </w:r>
      <w:r>
        <w:t xml:space="preserve">set to zero. Equation (2) then reduces to (</w:t>
      </w:r>
      <w:r>
        <w:rPr>
          <w:i/>
          <w:iCs/>
        </w:rPr>
        <w:t xml:space="preserve">A</w:t>
      </w:r>
      <w:r>
        <w:t xml:space="preserve">+</w:t>
      </w:r>
      <w:r>
        <w:rPr>
          <w:i/>
          <w:iCs/>
        </w:rPr>
        <w:t xml:space="preserve">O</w:t>
      </w:r>
      <w:r>
        <w:rPr>
          <w:vertAlign w:val="subscript"/>
        </w:rPr>
        <w:t xml:space="preserve">100</w:t>
      </w:r>
      <w:r>
        <w:t xml:space="preserve">)(</w:t>
      </w:r>
      <w:r>
        <w:rPr>
          <w:i/>
          <w:iCs/>
        </w:rPr>
        <w:t xml:space="preserve">t</w:t>
      </w:r>
      <w:r>
        <w:t xml:space="preserve">) = (</w:t>
      </w:r>
      <w:r>
        <w:rPr>
          <w:i/>
          <w:iCs/>
        </w:rPr>
        <w:t xml:space="preserve">A</w:t>
      </w:r>
      <w:r>
        <w:t xml:space="preserve">+</w:t>
      </w:r>
      <w:r>
        <w:rPr>
          <w:i/>
          <w:iCs/>
        </w:rPr>
        <w:t xml:space="preserve">O</w:t>
      </w:r>
      <w:r>
        <w:rPr>
          <w:vertAlign w:val="subscript"/>
        </w:rPr>
        <w:t xml:space="preserve">100</w:t>
      </w:r>
      <w:r>
        <w:t xml:space="preserve">)(</w:t>
      </w:r>
      <w:r>
        <w:rPr>
          <w:i/>
          <w:iCs/>
        </w:rPr>
        <w:t xml:space="preserve">t</w:t>
      </w:r>
      <w:r>
        <w:t xml:space="preserve"> </w:t>
      </w:r>
      <w:r>
        <w:t xml:space="preserve">− 1yr) +</w:t>
      </w:r>
      <w:r>
        <w:t xml:space="preserve"> </w:t>
      </w:r>
      <w:r>
        <w:rPr>
          <w:i/>
          <w:iCs/>
        </w:rPr>
        <w:t xml:space="preserve">S</w:t>
      </w:r>
      <w:r>
        <w:t xml:space="preserve">(</w:t>
      </w:r>
      <w:r>
        <w:rPr>
          <w:i/>
          <w:iCs/>
        </w:rPr>
        <w:t xml:space="preserve">t</w:t>
      </w:r>
      <w:r>
        <w:t xml:space="preserve">), with</w:t>
      </w:r>
      <w:r>
        <w:t xml:space="preserve"> </w:t>
      </w:r>
      <w:r>
        <w:rPr>
          <w:i/>
          <w:iCs/>
        </w:rPr>
        <w:t xml:space="preserve">S</w:t>
      </w:r>
      <w:r>
        <w:t xml:space="preserve">(</w:t>
      </w:r>
      <w:r>
        <w:rPr>
          <w:i/>
          <w:iCs/>
        </w:rPr>
        <w:t xml:space="preserve">t</w:t>
      </w:r>
      <w:r>
        <w:t xml:space="preserve">) = −Δ</w:t>
      </w:r>
      <w:r>
        <w:rPr>
          <w:vertAlign w:val="subscript"/>
        </w:rPr>
        <w:t xml:space="preserve">1yr</w:t>
      </w:r>
      <w:r>
        <w:t xml:space="preserve">(</w:t>
      </w:r>
      <w:r>
        <w:rPr>
          <w:i/>
          <w:iCs/>
        </w:rPr>
        <w:t xml:space="preserve">O</w:t>
      </w:r>
      <w:r>
        <w:rPr>
          <w:vertAlign w:val="subscript"/>
        </w:rPr>
        <w:t xml:space="preserve">sub</w:t>
      </w:r>
      <w:r>
        <w:t xml:space="preserve">) = −[</w:t>
      </w:r>
      <w:r>
        <w:rPr>
          <w:i/>
          <w:iCs/>
        </w:rPr>
        <w:t xml:space="preserve">O</w:t>
      </w:r>
      <w:r>
        <w:rPr>
          <w:vertAlign w:val="subscript"/>
        </w:rPr>
        <w:t xml:space="preserve">sub</w:t>
      </w:r>
      <w:r>
        <w:t xml:space="preserve">(</w:t>
      </w:r>
      <w:r>
        <w:rPr>
          <w:i/>
          <w:iCs/>
        </w:rPr>
        <w:t xml:space="preserve">t</w:t>
      </w:r>
      <w:r>
        <w:t xml:space="preserve">) −</w:t>
      </w:r>
      <w:r>
        <w:t xml:space="preserve"> </w:t>
      </w:r>
      <w:r>
        <w:rPr>
          <w:i/>
          <w:iCs/>
        </w:rPr>
        <w:t xml:space="preserve">O</w:t>
      </w:r>
      <w:r>
        <w:rPr>
          <w:vertAlign w:val="subscript"/>
        </w:rPr>
        <w:t xml:space="preserve">sub</w:t>
      </w:r>
      <w:r>
        <w:t xml:space="preserve">(</w:t>
      </w:r>
      <w:r>
        <w:rPr>
          <w:i/>
          <w:iCs/>
        </w:rPr>
        <w:t xml:space="preserve">t</w:t>
      </w:r>
      <w:r>
        <w:t xml:space="preserve"> </w:t>
      </w:r>
      <w:r>
        <w:t xml:space="preserve">− 1yr)], a trailing one-year difference of the subsurface reservoir. We consider three cases, for all of which both (</w:t>
      </w:r>
      <w:r>
        <w:rPr>
          <w:i/>
          <w:iCs/>
        </w:rPr>
        <w:t xml:space="preserve">A</w:t>
      </w:r>
      <w:r>
        <w:t xml:space="preserve">+</w:t>
      </w:r>
      <w:r>
        <w:rPr>
          <w:i/>
          <w:iCs/>
        </w:rPr>
        <w:t xml:space="preserve">O</w:t>
      </w:r>
      <w:r>
        <w:rPr>
          <w:vertAlign w:val="subscript"/>
        </w:rPr>
        <w:t xml:space="preserve">100</w:t>
      </w:r>
      <w:r>
        <w:t xml:space="preserve">) and</w:t>
      </w:r>
      <w:r>
        <w:t xml:space="preserve"> </w:t>
      </w:r>
      <w:r>
        <w:rPr>
          <w:i/>
          <w:iCs/>
        </w:rPr>
        <w:t xml:space="preserve">O</w:t>
      </w:r>
      <w:r>
        <w:rPr>
          <w:vertAlign w:val="subscript"/>
        </w:rPr>
        <w:t xml:space="preserve">sub</w:t>
      </w:r>
      <w:r>
        <w:t xml:space="preserve"> </w:t>
      </w:r>
      <w:r>
        <w:t xml:space="preserve">are zero for</w:t>
      </w:r>
      <w:r>
        <w:t xml:space="preserve"> </w:t>
      </w:r>
      <w:r>
        <w:rPr>
          <w:i/>
          <w:iCs/>
        </w:rPr>
        <w:t xml:space="preserve">t</w:t>
      </w:r>
      <w:r>
        <w:t xml:space="preserve"> </w:t>
      </w:r>
      <w:r>
        <w:t xml:space="preserve">&lt; 0. Energy conservation then requires (</w:t>
      </w:r>
      <w:r>
        <w:rPr>
          <w:i/>
          <w:iCs/>
        </w:rPr>
        <w:t xml:space="preserve">A</w:t>
      </w:r>
      <w:r>
        <w:t xml:space="preserve">+</w:t>
      </w:r>
      <w:r>
        <w:rPr>
          <w:i/>
          <w:iCs/>
        </w:rPr>
        <w:t xml:space="preserve">O</w:t>
      </w:r>
      <w:r>
        <w:rPr>
          <w:vertAlign w:val="subscript"/>
        </w:rPr>
        <w:t xml:space="preserve">100</w:t>
      </w:r>
      <w:r>
        <w:t xml:space="preserve">)(</w:t>
      </w:r>
      <w:r>
        <w:rPr>
          <w:i/>
          <w:iCs/>
        </w:rPr>
        <w:t xml:space="preserve">t</w:t>
      </w:r>
      <w:r>
        <w:t xml:space="preserve">) = −</w:t>
      </w:r>
      <w:r>
        <w:rPr>
          <w:i/>
          <w:iCs/>
        </w:rPr>
        <w:t xml:space="preserve">O</w:t>
      </w:r>
      <w:r>
        <w:rPr>
          <w:vertAlign w:val="subscript"/>
        </w:rPr>
        <w:t xml:space="preserve">sub</w:t>
      </w:r>
      <w:r>
        <w:t xml:space="preserve">(</w:t>
      </w:r>
      <w:r>
        <w:rPr>
          <w:i/>
          <w:iCs/>
        </w:rPr>
        <w:t xml:space="preserve">t</w:t>
      </w:r>
      <w:r>
        <w:t xml:space="preserve">) at every later time.</w:t>
      </w:r>
    </w:p>
    <w:p>
      <w:pPr>
        <w:pStyle w:val="a0"/>
      </w:pPr>
      <w:r>
        <w:t xml:space="preserve">Supplementary Fig. 1 shows the three cases, each defined by a different history of the subsurface reservoir. (a) Constant uptake:</w:t>
      </w:r>
      <w:r>
        <w:t xml:space="preserve"> </w:t>
      </w:r>
      <w:r>
        <w:rPr>
          <w:i/>
          <w:iCs/>
        </w:rPr>
        <w:t xml:space="preserve">O</w:t>
      </w:r>
      <w:r>
        <w:rPr>
          <w:vertAlign w:val="subscript"/>
        </w:rPr>
        <w:t xml:space="preserve">sub</w:t>
      </w:r>
      <w:r>
        <w:t xml:space="preserve"> </w:t>
      </w:r>
      <w:r>
        <w:t xml:space="preserve">rises at a constant rate, so (</w:t>
      </w:r>
      <w:r>
        <w:rPr>
          <w:i/>
          <w:iCs/>
        </w:rPr>
        <w:t xml:space="preserve">A</w:t>
      </w:r>
      <w:r>
        <w:t xml:space="preserve">+</w:t>
      </w:r>
      <w:r>
        <w:rPr>
          <w:i/>
          <w:iCs/>
        </w:rPr>
        <w:t xml:space="preserve">O</w:t>
      </w:r>
      <w:r>
        <w:rPr>
          <w:vertAlign w:val="subscript"/>
        </w:rPr>
        <w:t xml:space="preserve">100</w:t>
      </w:r>
      <w:r>
        <w:t xml:space="preserve">) falls steadily. (b) Release followed by stop:</w:t>
      </w:r>
      <w:r>
        <w:t xml:space="preserve"> </w:t>
      </w:r>
      <w:r>
        <w:rPr>
          <w:i/>
          <w:iCs/>
        </w:rPr>
        <w:t xml:space="preserve">O</w:t>
      </w:r>
      <w:r>
        <w:rPr>
          <w:vertAlign w:val="subscript"/>
        </w:rPr>
        <w:t xml:space="preserve">sub</w:t>
      </w:r>
      <w:r>
        <w:t xml:space="preserve"> </w:t>
      </w:r>
      <w:r>
        <w:t xml:space="preserve">declines for one year and then holds its new level, so (</w:t>
      </w:r>
      <w:r>
        <w:rPr>
          <w:i/>
          <w:iCs/>
        </w:rPr>
        <w:t xml:space="preserve">A</w:t>
      </w:r>
      <w:r>
        <w:t xml:space="preserve">+</w:t>
      </w:r>
      <w:r>
        <w:rPr>
          <w:i/>
          <w:iCs/>
        </w:rPr>
        <w:t xml:space="preserve">O</w:t>
      </w:r>
      <w:r>
        <w:rPr>
          <w:vertAlign w:val="subscript"/>
        </w:rPr>
        <w:t xml:space="preserve">100</w:t>
      </w:r>
      <w:r>
        <w:t xml:space="preserve">) rises to a peak at</w:t>
      </w:r>
      <w:r>
        <w:t xml:space="preserve"> </w:t>
      </w:r>
      <w:r>
        <w:rPr>
          <w:i/>
          <w:iCs/>
        </w:rPr>
        <w:t xml:space="preserve">t</w:t>
      </w:r>
      <w:r>
        <w:t xml:space="preserve"> </w:t>
      </w:r>
      <w:r>
        <w:t xml:space="preserve">= 1yr and stays there indefinitely. (c) Release followed by equal uptake:</w:t>
      </w:r>
      <w:r>
        <w:t xml:space="preserve"> </w:t>
      </w:r>
      <w:r>
        <w:rPr>
          <w:i/>
          <w:iCs/>
        </w:rPr>
        <w:t xml:space="preserve">O</w:t>
      </w:r>
      <w:r>
        <w:rPr>
          <w:vertAlign w:val="subscript"/>
        </w:rPr>
        <w:t xml:space="preserve">sub</w:t>
      </w:r>
      <w:r>
        <w:t xml:space="preserve"> </w:t>
      </w:r>
      <w:r>
        <w:t xml:space="preserve">declines for one year and recovers over the next, so (</w:t>
      </w:r>
      <w:r>
        <w:rPr>
          <w:i/>
          <w:iCs/>
        </w:rPr>
        <w:t xml:space="preserve">A</w:t>
      </w:r>
      <w:r>
        <w:t xml:space="preserve">+</w:t>
      </w:r>
      <w:r>
        <w:rPr>
          <w:i/>
          <w:iCs/>
        </w:rPr>
        <w:t xml:space="preserve">O</w:t>
      </w:r>
      <w:r>
        <w:rPr>
          <w:vertAlign w:val="subscript"/>
        </w:rPr>
        <w:t xml:space="preserve">100</w:t>
      </w:r>
      <w:r>
        <w:t xml:space="preserve">) rises and then returns to zero rather than settling at a new level.</w:t>
      </w:r>
    </w:p>
    <w:p>
      <w:pPr>
        <w:pStyle w:val="a0"/>
      </w:pPr>
      <w:r>
        <w:t xml:space="preserve">These cases are useful to understand some features in Fig. 2b. Because this figure plots</w:t>
      </w:r>
      <w:r>
        <w:t xml:space="preserve"> </w:t>
      </w:r>
      <w:r>
        <w:rPr>
          <w:i/>
          <w:iCs/>
        </w:rPr>
        <w:t xml:space="preserve">S</w:t>
      </w:r>
      <w:r>
        <w:t xml:space="preserve"> </w:t>
      </w:r>
      <w:r>
        <w:t xml:space="preserve">and the carryover rather than</w:t>
      </w:r>
      <w:r>
        <w:t xml:space="preserve"> </w:t>
      </w:r>
      <w:r>
        <w:rPr>
          <w:i/>
          <w:iCs/>
        </w:rPr>
        <w:t xml:space="preserve">O</w:t>
      </w:r>
      <w:r>
        <w:rPr>
          <w:vertAlign w:val="subscript"/>
        </w:rPr>
        <w:t xml:space="preserve">sub</w:t>
      </w:r>
      <w:r>
        <w:t xml:space="preserve"> </w:t>
      </w:r>
      <w:r>
        <w:t xml:space="preserve">itself, each case also shows how these two terms divide one history between them. In case (a) the subsurface takes up heat at a constant rate, resulting in constant cooling of (</w:t>
      </w:r>
      <w:r>
        <w:rPr>
          <w:i/>
          <w:iCs/>
        </w:rPr>
        <w:t xml:space="preserve">A</w:t>
      </w:r>
      <w:r>
        <w:t xml:space="preserve">+</w:t>
      </w:r>
      <w:r>
        <w:rPr>
          <w:i/>
          <w:iCs/>
        </w:rPr>
        <w:t xml:space="preserve">O</w:t>
      </w:r>
      <w:r>
        <w:rPr>
          <w:vertAlign w:val="subscript"/>
        </w:rPr>
        <w:t xml:space="preserve">100</w:t>
      </w:r>
      <w:r>
        <w:t xml:space="preserve">), which is due to the decrease of</w:t>
      </w:r>
      <w:r>
        <w:t xml:space="preserve"> </w:t>
      </w:r>
      <w:r>
        <w:rPr>
          <w:i/>
          <w:iCs/>
        </w:rPr>
        <w:t xml:space="preserve">S</w:t>
      </w:r>
      <w:r>
        <w:t xml:space="preserve"> </w:t>
      </w:r>
      <w:r>
        <w:t xml:space="preserve">in the first year and to the carryover term thereafter. This situation is analogous to the prolonged La Niña of 2020–2023 and to the La Niña of 2024–25. In case (b)</w:t>
      </w:r>
      <w:r>
        <w:t xml:space="preserve"> </w:t>
      </w:r>
      <w:r>
        <w:rPr>
          <w:i/>
          <w:iCs/>
        </w:rPr>
        <w:t xml:space="preserve">S</w:t>
      </w:r>
      <w:r>
        <w:t xml:space="preserve"> </w:t>
      </w:r>
      <w:r>
        <w:t xml:space="preserve">rises in the first year and falls in the second year by the same amount. In the first year, while</w:t>
      </w:r>
      <w:r>
        <w:t xml:space="preserve"> </w:t>
      </w:r>
      <w:r>
        <w:rPr>
          <w:i/>
          <w:iCs/>
        </w:rPr>
        <w:t xml:space="preserve">O</w:t>
      </w:r>
      <w:r>
        <w:rPr>
          <w:vertAlign w:val="subscript"/>
        </w:rPr>
        <w:t xml:space="preserve">sub</w:t>
      </w:r>
      <w:r>
        <w:t xml:space="preserve"> </w:t>
      </w:r>
      <w:r>
        <w:t xml:space="preserve">is declining the carryover is still zero, so</w:t>
      </w:r>
      <w:r>
        <w:t xml:space="preserve"> </w:t>
      </w:r>
      <w:r>
        <w:rPr>
          <w:i/>
          <w:iCs/>
        </w:rPr>
        <w:t xml:space="preserve">S</w:t>
      </w:r>
      <w:r>
        <w:t xml:space="preserve"> </w:t>
      </w:r>
      <w:r>
        <w:t xml:space="preserve">alone carries the rise of (</w:t>
      </w:r>
      <w:r>
        <w:rPr>
          <w:i/>
          <w:iCs/>
        </w:rPr>
        <w:t xml:space="preserve">A</w:t>
      </w:r>
      <w:r>
        <w:t xml:space="preserve">+</w:t>
      </w:r>
      <w:r>
        <w:rPr>
          <w:i/>
          <w:iCs/>
        </w:rPr>
        <w:t xml:space="preserve">O</w:t>
      </w:r>
      <w:r>
        <w:rPr>
          <w:vertAlign w:val="subscript"/>
        </w:rPr>
        <w:t xml:space="preserve">100</w:t>
      </w:r>
      <w:r>
        <w:t xml:space="preserve">). In the second year, i.e., after the release stops,</w:t>
      </w:r>
      <w:r>
        <w:t xml:space="preserve"> </w:t>
      </w:r>
      <w:r>
        <w:rPr>
          <w:i/>
          <w:iCs/>
        </w:rPr>
        <w:t xml:space="preserve">O</w:t>
      </w:r>
      <w:r>
        <w:rPr>
          <w:vertAlign w:val="subscript"/>
        </w:rPr>
        <w:t xml:space="preserve">sub</w:t>
      </w:r>
      <w:r>
        <w:t xml:space="preserve"> </w:t>
      </w:r>
      <w:r>
        <w:t xml:space="preserve">and thus (</w:t>
      </w:r>
      <w:r>
        <w:rPr>
          <w:i/>
          <w:iCs/>
        </w:rPr>
        <w:t xml:space="preserve">A</w:t>
      </w:r>
      <w:r>
        <w:t xml:space="preserve">+</w:t>
      </w:r>
      <w:r>
        <w:rPr>
          <w:i/>
          <w:iCs/>
        </w:rPr>
        <w:t xml:space="preserve">O</w:t>
      </w:r>
      <w:r>
        <w:rPr>
          <w:vertAlign w:val="subscript"/>
        </w:rPr>
        <w:t xml:space="preserve">100</w:t>
      </w:r>
      <w:r>
        <w:t xml:space="preserve">) do not change, accompanied by compensation between the carryover and</w:t>
      </w:r>
      <w:r>
        <w:t xml:space="preserve"> </w:t>
      </w:r>
      <w:r>
        <w:rPr>
          <w:i/>
          <w:iCs/>
        </w:rPr>
        <w:t xml:space="preserve">S</w:t>
      </w:r>
      <w:r>
        <w:t xml:space="preserve"> </w:t>
      </w:r>
      <w:r>
        <w:t xml:space="preserve">terms. This is reminiscent of the compensation between these two terms after the 2023/24 El Niño. In case (c)</w:t>
      </w:r>
      <w:r>
        <w:t xml:space="preserve"> </w:t>
      </w:r>
      <w:r>
        <w:rPr>
          <w:i/>
          <w:iCs/>
        </w:rPr>
        <w:t xml:space="preserve">S</w:t>
      </w:r>
      <w:r>
        <w:t xml:space="preserve"> </w:t>
      </w:r>
      <w:r>
        <w:t xml:space="preserve">falls further than it rose and turns negative, so (</w:t>
      </w:r>
      <w:r>
        <w:rPr>
          <w:i/>
          <w:iCs/>
        </w:rPr>
        <w:t xml:space="preserve">A</w:t>
      </w:r>
      <w:r>
        <w:t xml:space="preserve">+</w:t>
      </w:r>
      <w:r>
        <w:rPr>
          <w:i/>
          <w:iCs/>
        </w:rPr>
        <w:t xml:space="preserve">O</w:t>
      </w:r>
      <w:r>
        <w:rPr>
          <w:vertAlign w:val="subscript"/>
        </w:rPr>
        <w:t xml:space="preserve">100</w:t>
      </w:r>
      <w:r>
        <w:t xml:space="preserve">) returns to its earlier level, as it did over 2016–17 after the 2015/16 El Niño.</w:t>
      </w:r>
    </w:p>
    <w:p>
      <w:pPr>
        <w:pStyle w:val="NoIndent"/>
      </w:pPr>
      <w:r>
        <w:drawing>
          <wp:inline>
            <wp:extent cx="5399999" cy="1584892"/>
            <wp:effectExtent b="0" l="0" r="0" t="0"/>
            <wp:docPr descr="" title="" id="18" name="Picture"/>
            <a:graphic>
              <a:graphicData uri="http://schemas.openxmlformats.org/drawingml/2006/picture">
                <pic:pic>
                  <pic:nvPicPr>
                    <pic:cNvPr descr="../@py_png/suppl_fig_idealized_budget.png" id="19" name="Picture"/>
                    <pic:cNvPicPr>
                      <a:picLocks noChangeArrowheads="1" noChangeAspect="1"/>
                    </pic:cNvPicPr>
                  </pic:nvPicPr>
                  <pic:blipFill>
                    <a:blip r:embed="rId17"/>
                    <a:stretch>
                      <a:fillRect/>
                    </a:stretch>
                  </pic:blipFill>
                  <pic:spPr bwMode="auto">
                    <a:xfrm>
                      <a:off x="0" y="0"/>
                      <a:ext cx="5399999" cy="1584892"/>
                    </a:xfrm>
                    <a:prstGeom prst="rect">
                      <a:avLst/>
                    </a:prstGeom>
                    <a:noFill/>
                    <a:ln w="9525">
                      <a:noFill/>
                      <a:headEnd/>
                      <a:tailEnd/>
                    </a:ln>
                  </pic:spPr>
                </pic:pic>
              </a:graphicData>
            </a:graphic>
          </wp:inline>
        </w:drawing>
      </w:r>
    </w:p>
    <w:p>
      <w:pPr>
        <w:pStyle w:val="NoIndent"/>
      </w:pPr>
      <w:r>
        <w:rPr>
          <w:b/>
          <w:bCs/>
        </w:rPr>
        <w:t xml:space="preserve">Supplementary Fig. 1 | Idealized behaviour of the one-year budget.</w:t>
      </w:r>
      <w:r>
        <w:t xml:space="preserve"> </w:t>
      </w:r>
      <w:r>
        <w:t xml:space="preserve">Equation (2) with the radiative term and</w:t>
      </w:r>
      <w:r>
        <w:t xml:space="preserve"> </w:t>
      </w:r>
      <w:r>
        <w:rPr>
          <w:i/>
          <w:iCs/>
        </w:rPr>
        <w:t xml:space="preserve">C</w:t>
      </w:r>
      <w:r>
        <w:t xml:space="preserve"> </w:t>
      </w:r>
      <w:r>
        <w:t xml:space="preserve">set to zero, for three prescribed histories of the subsurface reservoir</w:t>
      </w:r>
      <w:r>
        <w:t xml:space="preserve"> </w:t>
      </w:r>
      <w:r>
        <w:rPr>
          <w:i/>
          <w:iCs/>
        </w:rPr>
        <w:t xml:space="preserve">O</w:t>
      </w:r>
      <w:r>
        <w:rPr>
          <w:vertAlign w:val="subscript"/>
        </w:rPr>
        <w:t xml:space="preserve">sub</w:t>
      </w:r>
      <w:r>
        <w:t xml:space="preserve"> </w:t>
      </w:r>
      <w:r>
        <w:t xml:space="preserve">(light red dashed):</w:t>
      </w:r>
      <w:r>
        <w:t xml:space="preserve"> </w:t>
      </w:r>
      <w:r>
        <w:rPr>
          <w:b/>
          <w:bCs/>
        </w:rPr>
        <w:t xml:space="preserve">a</w:t>
      </w:r>
      <w:r>
        <w:t xml:space="preserve">, constant uptake;</w:t>
      </w:r>
      <w:r>
        <w:t xml:space="preserve"> </w:t>
      </w:r>
      <w:r>
        <w:rPr>
          <w:b/>
          <w:bCs/>
        </w:rPr>
        <w:t xml:space="preserve">b</w:t>
      </w:r>
      <w:r>
        <w:t xml:space="preserve">, release followed by stop;</w:t>
      </w:r>
      <w:r>
        <w:t xml:space="preserve"> </w:t>
      </w:r>
      <w:r>
        <w:rPr>
          <w:b/>
          <w:bCs/>
        </w:rPr>
        <w:t xml:space="preserve">c</w:t>
      </w:r>
      <w:r>
        <w:t xml:space="preserve">, release followed by equal uptake. Also shown are (</w:t>
      </w:r>
      <w:r>
        <w:rPr>
          <w:i/>
          <w:iCs/>
        </w:rPr>
        <w:t xml:space="preserve">A</w:t>
      </w:r>
      <w:r>
        <w:t xml:space="preserve">+</w:t>
      </w:r>
      <w:r>
        <w:rPr>
          <w:i/>
          <w:iCs/>
        </w:rPr>
        <w:t xml:space="preserve">O</w:t>
      </w:r>
      <w:r>
        <w:rPr>
          <w:vertAlign w:val="subscript"/>
        </w:rPr>
        <w:t xml:space="preserve">100</w:t>
      </w:r>
      <w:r>
        <w:t xml:space="preserve">) (dark blue), its carryover (</w:t>
      </w:r>
      <w:r>
        <w:rPr>
          <w:i/>
          <w:iCs/>
        </w:rPr>
        <w:t xml:space="preserve">A</w:t>
      </w:r>
      <w:r>
        <w:t xml:space="preserve">+</w:t>
      </w:r>
      <w:r>
        <w:rPr>
          <w:i/>
          <w:iCs/>
        </w:rPr>
        <w:t xml:space="preserve">O</w:t>
      </w:r>
      <w:r>
        <w:rPr>
          <w:vertAlign w:val="subscript"/>
        </w:rPr>
        <w:t xml:space="preserve">100</w:t>
      </w:r>
      <w:r>
        <w:t xml:space="preserve">)(</w:t>
      </w:r>
      <w:r>
        <w:rPr>
          <w:i/>
          <w:iCs/>
        </w:rPr>
        <w:t xml:space="preserve">t</w:t>
      </w:r>
      <w:r>
        <w:t xml:space="preserve"> </w:t>
      </w:r>
      <w:r>
        <w:t xml:space="preserve">− 1yr) (purple) and the subsurface term</w:t>
      </w:r>
      <w:r>
        <w:t xml:space="preserve"> </w:t>
      </w:r>
      <w:r>
        <w:rPr>
          <w:i/>
          <w:iCs/>
        </w:rPr>
        <w:t xml:space="preserve">S</w:t>
      </w:r>
      <w:r>
        <w:t xml:space="preserve"> </w:t>
      </w:r>
      <w:r>
        <w:t xml:space="preserve">(red), in arbitrary units.</w:t>
      </w:r>
    </w:p>
    <w:bookmarkEnd w:id="20"/>
    <w:bookmarkStart w:id="21" w:name="X02db085e0a3429632a7d009527f8592ef2c6269"/>
    <w:p>
      <w:pPr>
        <w:pStyle w:val="2"/>
      </w:pPr>
      <w:r>
        <w:t xml:space="preserve">Supplementary Note 2 | Construction of the one-year outlook and its uncertainty budget</w:t>
      </w:r>
    </w:p>
    <w:p>
      <w:pPr>
        <w:pStyle w:val="FirstParagraph"/>
      </w:pPr>
      <w:r>
        <w:t xml:space="preserve">As set out in Methods,</w:t>
      </w:r>
      <w:r>
        <w:t xml:space="preserve"> </w:t>
      </w:r>
      <w:r>
        <w:t xml:space="preserve">“Outlook for the coming year”</w:t>
      </w:r>
      <w:r>
        <w:t xml:space="preserve"> </w:t>
      </w:r>
      <w:r>
        <w:t xml:space="preserve">and</w:t>
      </w:r>
      <w:r>
        <w:t xml:space="preserve"> </w:t>
      </w:r>
      <w:r>
        <w:t xml:space="preserve">“Uncertainty”</w:t>
      </w:r>
      <w:r>
        <w:t xml:space="preserve">, the outlook evaluates equation (2) at every month of the coming year. Of the terms on its right-hand side, the carryover (</w:t>
      </w:r>
      <w:r>
        <w:rPr>
          <w:i/>
          <w:iCs/>
        </w:rPr>
        <w:t xml:space="preserve">A</w:t>
      </w:r>
      <w:r>
        <w:t xml:space="preserve">+</w:t>
      </w:r>
      <w:r>
        <w:rPr>
          <w:i/>
          <w:iCs/>
        </w:rPr>
        <w:t xml:space="preserve">O</w:t>
      </w:r>
      <w:r>
        <w:rPr>
          <w:vertAlign w:val="subscript"/>
        </w:rPr>
        <w:t xml:space="preserve">100</w:t>
      </w:r>
      <w:r>
        <w:t xml:space="preserve">)(</w:t>
      </w:r>
      <w:r>
        <w:rPr>
          <w:i/>
          <w:iCs/>
        </w:rPr>
        <w:t xml:space="preserve">t</w:t>
      </w:r>
      <w:r>
        <w:t xml:space="preserve"> </w:t>
      </w:r>
      <w:r>
        <w:t xml:space="preserve">− 1yr) and the background uptake</w:t>
      </w:r>
      <w:r>
        <w:t xml:space="preserve"> </w:t>
      </w:r>
      <w:r>
        <w:rPr>
          <w:i/>
          <w:iCs/>
        </w:rPr>
        <w:t xml:space="preserve">C</w:t>
      </w:r>
      <w:r>
        <w:t xml:space="preserve"> </w:t>
      </w:r>
      <w:r>
        <w:t xml:space="preserve">are known, and the other two must be estimated: the one-year integral of EEI and the subsurface exchange</w:t>
      </w:r>
      <w:r>
        <w:t xml:space="preserve"> </w:t>
      </w:r>
      <w:r>
        <w:rPr>
          <w:i/>
          <w:iCs/>
        </w:rPr>
        <w:t xml:space="preserve">S</w:t>
      </w:r>
      <w:r>
        <w:t xml:space="preserve">. The former is obtained by extrapolating the trend of the observed EEI, the latter from scenarios based on the record of past El Niño releases. This note has three parts: (1) the trend fit and the months it supplies, (2) carrying the release scenarios into the outlook, and (3) the prediction uncertainty of the radiative term.</w:t>
      </w:r>
    </w:p>
    <w:p>
      <w:pPr>
        <w:pStyle w:val="NoIndent"/>
      </w:pPr>
      <w:r>
        <w:rPr>
          <w:b/>
          <w:bCs/>
        </w:rPr>
        <w:t xml:space="preserve">1. The one-year EEI integral.</w:t>
      </w:r>
    </w:p>
    <w:p>
      <w:pPr>
        <w:pStyle w:val="a0"/>
      </w:pPr>
      <w:r>
        <w:t xml:space="preserve">After the end of the CERES record (May 2026) the net radiation of each projected month is the sum of the 2005–2024 monthly climatology for that calendar month and an anomaly given by an extrapolated linear trend. The linear trend is estimated from the series of one-year integrals of the net radiation anomaly</w:t>
      </w:r>
      <w:r>
        <w:t xml:space="preserve"> </w:t>
      </w:r>
      <w:r>
        <w:rPr>
          <w:i/>
          <w:iCs/>
        </w:rPr>
        <w:t xml:space="preserve">R</w:t>
      </w:r>
      <w:r>
        <w:t xml:space="preserve">′, the departure from that same climatology, formed for each year from 2001 to 2025 (non-overlapping calendar years,</w:t>
      </w:r>
      <w:r>
        <w:t xml:space="preserve"> </w:t>
      </w:r>
      <w:r>
        <w:rPr>
          <w:i/>
          <w:iCs/>
        </w:rPr>
        <w:t xml:space="preserve">n</w:t>
      </w:r>
      <w:r>
        <w:t xml:space="preserve"> </w:t>
      </w:r>
      <w:r>
        <w:t xml:space="preserve">= 25) and dated at the midpoint of the twelve months each spans. The fitted value is</w:t>
      </w:r>
      <w:r>
        <w:t xml:space="preserve"> </w:t>
      </w:r>
      <w:r>
        <w:rPr>
          <w:i/>
          <w:iCs/>
        </w:rPr>
        <w:t xml:space="preserve">a</w:t>
      </w:r>
      <w:r>
        <w:t xml:space="preserve">(</w:t>
      </w:r>
      <w:r>
        <w:rPr>
          <w:i/>
          <w:iCs/>
        </w:rPr>
        <w:t xml:space="preserve">t</w:t>
      </w:r>
      <w:r>
        <w:t xml:space="preserve"> </w:t>
      </w:r>
      <w:r>
        <w:t xml:space="preserve">−</w:t>
      </w:r>
      <w:r>
        <w:t xml:space="preserve"> </w:t>
      </w:r>
      <w:r>
        <w:rPr>
          <w:i/>
          <w:iCs/>
        </w:rPr>
        <w:t xml:space="preserve">t</w:t>
      </w:r>
      <w:r>
        <w:rPr>
          <w:vertAlign w:val="subscript"/>
        </w:rPr>
        <w:t xml:space="preserve">0</w:t>
      </w:r>
      <w:r>
        <w:t xml:space="preserve">) +</w:t>
      </w:r>
      <w:r>
        <w:t xml:space="preserve"> </w:t>
      </w:r>
      <w:r>
        <w:rPr>
          <w:i/>
          <w:iCs/>
        </w:rPr>
        <w:t xml:space="preserve">b</w:t>
      </w:r>
      <w:r>
        <w:t xml:space="preserve">, in which</w:t>
      </w:r>
      <w:r>
        <w:t xml:space="preserve"> </w:t>
      </w:r>
      <w:r>
        <w:rPr>
          <w:i/>
          <w:iCs/>
        </w:rPr>
        <w:t xml:space="preserve">t</w:t>
      </w:r>
      <w:r>
        <w:t xml:space="preserve"> </w:t>
      </w:r>
      <w:r>
        <w:t xml:space="preserve">is the centre of the month being estimated,</w:t>
      </w:r>
      <w:r>
        <w:t xml:space="preserve"> </w:t>
      </w:r>
      <w:r>
        <w:rPr>
          <w:i/>
          <w:iCs/>
        </w:rPr>
        <w:t xml:space="preserve">t</w:t>
      </w:r>
      <w:r>
        <w:rPr>
          <w:vertAlign w:val="subscript"/>
        </w:rPr>
        <w:t xml:space="preserve">0</w:t>
      </w:r>
      <w:r>
        <w:t xml:space="preserve"> </w:t>
      </w:r>
      <w:r>
        <w:t xml:space="preserve">is the centre of the fit period (1 July 2013),</w:t>
      </w:r>
      <w:r>
        <w:t xml:space="preserve"> </w:t>
      </w:r>
      <w:r>
        <w:rPr>
          <w:i/>
          <w:iCs/>
        </w:rPr>
        <w:t xml:space="preserve">a</w:t>
      </w:r>
      <w:r>
        <w:t xml:space="preserve"> </w:t>
      </w:r>
      <w:r>
        <w:t xml:space="preserve">= 0.73 ZJ yr</w:t>
      </w:r>
      <w:r>
        <w:rPr>
          <w:vertAlign w:val="superscript"/>
        </w:rPr>
        <w:t xml:space="preserve">−1</w:t>
      </w:r>
      <w:r>
        <w:t xml:space="preserve"> </w:t>
      </w:r>
      <w:r>
        <w:t xml:space="preserve">per year (0.45 W m</w:t>
      </w:r>
      <w:r>
        <w:rPr>
          <w:vertAlign w:val="superscript"/>
        </w:rPr>
        <w:t xml:space="preserve">−2</w:t>
      </w:r>
      <w:r>
        <w:t xml:space="preserve"> </w:t>
      </w:r>
      <w:r>
        <w:t xml:space="preserve">decade</w:t>
      </w:r>
      <w:r>
        <w:rPr>
          <w:vertAlign w:val="superscript"/>
        </w:rPr>
        <w:t xml:space="preserve">−1</w:t>
      </w:r>
      <w:r>
        <w:t xml:space="preserve">) and</w:t>
      </w:r>
      <w:r>
        <w:t xml:space="preserve"> </w:t>
      </w:r>
      <w:r>
        <w:rPr>
          <w:i/>
          <w:iCs/>
        </w:rPr>
        <w:t xml:space="preserve">b</w:t>
      </w:r>
      <w:r>
        <w:t xml:space="preserve"> </w:t>
      </w:r>
      <w:r>
        <w:t xml:space="preserve">= −0.9 ZJ. The intercept</w:t>
      </w:r>
      <w:r>
        <w:t xml:space="preserve"> </w:t>
      </w:r>
      <w:r>
        <w:rPr>
          <w:i/>
          <w:iCs/>
        </w:rPr>
        <w:t xml:space="preserve">b</w:t>
      </w:r>
      <w:r>
        <w:t xml:space="preserve"> </w:t>
      </w:r>
      <w:r>
        <w:t xml:space="preserve">is the mean of the anomaly integrals over the fit period (2001–2025) with respect to the climatology reference period (2005–2024). Projected EEI is then given by the monthly climatology plus [</w:t>
      </w:r>
      <w:r>
        <w:rPr>
          <w:i/>
          <w:iCs/>
        </w:rPr>
        <w:t xml:space="preserve">a</w:t>
      </w:r>
      <w:r>
        <w:t xml:space="preserve">(</w:t>
      </w:r>
      <w:r>
        <w:rPr>
          <w:i/>
          <w:iCs/>
        </w:rPr>
        <w:t xml:space="preserve">t</w:t>
      </w:r>
      <w:r>
        <w:t xml:space="preserve"> </w:t>
      </w:r>
      <w:r>
        <w:t xml:space="preserve">−</w:t>
      </w:r>
      <w:r>
        <w:t xml:space="preserve"> </w:t>
      </w:r>
      <w:r>
        <w:rPr>
          <w:i/>
          <w:iCs/>
        </w:rPr>
        <w:t xml:space="preserve">t</w:t>
      </w:r>
      <w:r>
        <w:rPr>
          <w:vertAlign w:val="subscript"/>
        </w:rPr>
        <w:t xml:space="preserve">0</w:t>
      </w:r>
      <w:r>
        <w:t xml:space="preserve">) +</w:t>
      </w:r>
      <w:r>
        <w:t xml:space="preserve"> </w:t>
      </w:r>
      <w:r>
        <w:rPr>
          <w:i/>
          <w:iCs/>
        </w:rPr>
        <w:t xml:space="preserve">b</w:t>
      </w:r>
      <w:r>
        <w:t xml:space="preserve">]/12, evaluated at the centre of each projected month. The same trend is used in every calendar month, because the CERES record shows no statistically significant seasonal dependence of the trend (not shown).</w:t>
      </w:r>
    </w:p>
    <w:p>
      <w:pPr>
        <w:pStyle w:val="a0"/>
      </w:pPr>
      <w:r>
        <w:t xml:space="preserve">Part of the window of this one-year integral is observed and part is projected. For example, the integral for a target month of January 2027 runs from the centre of January 2026 to the centre of January 2027, using thirteen monthly values with the first and the last given half weight. In this integral window, the data from January to May 2026 are observed and the data from June 2026 to January 2027 are projected.</w:t>
      </w:r>
    </w:p>
    <w:p>
      <w:pPr>
        <w:pStyle w:val="NoIndent"/>
      </w:pPr>
      <w:r>
        <w:rPr>
          <w:b/>
          <w:bCs/>
        </w:rPr>
        <w:t xml:space="preserve">2. Carrying the release scenarios into the outlook.</w:t>
      </w:r>
    </w:p>
    <w:p>
      <w:pPr>
        <w:pStyle w:val="a0"/>
      </w:pPr>
      <w:r>
        <w:t xml:space="preserve">The heat released by the tropical-Pacific subsurface during an El Niño is represented by three scenarios built on observed trajectories, as set out in Methods,</w:t>
      </w:r>
      <w:r>
        <w:t xml:space="preserve"> </w:t>
      </w:r>
      <w:r>
        <w:t xml:space="preserve">“Outlook for the coming year”</w:t>
      </w:r>
      <w:r>
        <w:t xml:space="preserve">. To carry an observed trajectory into the outlook, the 3-month-smoothed</w:t>
      </w:r>
      <w:r>
        <w:t xml:space="preserve"> </w:t>
      </w:r>
      <w:r>
        <w:rPr>
          <w:i/>
          <w:iCs/>
        </w:rPr>
        <w:t xml:space="preserve">S</w:t>
      </w:r>
      <w:r>
        <w:t xml:space="preserve"> </w:t>
      </w:r>
      <w:r>
        <w:t xml:space="preserve">series of the event is shifted in time, separately for each of the three OHC products (ORAS5, IAP and EN4.2), so that its release peak occurs in January 2027. At the last observed month (May 2026 after 3-month smoothing) the shifted</w:t>
      </w:r>
      <w:r>
        <w:t xml:space="preserve"> </w:t>
      </w:r>
      <w:r>
        <w:rPr>
          <w:i/>
          <w:iCs/>
        </w:rPr>
        <w:t xml:space="preserve">S</w:t>
      </w:r>
      <w:r>
        <w:t xml:space="preserve"> </w:t>
      </w:r>
      <w:r>
        <w:t xml:space="preserve">does not in general equal the observed</w:t>
      </w:r>
      <w:r>
        <w:t xml:space="preserve"> </w:t>
      </w:r>
      <w:r>
        <w:rPr>
          <w:i/>
          <w:iCs/>
        </w:rPr>
        <w:t xml:space="preserve">S</w:t>
      </w:r>
      <w:r>
        <w:t xml:space="preserve"> </w:t>
      </w:r>
      <w:r>
        <w:t xml:space="preserve">of the same product, and this offset is removed by a correction that decays linearly to zero at the release peak. Each of the three curves is therefore continuous with the observed</w:t>
      </w:r>
      <w:r>
        <w:t xml:space="preserve"> </w:t>
      </w:r>
      <w:r>
        <w:rPr>
          <w:i/>
          <w:iCs/>
        </w:rPr>
        <w:t xml:space="preserve">S</w:t>
      </w:r>
      <w:r>
        <w:t xml:space="preserve"> </w:t>
      </w:r>
      <w:r>
        <w:t xml:space="preserve">of its own product and passes exactly through that product’s peak value for the event. Their spread supplies the time-resolved scenario uncertainty.</w:t>
      </w:r>
    </w:p>
    <w:p>
      <w:pPr>
        <w:pStyle w:val="NoIndent"/>
      </w:pPr>
      <w:r>
        <w:rPr>
          <w:b/>
          <w:bCs/>
        </w:rPr>
        <w:t xml:space="preserve">3. Prediction uncertainty of the radiative term.</w:t>
      </w:r>
    </w:p>
    <w:p>
      <w:pPr>
        <w:pStyle w:val="a0"/>
      </w:pPr>
      <w:r>
        <w:t xml:space="preserve">The uncertainty of the one-year integral of projected EEI is the ±1 sigma prediction interval about the fitted trend,</w:t>
      </w:r>
    </w:p>
    <w:p>
      <w:pPr>
        <w:pStyle w:val="a0"/>
      </w:pPr>
      <m:oMathPara>
        <m:oMathParaPr>
          <m:jc m:val="center"/>
        </m:oMathParaPr>
        <m:oMath>
          <m:sSub>
            <m:e>
              <m:r>
                <m:t>σ</m:t>
              </m:r>
            </m:e>
            <m:sub>
              <m:r>
                <m:rPr>
                  <m:sty m:val="p"/>
                </m:rPr>
                <m:t>p</m:t>
              </m:r>
              <m:r>
                <m:rPr>
                  <m:sty m:val="p"/>
                </m:rPr>
                <m:t>r</m:t>
              </m:r>
              <m:r>
                <m:rPr>
                  <m:sty m:val="p"/>
                </m:rPr>
                <m:t>d</m:t>
              </m:r>
            </m:sub>
          </m:sSub>
          <m:r>
            <m:rPr>
              <m:sty m:val="p"/>
            </m:rPr>
            <m:t>=</m:t>
          </m:r>
          <m:sSub>
            <m:e>
              <m:r>
                <m:t>σ</m:t>
              </m:r>
            </m:e>
            <m:sub>
              <m:r>
                <m:t>J</m:t>
              </m:r>
            </m:sub>
          </m:sSub>
          <m:rad>
            <m:radPr>
              <m:degHide m:val="on"/>
            </m:radPr>
            <m:deg/>
            <m:e>
              <m:r>
                <m:t>1</m:t>
              </m:r>
              <m:r>
                <m:rPr>
                  <m:sty m:val="p"/>
                </m:rPr>
                <m:t>+</m:t>
              </m:r>
              <m:r>
                <m:t>1</m:t>
              </m:r>
              <m:r>
                <m:rPr>
                  <m:sty m:val="p"/>
                </m:rPr>
                <m:t>/</m:t>
              </m:r>
              <m:r>
                <m:t>n</m:t>
              </m:r>
              <m:r>
                <m:rPr>
                  <m:sty m:val="p"/>
                </m:rPr>
                <m:t>+</m:t>
              </m:r>
              <m:r>
                <m:rPr>
                  <m:sty m:val="p"/>
                </m:rPr>
                <m:t>(</m:t>
              </m:r>
              <m:sSup>
                <m:e>
                  <m:r>
                    <m:t>t</m:t>
                  </m:r>
                </m:e>
                <m:sup>
                  <m:r>
                    <m:rPr>
                      <m:sty m:val="p"/>
                    </m:rPr>
                    <m:t>*</m:t>
                  </m:r>
                </m:sup>
              </m:sSup>
              <m:r>
                <m:rPr>
                  <m:sty m:val="p"/>
                </m:rPr>
                <m:t>−</m:t>
              </m:r>
              <m:sSub>
                <m:e>
                  <m:r>
                    <m:t>t</m:t>
                  </m:r>
                </m:e>
                <m:sub>
                  <m:r>
                    <m:t>0</m:t>
                  </m:r>
                </m:sub>
              </m:sSub>
              <m:sSup>
                <m:e>
                  <m:r>
                    <m:rPr>
                      <m:sty m:val="p"/>
                    </m:rPr>
                    <m:t>)</m:t>
                  </m:r>
                </m:e>
                <m:sup>
                  <m:r>
                    <m:t>2</m:t>
                  </m:r>
                </m:sup>
              </m:sSup>
              <m:r>
                <m:rPr>
                  <m:sty m:val="p"/>
                </m:rPr>
                <m:t>/</m:t>
              </m:r>
              <m:sSub>
                <m:e>
                  <m:r>
                    <m:t>S</m:t>
                  </m:r>
                </m:e>
                <m:sub>
                  <m:r>
                    <m:t>t</m:t>
                  </m:r>
                  <m:r>
                    <m:t>t</m:t>
                  </m:r>
                </m:sub>
              </m:sSub>
            </m:e>
          </m:rad>
        </m:oMath>
      </m:oMathPara>
    </w:p>
    <w:p>
      <w:pPr>
        <w:pStyle w:val="FirstParagraph"/>
      </w:pPr>
      <w:r>
        <w:t xml:space="preserve">where</w:t>
      </w:r>
      <w:r>
        <w:t xml:space="preserve"> </w:t>
      </w:r>
      <m:oMath>
        <m:sSub>
          <m:e>
            <m:r>
              <m:t>σ</m:t>
            </m:r>
          </m:e>
          <m:sub>
            <m:r>
              <m:t>J</m:t>
            </m:r>
          </m:sub>
        </m:sSub>
      </m:oMath>
      <w:r>
        <w:t xml:space="preserve"> </w:t>
      </w:r>
      <w:r>
        <w:t xml:space="preserve">is the standard deviation of the detrended one-year-integral residuals (5.5 ZJ),</w:t>
      </w:r>
      <w:r>
        <w:t xml:space="preserve"> </w:t>
      </w:r>
      <w:r>
        <w:rPr>
          <w:i/>
          <w:iCs/>
        </w:rPr>
        <w:t xml:space="preserve">n</w:t>
      </w:r>
      <w:r>
        <w:t xml:space="preserve"> </w:t>
      </w:r>
      <w:r>
        <w:t xml:space="preserve">= 25 is the number of annual integrals fitted,</w:t>
      </w:r>
      <w:r>
        <w:t xml:space="preserve"> </w:t>
      </w:r>
      <w:r>
        <w:rPr>
          <w:i/>
          <w:iCs/>
        </w:rPr>
        <w:t xml:space="preserve">t</w:t>
      </w:r>
      <w:r>
        <w:t xml:space="preserve">* is the time for which the integral is predicted, that is the midpoint of the one-year window ending at the horizon,</w:t>
      </w:r>
      <w:r>
        <w:t xml:space="preserve"> </w:t>
      </w:r>
      <w:r>
        <w:rPr>
          <w:i/>
          <w:iCs/>
        </w:rPr>
        <w:t xml:space="preserve">t</w:t>
      </w:r>
      <w:r>
        <w:rPr>
          <w:vertAlign w:val="subscript"/>
        </w:rPr>
        <w:t xml:space="preserve">0</w:t>
      </w:r>
      <w:r>
        <w:t xml:space="preserve"> </w:t>
      </w:r>
      <w:r>
        <w:t xml:space="preserve">is the centre of the fit period as above (1 July 2013), and</w:t>
      </w:r>
      <w:r>
        <w:t xml:space="preserve"> </w:t>
      </w:r>
      <m:oMath>
        <m:sSub>
          <m:e>
            <m:r>
              <m:t>S</m:t>
            </m:r>
          </m:e>
          <m:sub>
            <m:r>
              <m:t>t</m:t>
            </m:r>
            <m:r>
              <m:t>t</m:t>
            </m:r>
          </m:sub>
        </m:sSub>
        <m:r>
          <m:rPr>
            <m:sty m:val="p"/>
          </m:rPr>
          <m:t>=</m:t>
        </m:r>
        <m:nary>
          <m:naryPr>
            <m:chr m:val="∑"/>
            <m:limLoc m:val="undOvr"/>
            <m:subHide m:val="off"/>
            <m:supHide m:val="on"/>
          </m:naryPr>
          <m:sub>
            <m:r>
              <m:t>i</m:t>
            </m:r>
          </m:sub>
          <m:sup>
            <m:r>
              <m:t>​</m:t>
            </m:r>
          </m:sup>
          <m:e>
            <m:r>
              <m:rPr>
                <m:sty m:val="p"/>
              </m:rPr>
              <m:t>(</m:t>
            </m:r>
          </m:e>
        </m:nary>
        <m:sSub>
          <m:e>
            <m:r>
              <m:t>t</m:t>
            </m:r>
          </m:e>
          <m:sub>
            <m:r>
              <m:t>i</m:t>
            </m:r>
          </m:sub>
        </m:sSub>
        <m:r>
          <m:rPr>
            <m:sty m:val="p"/>
          </m:rPr>
          <m:t>−</m:t>
        </m:r>
        <m:sSub>
          <m:e>
            <m:r>
              <m:t>t</m:t>
            </m:r>
          </m:e>
          <m:sub>
            <m:r>
              <m:t>0</m:t>
            </m:r>
          </m:sub>
        </m:sSub>
        <m:sSup>
          <m:e>
            <m:r>
              <m:rPr>
                <m:sty m:val="p"/>
              </m:rPr>
              <m:t>)</m:t>
            </m:r>
          </m:e>
          <m:sup>
            <m:r>
              <m:t>2</m:t>
            </m:r>
          </m:sup>
        </m:sSup>
      </m:oMath>
      <w:r>
        <w:t xml:space="preserve"> </w:t>
      </w:r>
      <w:r>
        <w:t xml:space="preserve">is formed from the times</w:t>
      </w:r>
      <w:r>
        <w:t xml:space="preserve"> </w:t>
      </w:r>
      <w:r>
        <w:rPr>
          <w:i/>
          <w:iCs/>
        </w:rPr>
        <w:t xml:space="preserve">t</w:t>
      </w:r>
      <w:r>
        <w:rPr>
          <w:vertAlign w:val="subscript"/>
        </w:rPr>
        <w:t xml:space="preserve">i</w:t>
      </w:r>
      <w:r>
        <w:t xml:space="preserve"> </w:t>
      </w:r>
      <w:r>
        <w:t xml:space="preserve">of the fitted integrals. Multiplied by</w:t>
      </w:r>
      <w:r>
        <w:t xml:space="preserve"> </w:t>
      </w:r>
      <m:oMath>
        <m:sSubSup>
          <m:e>
            <m:r>
              <m:t>σ</m:t>
            </m:r>
          </m:e>
          <m:sub>
            <m:r>
              <m:t>J</m:t>
            </m:r>
          </m:sub>
          <m:sup>
            <m:r>
              <m:t>2</m:t>
            </m:r>
          </m:sup>
        </m:sSubSup>
      </m:oMath>
      <w:r>
        <w:t xml:space="preserve">, the three terms under the root give the variance of an integral about the line, the variance of the fitted line’s level, and the variance contributed by its slope error over the extrapolation distance. The residual scatter</w:t>
      </w:r>
      <w:r>
        <w:t xml:space="preserve"> </w:t>
      </w:r>
      <m:oMath>
        <m:sSub>
          <m:e>
            <m:r>
              <m:t>σ</m:t>
            </m:r>
          </m:e>
          <m:sub>
            <m:r>
              <m:t>J</m:t>
            </m:r>
          </m:sub>
        </m:sSub>
      </m:oMath>
      <w:r>
        <w:t xml:space="preserve"> </w:t>
      </w:r>
      <w:r>
        <w:t xml:space="preserve">is evaluated on one-year integrals rather than monthly</w:t>
      </w:r>
      <w:r>
        <w:t xml:space="preserve"> </w:t>
      </w:r>
      <w:r>
        <w:rPr>
          <w:i/>
          <w:iCs/>
        </w:rPr>
        <w:t xml:space="preserve">R</w:t>
      </w:r>
      <w:r>
        <w:t xml:space="preserve">, so that the noise unit matches the forecast quantity. This gives</w:t>
      </w:r>
      <w:r>
        <w:t xml:space="preserve"> </w:t>
      </w:r>
      <m:oMath>
        <m:sSub>
          <m:e>
            <m:r>
              <m:t>σ</m:t>
            </m:r>
          </m:e>
          <m:sub>
            <m:r>
              <m:rPr>
                <m:sty m:val="p"/>
              </m:rPr>
              <m:t>p</m:t>
            </m:r>
            <m:r>
              <m:rPr>
                <m:sty m:val="p"/>
              </m:rPr>
              <m:t>r</m:t>
            </m:r>
            <m:r>
              <m:rPr>
                <m:sty m:val="p"/>
              </m:rPr>
              <m:t>d</m:t>
            </m:r>
          </m:sub>
        </m:sSub>
      </m:oMath>
      <w:r>
        <w:t xml:space="preserve"> </w:t>
      </w:r>
      <w:r>
        <w:t xml:space="preserve">= 6.0 ZJ, the value used in equation (3).</w:t>
      </w:r>
    </w:p>
    <w:bookmarkEnd w:id="21"/>
    <w:bookmarkEnd w:id="22"/>
    <w:sectPr w:rsidR="00155D71">
      <w:footerReference r:id="rId8" w:type="default"/>
      <w:footnotePr>
        <w:numRestart w:val="eachSect"/>
      </w:footnotePr>
      <w:pgSz w:h="15840" w:w="12240"/>
      <w:pgMar w:bottom="1701" w:footer="720" w:gutter="0" w:header="720" w:left="1701" w:right="1701" w:top="1985"/>
      <w:lnNumType w:countBy="1" w:distance="360" w:restart="continuous"/>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CD04" w14:textId="77777777" w:rsidR="00155D71" w:rsidRDefault="001A10D7">
    <w:pPr>
      <w:spacing w:line="240" w:lineRule="auto"/>
      <w:jc w:val="center"/>
    </w:pPr>
    <w:r>
      <w:fldChar w:fldCharType="begin"/>
    </w:r>
    <w:r>
      <w:instrText xml:space="preserve"> PAGE </w:instrText>
    </w:r>
    <w:r>
      <w:fldChar w:fldCharType="separate"/>
    </w:r>
    <w:r>
      <w:t>1</w: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02664BC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494495172" w:numId="1">
    <w:abstractNumId w:val="0"/>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6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spidmax="2050" v:ext="edit">
      <v:textbox inset="5.85pt,.7pt,5.85pt,.7pt"/>
    </o:shapedefaults>
  </w:hdrShapeDefaults>
  <w:compat>
    <w:useFELayout/>
    <w:compatSetting w:name="compatibilityMode" w:uri="http://schemas.microsoft.com/office/word" w:val="12"/>
    <w:compatSetting w:name="useWord2013TrackBottomHyphenation" w:uri="http://schemas.microsoft.com/office/word" w:val="1"/>
  </w:compat>
  <w:rsids>
    <w:rsidRoot w:val="00155D71"/>
    <w:rsid w:val="000C0141"/>
    <w:rsid w:val="00155D71"/>
    <w:rsid w:val="001A10D7"/>
    <w:rsid w:val="002629CF"/>
    <w:rsid w:val="0074412C"/>
    <w:rsid w:val="00C769EE"/>
    <w:rsid w:val="00CE1A80"/>
    <w:rsid w:val="00DF4BA5"/>
    <w:rsid w:val="00EF4804"/>
    <w:rsid w:val="00F57159"/>
  </w:rsids>
  <w:themeFontLang w:eastAsia="ja-JP" w:val="en-US"/>
  <w:clrSchemeMapping w:accent1="accent1" w:accent2="accent2" w:accent3="accent3" w:accent4="accent4" w:accent5="accent5" w:accent6="accent6" w:bg1="light1" w:bg2="light2" w:followedHyperlink="followedHyperlink" w:hyperlink="hyperlink" w:t1="dark1" w:t2="dark2"/>
  <w:shapeDefaults>
    <o:shapedefaults spidmax="2050" v:ext="edit">
      <v:textbox inset="5.85pt,.7pt,5.85pt,.7pt"/>
    </o:shapedefaults>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2"/>
        <w:szCs w:val="22"/>
        <w:lang w:bidi="ar-SA" w:eastAsia="zh-CN"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pPr>
      <w:spacing w:line="480" w:lineRule="auto"/>
      <w:ind w:firstLine="720"/>
    </w:pPr>
    <w:rPr>
      <w:rFonts w:ascii="Times New Roman" w:eastAsia="Times New Roman" w:hAnsi="Times New Roman"/>
    </w:rPr>
  </w:style>
  <w:style w:styleId="1" w:type="paragraph">
    <w:name w:val="heading 1"/>
    <w:basedOn w:val="a"/>
    <w:next w:val="a0"/>
    <w:link w:val="10"/>
    <w:uiPriority w:val="9"/>
    <w:qFormat/>
    <w:rsid w:val="00A10FD9"/>
    <w:pPr>
      <w:keepNext/>
      <w:keepLines/>
      <w:spacing w:after="80" w:before="360"/>
      <w:ind w:firstLine="0"/>
      <w:outlineLvl w:val="0"/>
    </w:pPr>
    <w:rPr>
      <w:rFonts w:asciiTheme="majorHAnsi" w:cstheme="majorBidi" w:eastAsiaTheme="majorEastAsia" w:hAnsiTheme="majorHAnsi"/>
      <w:color w:themeColor="accent1" w:themeShade="BF" w:val="0F4761"/>
      <w:sz w:val="40"/>
      <w:szCs w:val="40"/>
    </w:rPr>
  </w:style>
  <w:style w:styleId="2" w:type="paragraph">
    <w:name w:val="heading 2"/>
    <w:basedOn w:val="a"/>
    <w:next w:val="a0"/>
    <w:link w:val="20"/>
    <w:uiPriority w:val="9"/>
    <w:semiHidden/>
    <w:unhideWhenUsed/>
    <w:qFormat/>
    <w:rsid w:val="00A10FD9"/>
    <w:pPr>
      <w:keepNext/>
      <w:keepLines/>
      <w:spacing w:after="80" w:before="160"/>
      <w:ind w:firstLine="0"/>
      <w:outlineLvl w:val="1"/>
    </w:pPr>
    <w:rPr>
      <w:rFonts w:asciiTheme="majorHAnsi" w:cstheme="majorBidi" w:eastAsiaTheme="majorEastAsia" w:hAnsiTheme="majorHAnsi"/>
      <w:color w:themeColor="accent1" w:themeShade="BF" w:val="0F4761"/>
      <w:sz w:val="32"/>
      <w:szCs w:val="32"/>
    </w:rPr>
  </w:style>
  <w:style w:styleId="3" w:type="paragraph">
    <w:name w:val="heading 3"/>
    <w:basedOn w:val="a"/>
    <w:next w:val="a0"/>
    <w:link w:val="30"/>
    <w:uiPriority w:val="9"/>
    <w:semiHidden/>
    <w:unhideWhenUsed/>
    <w:qFormat/>
    <w:rsid w:val="00A10FD9"/>
    <w:pPr>
      <w:keepNext/>
      <w:keepLines/>
      <w:spacing w:after="80" w:before="160"/>
      <w:ind w:firstLine="0"/>
      <w:outlineLvl w:val="2"/>
    </w:pPr>
    <w:rPr>
      <w:rFonts w:cstheme="majorBidi" w:eastAsiaTheme="majorEastAsia"/>
      <w:color w:themeColor="accent1" w:themeShade="BF" w:val="0F4761"/>
      <w:sz w:val="28"/>
      <w:szCs w:val="28"/>
    </w:rPr>
  </w:style>
  <w:style w:styleId="4" w:type="paragraph">
    <w:name w:val="heading 4"/>
    <w:basedOn w:val="a"/>
    <w:next w:val="a0"/>
    <w:link w:val="40"/>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5" w:type="paragraph">
    <w:name w:val="heading 5"/>
    <w:basedOn w:val="a"/>
    <w:next w:val="a0"/>
    <w:link w:val="50"/>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6" w:type="paragraph">
    <w:name w:val="heading 6"/>
    <w:basedOn w:val="a"/>
    <w:next w:val="a0"/>
    <w:link w:val="60"/>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7" w:type="paragraph">
    <w:name w:val="heading 7"/>
    <w:basedOn w:val="a"/>
    <w:next w:val="a0"/>
    <w:link w:val="70"/>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8" w:type="paragraph">
    <w:name w:val="heading 8"/>
    <w:basedOn w:val="a"/>
    <w:next w:val="a0"/>
    <w:link w:val="80"/>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9" w:type="paragraph">
    <w:name w:val="heading 9"/>
    <w:basedOn w:val="a"/>
    <w:next w:val="a0"/>
    <w:link w:val="90"/>
    <w:uiPriority w:val="9"/>
    <w:semiHidden/>
    <w:unhideWhenUsed/>
    <w:qFormat/>
    <w:rsid w:val="00A10FD9"/>
    <w:pPr>
      <w:keepNext/>
      <w:keepLines/>
      <w:spacing w:after="0"/>
      <w:outlineLvl w:val="8"/>
    </w:pPr>
    <w:rPr>
      <w:rFonts w:cstheme="majorBidi" w:eastAsiaTheme="majorEastAsia"/>
      <w:color w:themeColor="text1" w:themeTint="D8" w:val="272727"/>
    </w:r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pPr>
      <w:spacing w:after="180" w:before="180"/>
    </w:pPr>
  </w:style>
  <w:style w:customStyle="1" w:styleId="FirstParagraph" w:type="paragraph">
    <w:name w:val="First Paragraph"/>
    <w:basedOn w:val="a0"/>
    <w:next w:val="a0"/>
    <w:qFormat/>
    <w:pPr>
      <w:ind w:firstLine="0"/>
    </w:pPr>
  </w:style>
  <w:style w:customStyle="1" w:styleId="Compact" w:type="paragraph">
    <w:name w:val="Compact"/>
    <w:basedOn w:val="a0"/>
    <w:qFormat/>
    <w:pPr>
      <w:spacing w:after="36" w:before="36"/>
    </w:pPr>
  </w:style>
  <w:style w:styleId="a4" w:type="paragraph">
    <w:name w:val="Title"/>
    <w:basedOn w:val="a"/>
    <w:next w:val="a0"/>
    <w:link w:val="a5"/>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a5" w:type="character">
    <w:name w:val="表題 (文字)"/>
    <w:basedOn w:val="a1"/>
    <w:link w:val="a4"/>
    <w:uiPriority w:val="10"/>
    <w:rsid w:val="00A10FD9"/>
    <w:rPr>
      <w:rFonts w:asciiTheme="majorHAnsi" w:cstheme="majorBidi" w:eastAsiaTheme="majorEastAsia" w:hAnsiTheme="majorHAnsi"/>
      <w:sz w:val="56"/>
      <w:szCs w:val="56"/>
    </w:rPr>
  </w:style>
  <w:style w:styleId="a6" w:type="paragraph">
    <w:name w:val="Subtitle"/>
    <w:basedOn w:val="a4"/>
    <w:next w:val="a0"/>
    <w:link w:val="a7"/>
    <w:uiPriority w:val="11"/>
    <w:qFormat/>
    <w:rsid w:val="00A10FD9"/>
    <w:pPr>
      <w:numPr>
        <w:ilvl w:val="1"/>
      </w:numPr>
      <w:ind w:firstLine="720"/>
    </w:pPr>
    <w:rPr>
      <w:spacing w:val="15"/>
      <w:sz w:val="28"/>
      <w:szCs w:val="28"/>
    </w:rPr>
  </w:style>
  <w:style w:customStyle="1" w:styleId="a7" w:type="character">
    <w:name w:val="副題 (文字)"/>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2"/>
      <w:szCs w:val="22"/>
    </w:rPr>
  </w:style>
  <w:style w:styleId="a8" w:type="paragraph">
    <w:name w:val="Date"/>
    <w:basedOn w:val="a4"/>
    <w:next w:val="a0"/>
    <w:qFormat/>
    <w:pPr>
      <w:keepNext/>
      <w:keepLines/>
    </w:pPr>
    <w:rPr>
      <w:sz w:val="22"/>
      <w:szCs w:val="22"/>
    </w:rPr>
  </w:style>
  <w:style w:customStyle="1" w:styleId="AbstractTitle" w:type="paragraph">
    <w:name w:val="Abstract Title"/>
    <w:basedOn w:val="a"/>
    <w:next w:val="Abstract"/>
    <w:qFormat/>
    <w:pPr>
      <w:keepNext/>
      <w:keepLines/>
      <w:spacing w:after="0"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見出し 1 (文字)"/>
    <w:basedOn w:val="a1"/>
    <w:link w:val="1"/>
    <w:uiPriority w:val="9"/>
    <w:rsid w:val="00A10FD9"/>
    <w:rPr>
      <w:rFonts w:asciiTheme="majorHAnsi" w:cstheme="majorBidi" w:eastAsiaTheme="majorEastAsia" w:hAnsiTheme="majorHAnsi"/>
      <w:color w:themeColor="accent1" w:themeShade="BF" w:val="0F4761"/>
      <w:sz w:val="40"/>
      <w:szCs w:val="40"/>
    </w:rPr>
  </w:style>
  <w:style w:customStyle="1" w:styleId="20" w:type="character">
    <w:name w:val="見出し 2 (文字)"/>
    <w:basedOn w:val="a1"/>
    <w:link w:val="2"/>
    <w:uiPriority w:val="9"/>
    <w:semiHidden/>
    <w:rsid w:val="00A10FD9"/>
    <w:rPr>
      <w:rFonts w:asciiTheme="majorHAnsi" w:cstheme="majorBidi" w:eastAsiaTheme="majorEastAsia" w:hAnsiTheme="majorHAnsi"/>
      <w:color w:themeColor="accent1" w:themeShade="BF" w:val="0F4761"/>
      <w:sz w:val="32"/>
      <w:szCs w:val="32"/>
    </w:rPr>
  </w:style>
  <w:style w:customStyle="1" w:styleId="30" w:type="character">
    <w:name w:val="見出し 3 (文字)"/>
    <w:basedOn w:val="a1"/>
    <w:link w:val="3"/>
    <w:uiPriority w:val="9"/>
    <w:semiHidden/>
    <w:rsid w:val="00A10FD9"/>
    <w:rPr>
      <w:rFonts w:ascii="Times New Roman" w:cstheme="majorBidi" w:eastAsiaTheme="majorEastAsia" w:hAnsi="Times New Roman"/>
      <w:color w:themeColor="accent1" w:themeShade="BF" w:val="0F4761"/>
      <w:sz w:val="28"/>
      <w:szCs w:val="28"/>
    </w:rPr>
  </w:style>
  <w:style w:customStyle="1" w:styleId="40" w:type="character">
    <w:name w:val="見出し 4 (文字)"/>
    <w:basedOn w:val="a1"/>
    <w:link w:val="4"/>
    <w:uiPriority w:val="9"/>
    <w:semiHidden/>
    <w:rsid w:val="00A10FD9"/>
    <w:rPr>
      <w:rFonts w:cstheme="majorBidi" w:eastAsiaTheme="majorEastAsia"/>
      <w:i/>
      <w:iCs/>
      <w:color w:themeColor="accent1" w:themeShade="BF" w:val="0F4761"/>
    </w:rPr>
  </w:style>
  <w:style w:customStyle="1" w:styleId="50" w:type="character">
    <w:name w:val="見出し 5 (文字)"/>
    <w:basedOn w:val="a1"/>
    <w:link w:val="5"/>
    <w:uiPriority w:val="9"/>
    <w:semiHidden/>
    <w:rsid w:val="00A10FD9"/>
    <w:rPr>
      <w:rFonts w:cstheme="majorBidi" w:eastAsiaTheme="majorEastAsia"/>
      <w:color w:themeColor="accent1" w:themeShade="BF" w:val="0F4761"/>
    </w:rPr>
  </w:style>
  <w:style w:customStyle="1" w:styleId="60" w:type="character">
    <w:name w:val="見出し 6 (文字)"/>
    <w:basedOn w:val="a1"/>
    <w:link w:val="6"/>
    <w:uiPriority w:val="9"/>
    <w:semiHidden/>
    <w:rsid w:val="00A10FD9"/>
    <w:rPr>
      <w:rFonts w:cstheme="majorBidi" w:eastAsiaTheme="majorEastAsia"/>
      <w:i/>
      <w:iCs/>
      <w:color w:themeColor="text1" w:themeTint="A6" w:val="595959"/>
    </w:rPr>
  </w:style>
  <w:style w:customStyle="1" w:styleId="70" w:type="character">
    <w:name w:val="見出し 7 (文字)"/>
    <w:basedOn w:val="a1"/>
    <w:link w:val="7"/>
    <w:uiPriority w:val="9"/>
    <w:semiHidden/>
    <w:rsid w:val="00A10FD9"/>
    <w:rPr>
      <w:rFonts w:cstheme="majorBidi" w:eastAsiaTheme="majorEastAsia"/>
      <w:color w:themeColor="text1" w:themeTint="A6" w:val="595959"/>
    </w:rPr>
  </w:style>
  <w:style w:customStyle="1" w:styleId="80" w:type="character">
    <w:name w:val="見出し 8 (文字)"/>
    <w:basedOn w:val="a1"/>
    <w:link w:val="8"/>
    <w:uiPriority w:val="9"/>
    <w:semiHidden/>
    <w:rsid w:val="00A10FD9"/>
    <w:rPr>
      <w:rFonts w:cstheme="majorBidi" w:eastAsiaTheme="majorEastAsia"/>
      <w:i/>
      <w:iCs/>
      <w:color w:themeColor="text1" w:themeTint="D8" w:val="272727"/>
    </w:rPr>
  </w:style>
  <w:style w:customStyle="1" w:styleId="90" w:type="character">
    <w:name w:val="見出し 9 (文字)"/>
    <w:basedOn w:val="a1"/>
    <w:link w:val="9"/>
    <w:uiPriority w:val="9"/>
    <w:semiHidden/>
    <w:rsid w:val="00A10FD9"/>
    <w:rPr>
      <w:rFonts w:cstheme="majorBidi" w:eastAsiaTheme="majorEastAsia"/>
      <w:color w:themeColor="text1" w:themeTint="D8" w:val="272727"/>
    </w:rPr>
  </w:style>
  <w:style w:styleId="aa" w:type="paragraph">
    <w:name w:val="Block Text"/>
    <w:basedOn w:val="a0"/>
    <w:next w:val="a0"/>
    <w:uiPriority w:val="9"/>
    <w:unhideWhenUsed/>
    <w:qFormat/>
    <w:pPr>
      <w:spacing w:after="100" w:before="100"/>
      <w:ind w:firstLine="0" w:left="480" w:right="480"/>
    </w:pPr>
  </w:style>
  <w:style w:styleId="ab" w:type="paragraph">
    <w:name w:val="footnote text"/>
    <w:basedOn w:val="a"/>
    <w:uiPriority w:val="9"/>
    <w:unhideWhenUsed/>
    <w:qFormat/>
  </w:style>
  <w:style w:customStyle="1" w:styleId="FootnoteBlockText" w:type="paragraph">
    <w:name w:val="Footnote Block Text"/>
    <w:basedOn w:val="ab"/>
    <w:next w:val="ab"/>
    <w:uiPriority w:val="9"/>
    <w:unhideWhenUsed/>
    <w:qFormat/>
    <w:pPr>
      <w:spacing w:after="100" w:before="100"/>
      <w:ind w:firstLine="0"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tcPr>
        <w:tcBorders>
          <w:bottom w:color="auto" w:space="0" w:sz="0" w:val="single"/>
        </w:tcBorders>
        <w:vAlign w:val="bottom"/>
      </w:tcPr>
    </w:tblStylePr>
  </w:style>
  <w:style w:customStyle="1" w:styleId="DefinitionTerm" w:type="paragraph">
    <w:name w:val="Definition Term"/>
    <w:basedOn w:val="a"/>
    <w:next w:val="Definition"/>
    <w:pPr>
      <w:keepNext/>
      <w:keepLines/>
      <w:spacing w:after="0"/>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pPr>
      <w:keepNext/>
    </w:pPr>
  </w:style>
  <w:style w:customStyle="1" w:styleId="ImageCaption" w:type="paragraph">
    <w:name w:val="Image Caption"/>
    <w:basedOn w:val="ac"/>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図表番号 (文字)"/>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af0" w:type="paragraph">
    <w:name w:val="TOC Heading"/>
    <w:basedOn w:val="1"/>
    <w:next w:val="a0"/>
    <w:uiPriority w:val="39"/>
    <w:unhideWhenUsed/>
    <w:qFormat/>
    <w:pPr>
      <w:spacing w:before="240" w:line="259" w:lineRule="auto"/>
      <w:outlineLvl w:val="9"/>
    </w:pPr>
  </w:style>
  <w:style w:styleId="af1" w:type="paragraph">
    <w:name w:val="header"/>
    <w:basedOn w:val="a"/>
    <w:link w:val="af2"/>
    <w:rsid w:val="000C0141"/>
    <w:pPr>
      <w:tabs>
        <w:tab w:pos="4252" w:val="center"/>
        <w:tab w:pos="8504" w:val="right"/>
      </w:tabs>
      <w:snapToGrid w:val="0"/>
    </w:pPr>
  </w:style>
  <w:style w:customStyle="1" w:styleId="af2" w:type="character">
    <w:name w:val="ヘッダー (文字)"/>
    <w:basedOn w:val="a1"/>
    <w:link w:val="af1"/>
    <w:rsid w:val="000C0141"/>
    <w:rPr>
      <w:rFonts w:ascii="Times New Roman" w:eastAsia="Times New Roman" w:hAnsi="Times New Roman"/>
    </w:rPr>
  </w:style>
  <w:style w:styleId="af3" w:type="paragraph">
    <w:name w:val="footer"/>
    <w:basedOn w:val="a"/>
    <w:link w:val="af4"/>
    <w:rsid w:val="000C0141"/>
    <w:pPr>
      <w:tabs>
        <w:tab w:pos="4252" w:val="center"/>
        <w:tab w:pos="8504" w:val="right"/>
      </w:tabs>
      <w:snapToGrid w:val="0"/>
    </w:pPr>
  </w:style>
  <w:style w:customStyle="1" w:styleId="af4" w:type="character">
    <w:name w:val="フッター (文字)"/>
    <w:basedOn w:val="a1"/>
    <w:link w:val="af3"/>
    <w:rsid w:val="000C0141"/>
    <w:rPr>
      <w:rFonts w:ascii="Times New Roman" w:eastAsia="Times New Roman" w:hAnsi="Times New Roman"/>
    </w:rPr>
  </w:style>
  <w:style w:customStyle="1" w:styleId="NoIndent" w:type="paragraph">
    <w:name w:val="NoIndent"/>
    <w:basedOn w:val="a0"/>
    <w:link w:val="NoIndent0"/>
    <w:rsid w:val="00F57159"/>
    <w:pPr>
      <w:ind w:firstLine="0"/>
    </w:pPr>
    <w:rPr>
      <w:rFonts w:cs="Times New Roman"/>
      <w:szCs w:val="56"/>
    </w:rPr>
  </w:style>
  <w:style w:customStyle="1" w:styleId="NoIndent0" w:type="character">
    <w:name w:val="NoIndent (文字)"/>
    <w:basedOn w:val="a5"/>
    <w:link w:val="NoIndent"/>
    <w:rsid w:val="00F57159"/>
    <w:rPr>
      <w:rFonts w:ascii="Times New Roman" w:cs="Times New Roman" w:eastAsia="Times New Roman" w:hAnsi="Times New Roman"/>
      <w:sz w:val="56"/>
      <w:szCs w:val="56"/>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6" Target="numbering.xml" /><Relationship Type="http://schemas.openxmlformats.org/officeDocument/2006/relationships/styles" Id="rId15" Target="styles.xml" /><Relationship Type="http://schemas.openxmlformats.org/officeDocument/2006/relationships/settings" Id="rId14" Target="settings.xml" /><Relationship Type="http://schemas.openxmlformats.org/officeDocument/2006/relationships/webSettings" Id="rId13" Target="webSettings.xml" /><Relationship Type="http://schemas.openxmlformats.org/officeDocument/2006/relationships/fontTable" Id="rId12" Target="fontTable.xml" /><Relationship Type="http://schemas.openxmlformats.org/officeDocument/2006/relationships/theme" Id="rId11" Target="theme/theme1.xml" /><Relationship Type="http://schemas.openxmlformats.org/officeDocument/2006/relationships/footnotes" Id="rId10" Target="footnotes.xml" /><Relationship Type="http://schemas.openxmlformats.org/officeDocument/2006/relationships/comments" Id="rId9" Target="comments.xml" /><Relationship Id="rId8" Target="footer1.xml" Type="http://schemas.openxmlformats.org/officeDocument/2006/relationships/footer" /><Relationship Type="http://schemas.openxmlformats.org/officeDocument/2006/relationships/image" Id="rId17" Target="media/rId17.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52</Words>
  <Characters>303</Characters>
  <Application>Microsoft Office Word</Application>
  <DocSecurity>0</DocSecurity>
  <Lines>2</Lines>
  <Paragraphs>1</Paragraphs>
  <ScaleCrop>false</ScaleCrop>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2026-07-31T11:39:46Z</dcterms:created>
  <dcterms:modified xsi:type="dcterms:W3CDTF">2026-07-31T11:39:46Z</dcterms:modified>
</cp:coreProperties>
</file>

<file path=docProps/custom.xml><?xml version="1.0" encoding="utf-8"?>
<Properties xmlns="http://schemas.openxmlformats.org/officeDocument/2006/custom-properties" xmlns:vt="http://schemas.openxmlformats.org/officeDocument/2006/docPropsVTypes"/>
</file>