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14F9" w14:textId="2626C963" w:rsidR="008B749B" w:rsidRDefault="008B749B" w:rsidP="001965D4">
      <w:pPr>
        <w:pStyle w:val="Rubrik1"/>
      </w:pPr>
      <w:r>
        <w:t xml:space="preserve">Supplement </w:t>
      </w:r>
      <w:r w:rsidR="000B05AE">
        <w:t>Figure Legends</w:t>
      </w:r>
    </w:p>
    <w:p w14:paraId="1B08D6DD" w14:textId="21BC6D5E" w:rsidR="000A6B29" w:rsidRPr="00C906B2" w:rsidRDefault="003F1037" w:rsidP="00F46489">
      <w:pPr>
        <w:pStyle w:val="Liststycke"/>
        <w:ind w:left="715" w:hanging="431"/>
      </w:pPr>
      <w:r w:rsidRPr="007E2921">
        <w:t xml:space="preserve">Temporal trajectories of </w:t>
      </w:r>
      <w:r w:rsidR="00095C35">
        <w:t xml:space="preserve">blood </w:t>
      </w:r>
      <w:r w:rsidRPr="007E2921">
        <w:t>Hemoglobin (g∙L</w:t>
      </w:r>
      <w:r w:rsidR="008B30B8" w:rsidRPr="008B30B8">
        <w:rPr>
          <w:vertAlign w:val="superscript"/>
        </w:rPr>
        <w:t>-</w:t>
      </w:r>
      <w:r w:rsidRPr="007E2921">
        <w:t xml:space="preserve">¹) and </w:t>
      </w:r>
      <w:proofErr w:type="spellStart"/>
      <w:r w:rsidRPr="007E2921">
        <w:t>Erythocytes</w:t>
      </w:r>
      <w:proofErr w:type="spellEnd"/>
      <w:r w:rsidRPr="007E2921">
        <w:t xml:space="preserve"> (10¹²∙L</w:t>
      </w:r>
      <w:r w:rsidR="008B30B8" w:rsidRPr="008B30B8">
        <w:rPr>
          <w:vertAlign w:val="superscript"/>
        </w:rPr>
        <w:t>-</w:t>
      </w:r>
      <w:r w:rsidRPr="007E2921">
        <w:t>¹)</w:t>
      </w:r>
      <w:r w:rsidR="00982859">
        <w:t xml:space="preserve"> </w:t>
      </w:r>
      <w:r w:rsidR="00982859" w:rsidRPr="00982859">
        <w:t>in response to 2U RBC withdrawal and reinfusion</w:t>
      </w:r>
      <w:r w:rsidRPr="007E2921">
        <w:t xml:space="preserve">. </w:t>
      </w:r>
      <w:r w:rsidR="00B84EE5">
        <w:t>Left</w:t>
      </w:r>
      <w:r w:rsidR="003B2441">
        <w:t xml:space="preserve"> panel: </w:t>
      </w:r>
      <w:r w:rsidR="00F95509" w:rsidRPr="00CC7BEA">
        <w:rPr>
          <w:b w:val="0"/>
          <w:bCs w:val="0"/>
        </w:rPr>
        <w:t xml:space="preserve">Scatter plots with overlaid local regression smoothing curves (shaded bands show 95% </w:t>
      </w:r>
      <w:r w:rsidR="00F95509">
        <w:rPr>
          <w:b w:val="0"/>
          <w:bCs w:val="0"/>
        </w:rPr>
        <w:t>CI</w:t>
      </w:r>
      <w:r w:rsidR="00F95509" w:rsidRPr="00CC7BEA">
        <w:rPr>
          <w:b w:val="0"/>
          <w:bCs w:val="0"/>
        </w:rPr>
        <w:t xml:space="preserve">) illustrate responses in the </w:t>
      </w:r>
      <w:r w:rsidR="00F95509" w:rsidRPr="00CB3FA1">
        <w:t>Control group</w:t>
      </w:r>
      <w:r w:rsidR="00F95509" w:rsidRPr="00CC7BEA">
        <w:rPr>
          <w:b w:val="0"/>
          <w:bCs w:val="0"/>
        </w:rPr>
        <w:t xml:space="preserve"> (</w:t>
      </w:r>
      <w:r w:rsidR="00F95509" w:rsidRPr="001D7452">
        <w:rPr>
          <w:b w:val="0"/>
          <w:bCs w:val="0"/>
          <w:color w:val="196B24" w:themeColor="accent3"/>
        </w:rPr>
        <w:t xml:space="preserve">green </w:t>
      </w:r>
      <w:r w:rsidR="00F95509" w:rsidRPr="00CC7BEA">
        <w:rPr>
          <w:b w:val="0"/>
          <w:bCs w:val="0"/>
        </w:rPr>
        <w:t xml:space="preserve">circles) and the </w:t>
      </w:r>
      <w:r w:rsidR="00F95509" w:rsidRPr="00CB3FA1">
        <w:t>Intervention group</w:t>
      </w:r>
      <w:r w:rsidR="00F95509" w:rsidRPr="00CC7BEA">
        <w:rPr>
          <w:b w:val="0"/>
          <w:bCs w:val="0"/>
        </w:rPr>
        <w:t xml:space="preserve">, separated into </w:t>
      </w:r>
      <w:r w:rsidR="006F2FB9">
        <w:rPr>
          <w:b w:val="0"/>
          <w:bCs w:val="0"/>
        </w:rPr>
        <w:t>b</w:t>
      </w:r>
      <w:r w:rsidR="00A938CA">
        <w:rPr>
          <w:b w:val="0"/>
          <w:bCs w:val="0"/>
        </w:rPr>
        <w:t xml:space="preserve">efore </w:t>
      </w:r>
      <w:r w:rsidR="00BA1C53">
        <w:rPr>
          <w:b w:val="0"/>
          <w:bCs w:val="0"/>
        </w:rPr>
        <w:t>cryo-RBC reinfusion (</w:t>
      </w:r>
      <w:r w:rsidR="00BA1C53" w:rsidRPr="00BA1C53">
        <w:rPr>
          <w:b w:val="0"/>
          <w:bCs w:val="0"/>
          <w:color w:val="196B24" w:themeColor="accent3"/>
        </w:rPr>
        <w:t xml:space="preserve">green </w:t>
      </w:r>
      <w:r w:rsidR="00BA1C53">
        <w:rPr>
          <w:b w:val="0"/>
          <w:bCs w:val="0"/>
        </w:rPr>
        <w:t xml:space="preserve">squares), 48 h post-donation </w:t>
      </w:r>
      <w:r w:rsidR="00F95509" w:rsidRPr="00CC7BEA">
        <w:rPr>
          <w:b w:val="0"/>
          <w:bCs w:val="0"/>
        </w:rPr>
        <w:t>(</w:t>
      </w:r>
      <w:r w:rsidR="00F95509" w:rsidRPr="001D7452">
        <w:rPr>
          <w:b w:val="0"/>
          <w:bCs w:val="0"/>
          <w:color w:val="156082" w:themeColor="accent1"/>
        </w:rPr>
        <w:t xml:space="preserve">blue </w:t>
      </w:r>
      <w:r w:rsidR="00F95509" w:rsidRPr="00CC7BEA">
        <w:rPr>
          <w:b w:val="0"/>
          <w:bCs w:val="0"/>
        </w:rPr>
        <w:t xml:space="preserve">squares) and </w:t>
      </w:r>
      <w:r w:rsidR="006F2FB9">
        <w:rPr>
          <w:b w:val="0"/>
          <w:bCs w:val="0"/>
        </w:rPr>
        <w:t>post cryo-RBC reinfusion</w:t>
      </w:r>
      <w:r w:rsidR="00380A65">
        <w:rPr>
          <w:b w:val="0"/>
          <w:bCs w:val="0"/>
        </w:rPr>
        <w:t>/</w:t>
      </w:r>
      <w:r w:rsidR="00F95509" w:rsidRPr="00CC7BEA">
        <w:rPr>
          <w:b w:val="0"/>
          <w:bCs w:val="0"/>
        </w:rPr>
        <w:t>Doped (</w:t>
      </w:r>
      <w:r w:rsidR="00F95509" w:rsidRPr="00C97522">
        <w:rPr>
          <w:b w:val="0"/>
          <w:bCs w:val="0"/>
          <w:color w:val="C00000"/>
        </w:rPr>
        <w:t xml:space="preserve">red </w:t>
      </w:r>
      <w:r w:rsidR="00F95509" w:rsidRPr="00CC7BEA">
        <w:rPr>
          <w:b w:val="0"/>
          <w:bCs w:val="0"/>
        </w:rPr>
        <w:t xml:space="preserve">squares) across the full study timeline. </w:t>
      </w:r>
      <w:r w:rsidR="003B2441" w:rsidRPr="003B2441">
        <w:t>Right panel</w:t>
      </w:r>
      <w:r w:rsidR="003B2441">
        <w:rPr>
          <w:b w:val="0"/>
          <w:bCs w:val="0"/>
        </w:rPr>
        <w:t xml:space="preserve">: Individual trajectories. </w:t>
      </w:r>
      <w:r w:rsidR="00F95509" w:rsidRPr="00CC7BEA">
        <w:rPr>
          <w:b w:val="0"/>
          <w:bCs w:val="0"/>
        </w:rPr>
        <w:t>N as in Table 2</w:t>
      </w:r>
      <w:r w:rsidR="003B2441">
        <w:rPr>
          <w:b w:val="0"/>
          <w:bCs w:val="0"/>
        </w:rPr>
        <w:t>.</w:t>
      </w:r>
    </w:p>
    <w:p w14:paraId="0E74E592" w14:textId="2C03B5A0" w:rsidR="008B749B" w:rsidRPr="00C906B2" w:rsidRDefault="002B5A5C" w:rsidP="00F46489">
      <w:pPr>
        <w:pStyle w:val="Liststycke"/>
        <w:ind w:left="715" w:hanging="431"/>
      </w:pPr>
      <w:r w:rsidRPr="002B5A5C">
        <w:t>Temporal trajectories of the OFF-</w:t>
      </w:r>
      <w:proofErr w:type="spellStart"/>
      <w:r w:rsidRPr="002B5A5C">
        <w:t>hr</w:t>
      </w:r>
      <w:proofErr w:type="spellEnd"/>
      <w:r w:rsidRPr="002B5A5C">
        <w:t xml:space="preserve"> score and </w:t>
      </w:r>
      <w:proofErr w:type="spellStart"/>
      <w:r w:rsidRPr="002B5A5C">
        <w:t>Reticolucytes</w:t>
      </w:r>
      <w:proofErr w:type="spellEnd"/>
      <w:r w:rsidRPr="002B5A5C">
        <w:t>/</w:t>
      </w:r>
      <w:proofErr w:type="gramStart"/>
      <w:r w:rsidRPr="002B5A5C">
        <w:t>Erythrocytes (‰</w:t>
      </w:r>
      <w:proofErr w:type="gramEnd"/>
      <w:r w:rsidRPr="002B5A5C">
        <w:t>)</w:t>
      </w:r>
      <w:r w:rsidR="003F1037" w:rsidRPr="002B5A5C">
        <w:t>.</w:t>
      </w:r>
      <w:r w:rsidR="003F1037" w:rsidRPr="00B80B50">
        <w:rPr>
          <w:b w:val="0"/>
          <w:bCs w:val="0"/>
        </w:rPr>
        <w:t xml:space="preserve"> </w:t>
      </w:r>
      <w:r w:rsidR="00587E99">
        <w:t xml:space="preserve">Left panel: </w:t>
      </w:r>
      <w:r w:rsidR="00587E99" w:rsidRPr="00CC7BEA">
        <w:rPr>
          <w:b w:val="0"/>
          <w:bCs w:val="0"/>
        </w:rPr>
        <w:t xml:space="preserve">Scatter plots with overlaid local regression smoothing curves (shaded bands show 95% </w:t>
      </w:r>
      <w:r w:rsidR="00587E99">
        <w:rPr>
          <w:b w:val="0"/>
          <w:bCs w:val="0"/>
        </w:rPr>
        <w:t>CI</w:t>
      </w:r>
      <w:r w:rsidR="00587E99" w:rsidRPr="00CC7BEA">
        <w:rPr>
          <w:b w:val="0"/>
          <w:bCs w:val="0"/>
        </w:rPr>
        <w:t xml:space="preserve">) illustrate responses in the </w:t>
      </w:r>
      <w:r w:rsidR="00587E99" w:rsidRPr="00CB3FA1">
        <w:t>Control group</w:t>
      </w:r>
      <w:r w:rsidR="00587E99" w:rsidRPr="00CC7BEA">
        <w:rPr>
          <w:b w:val="0"/>
          <w:bCs w:val="0"/>
        </w:rPr>
        <w:t xml:space="preserve"> (</w:t>
      </w:r>
      <w:r w:rsidR="00587E99" w:rsidRPr="00E252C1">
        <w:rPr>
          <w:color w:val="196B24" w:themeColor="accent3"/>
        </w:rPr>
        <w:t>green</w:t>
      </w:r>
      <w:r w:rsidR="00587E99" w:rsidRPr="001D7452">
        <w:rPr>
          <w:b w:val="0"/>
          <w:bCs w:val="0"/>
          <w:color w:val="196B24" w:themeColor="accent3"/>
        </w:rPr>
        <w:t xml:space="preserve"> </w:t>
      </w:r>
      <w:r w:rsidR="00587E99" w:rsidRPr="00CC7BEA">
        <w:rPr>
          <w:b w:val="0"/>
          <w:bCs w:val="0"/>
        </w:rPr>
        <w:t xml:space="preserve">circles) and the </w:t>
      </w:r>
      <w:r w:rsidR="00587E99" w:rsidRPr="00CB3FA1">
        <w:t>Intervention group</w:t>
      </w:r>
      <w:r w:rsidR="00587E99" w:rsidRPr="00CC7BEA">
        <w:rPr>
          <w:b w:val="0"/>
          <w:bCs w:val="0"/>
        </w:rPr>
        <w:t xml:space="preserve">, separated into </w:t>
      </w:r>
      <w:r w:rsidR="00587E99">
        <w:rPr>
          <w:b w:val="0"/>
          <w:bCs w:val="0"/>
        </w:rPr>
        <w:t>before cryo-RBC reinfusion (</w:t>
      </w:r>
      <w:r w:rsidR="00587E99" w:rsidRPr="00E252C1">
        <w:rPr>
          <w:color w:val="196B24" w:themeColor="accent3"/>
        </w:rPr>
        <w:t>green</w:t>
      </w:r>
      <w:r w:rsidR="00587E99" w:rsidRPr="00BA1C53">
        <w:rPr>
          <w:b w:val="0"/>
          <w:bCs w:val="0"/>
          <w:color w:val="196B24" w:themeColor="accent3"/>
        </w:rPr>
        <w:t xml:space="preserve"> </w:t>
      </w:r>
      <w:r w:rsidR="00587E99">
        <w:rPr>
          <w:b w:val="0"/>
          <w:bCs w:val="0"/>
        </w:rPr>
        <w:t xml:space="preserve">squares), 48 h post-donation </w:t>
      </w:r>
      <w:r w:rsidR="00587E99" w:rsidRPr="00CC7BEA">
        <w:rPr>
          <w:b w:val="0"/>
          <w:bCs w:val="0"/>
        </w:rPr>
        <w:t>(</w:t>
      </w:r>
      <w:r w:rsidR="00587E99" w:rsidRPr="00E252C1">
        <w:rPr>
          <w:color w:val="156082" w:themeColor="accent1"/>
        </w:rPr>
        <w:t>blue</w:t>
      </w:r>
      <w:r w:rsidR="00587E99" w:rsidRPr="001D7452">
        <w:rPr>
          <w:b w:val="0"/>
          <w:bCs w:val="0"/>
          <w:color w:val="156082" w:themeColor="accent1"/>
        </w:rPr>
        <w:t xml:space="preserve"> </w:t>
      </w:r>
      <w:r w:rsidR="00587E99" w:rsidRPr="00CC7BEA">
        <w:rPr>
          <w:b w:val="0"/>
          <w:bCs w:val="0"/>
        </w:rPr>
        <w:t xml:space="preserve">squares) and </w:t>
      </w:r>
      <w:r w:rsidR="00587E99">
        <w:rPr>
          <w:b w:val="0"/>
          <w:bCs w:val="0"/>
        </w:rPr>
        <w:t>post cryo-RBC reinfusion/</w:t>
      </w:r>
      <w:r w:rsidR="00587E99" w:rsidRPr="00CC7BEA">
        <w:rPr>
          <w:b w:val="0"/>
          <w:bCs w:val="0"/>
        </w:rPr>
        <w:t>Doped (</w:t>
      </w:r>
      <w:r w:rsidR="00587E99" w:rsidRPr="00E252C1">
        <w:rPr>
          <w:color w:val="C00000"/>
        </w:rPr>
        <w:t>red</w:t>
      </w:r>
      <w:r w:rsidR="00587E99" w:rsidRPr="00C97522">
        <w:rPr>
          <w:b w:val="0"/>
          <w:bCs w:val="0"/>
          <w:color w:val="C00000"/>
        </w:rPr>
        <w:t xml:space="preserve"> </w:t>
      </w:r>
      <w:r w:rsidR="00587E99" w:rsidRPr="00CC7BEA">
        <w:rPr>
          <w:b w:val="0"/>
          <w:bCs w:val="0"/>
        </w:rPr>
        <w:t xml:space="preserve">squares) across the full study timeline. </w:t>
      </w:r>
      <w:r w:rsidR="00587E99" w:rsidRPr="003B2441">
        <w:t>Right panel</w:t>
      </w:r>
      <w:r w:rsidR="00587E99">
        <w:rPr>
          <w:b w:val="0"/>
          <w:bCs w:val="0"/>
        </w:rPr>
        <w:t xml:space="preserve">: Individual trajectories. </w:t>
      </w:r>
      <w:r w:rsidR="00587E99" w:rsidRPr="00CC7BEA">
        <w:rPr>
          <w:b w:val="0"/>
          <w:bCs w:val="0"/>
        </w:rPr>
        <w:t>N as in Table 2</w:t>
      </w:r>
      <w:r w:rsidR="00587E99">
        <w:rPr>
          <w:b w:val="0"/>
          <w:bCs w:val="0"/>
        </w:rPr>
        <w:t>.</w:t>
      </w:r>
    </w:p>
    <w:p w14:paraId="357E8EAC" w14:textId="7044D873" w:rsidR="00044763" w:rsidRPr="00E51710" w:rsidRDefault="00ED038D" w:rsidP="00F46489">
      <w:pPr>
        <w:pStyle w:val="Liststycke"/>
      </w:pPr>
      <w:r w:rsidRPr="00ED038D">
        <w:t>Temporal response of Erythrocytes-Hb (g∙L</w:t>
      </w:r>
      <w:r w:rsidR="009721BE" w:rsidRPr="009721BE">
        <w:rPr>
          <w:vertAlign w:val="superscript"/>
        </w:rPr>
        <w:t>-</w:t>
      </w:r>
      <w:r w:rsidR="009721BE" w:rsidRPr="00201D61">
        <w:t>¹</w:t>
      </w:r>
      <w:r w:rsidRPr="00ED038D">
        <w:t>) and Reticulocyte-Hb (g∙L</w:t>
      </w:r>
      <w:r w:rsidR="009721BE" w:rsidRPr="009721BE">
        <w:rPr>
          <w:vertAlign w:val="superscript"/>
        </w:rPr>
        <w:t>-</w:t>
      </w:r>
      <w:r w:rsidR="009721BE" w:rsidRPr="00201D61">
        <w:t>¹</w:t>
      </w:r>
      <w:r w:rsidRPr="00ED038D">
        <w:t>)</w:t>
      </w:r>
      <w:r w:rsidR="00044763" w:rsidRPr="00044763">
        <w:t xml:space="preserve">. </w:t>
      </w:r>
      <w:r w:rsidR="00044763">
        <w:t xml:space="preserve">Left panel: </w:t>
      </w:r>
      <w:r w:rsidR="00044763" w:rsidRPr="00CC7BEA">
        <w:rPr>
          <w:b w:val="0"/>
          <w:bCs w:val="0"/>
        </w:rPr>
        <w:t xml:space="preserve">Scatter plots with overlaid local regression smoothing curves (shaded bands show 95% </w:t>
      </w:r>
      <w:r w:rsidR="00044763">
        <w:rPr>
          <w:b w:val="0"/>
          <w:bCs w:val="0"/>
        </w:rPr>
        <w:t>CI</w:t>
      </w:r>
      <w:r w:rsidR="00044763" w:rsidRPr="00CC7BEA">
        <w:rPr>
          <w:b w:val="0"/>
          <w:bCs w:val="0"/>
        </w:rPr>
        <w:t xml:space="preserve">) illustrate responses in the </w:t>
      </w:r>
      <w:r w:rsidR="00044763" w:rsidRPr="00CB3FA1">
        <w:t>Control group</w:t>
      </w:r>
      <w:r w:rsidR="00044763" w:rsidRPr="00CC7BEA">
        <w:rPr>
          <w:b w:val="0"/>
          <w:bCs w:val="0"/>
        </w:rPr>
        <w:t xml:space="preserve"> (</w:t>
      </w:r>
      <w:r w:rsidR="00044763" w:rsidRPr="00E252C1">
        <w:rPr>
          <w:color w:val="196B24" w:themeColor="accent3"/>
        </w:rPr>
        <w:t>green</w:t>
      </w:r>
      <w:r w:rsidR="00044763" w:rsidRPr="001D7452">
        <w:rPr>
          <w:b w:val="0"/>
          <w:bCs w:val="0"/>
          <w:color w:val="196B24" w:themeColor="accent3"/>
        </w:rPr>
        <w:t xml:space="preserve"> </w:t>
      </w:r>
      <w:r w:rsidR="00044763" w:rsidRPr="00CC7BEA">
        <w:rPr>
          <w:b w:val="0"/>
          <w:bCs w:val="0"/>
        </w:rPr>
        <w:t xml:space="preserve">circles) and the </w:t>
      </w:r>
      <w:r w:rsidR="00044763" w:rsidRPr="00CB3FA1">
        <w:t>Intervention group</w:t>
      </w:r>
      <w:r w:rsidR="00044763" w:rsidRPr="00CC7BEA">
        <w:rPr>
          <w:b w:val="0"/>
          <w:bCs w:val="0"/>
        </w:rPr>
        <w:t xml:space="preserve">, separated into </w:t>
      </w:r>
      <w:r w:rsidR="00044763">
        <w:rPr>
          <w:b w:val="0"/>
          <w:bCs w:val="0"/>
        </w:rPr>
        <w:t>before cryo-RBC reinfusion (</w:t>
      </w:r>
      <w:r w:rsidR="00044763" w:rsidRPr="00E252C1">
        <w:rPr>
          <w:color w:val="196B24" w:themeColor="accent3"/>
        </w:rPr>
        <w:t>green</w:t>
      </w:r>
      <w:r w:rsidR="00044763" w:rsidRPr="00BA1C53">
        <w:rPr>
          <w:b w:val="0"/>
          <w:bCs w:val="0"/>
          <w:color w:val="196B24" w:themeColor="accent3"/>
        </w:rPr>
        <w:t xml:space="preserve"> </w:t>
      </w:r>
      <w:r w:rsidR="00044763">
        <w:rPr>
          <w:b w:val="0"/>
          <w:bCs w:val="0"/>
        </w:rPr>
        <w:t xml:space="preserve">squares), 48 h post-donation </w:t>
      </w:r>
      <w:r w:rsidR="00044763" w:rsidRPr="00CC7BEA">
        <w:rPr>
          <w:b w:val="0"/>
          <w:bCs w:val="0"/>
        </w:rPr>
        <w:t>(</w:t>
      </w:r>
      <w:r w:rsidR="00044763" w:rsidRPr="00E252C1">
        <w:rPr>
          <w:color w:val="156082" w:themeColor="accent1"/>
        </w:rPr>
        <w:t>blue</w:t>
      </w:r>
      <w:r w:rsidR="00044763" w:rsidRPr="001D7452">
        <w:rPr>
          <w:b w:val="0"/>
          <w:bCs w:val="0"/>
          <w:color w:val="156082" w:themeColor="accent1"/>
        </w:rPr>
        <w:t xml:space="preserve"> </w:t>
      </w:r>
      <w:r w:rsidR="00044763" w:rsidRPr="00CC7BEA">
        <w:rPr>
          <w:b w:val="0"/>
          <w:bCs w:val="0"/>
        </w:rPr>
        <w:t xml:space="preserve">squares) and </w:t>
      </w:r>
      <w:r w:rsidR="00044763">
        <w:rPr>
          <w:b w:val="0"/>
          <w:bCs w:val="0"/>
        </w:rPr>
        <w:t>post cryo-RBC reinfusion/</w:t>
      </w:r>
      <w:r w:rsidR="00044763" w:rsidRPr="00CC7BEA">
        <w:rPr>
          <w:b w:val="0"/>
          <w:bCs w:val="0"/>
        </w:rPr>
        <w:t>Doped (</w:t>
      </w:r>
      <w:r w:rsidR="00044763" w:rsidRPr="00E252C1">
        <w:rPr>
          <w:color w:val="C00000"/>
        </w:rPr>
        <w:t>red</w:t>
      </w:r>
      <w:r w:rsidR="00044763" w:rsidRPr="00C97522">
        <w:rPr>
          <w:b w:val="0"/>
          <w:bCs w:val="0"/>
          <w:color w:val="C00000"/>
        </w:rPr>
        <w:t xml:space="preserve"> </w:t>
      </w:r>
      <w:r w:rsidR="00044763" w:rsidRPr="00CC7BEA">
        <w:rPr>
          <w:b w:val="0"/>
          <w:bCs w:val="0"/>
        </w:rPr>
        <w:t xml:space="preserve">squares) across the full study timeline. </w:t>
      </w:r>
      <w:r w:rsidR="00044763" w:rsidRPr="003B2441">
        <w:t>Right panel</w:t>
      </w:r>
      <w:r w:rsidR="00044763">
        <w:rPr>
          <w:b w:val="0"/>
          <w:bCs w:val="0"/>
        </w:rPr>
        <w:t xml:space="preserve">: Individual trajectories. </w:t>
      </w:r>
      <w:r w:rsidR="00044763" w:rsidRPr="00CC7BEA">
        <w:rPr>
          <w:b w:val="0"/>
          <w:bCs w:val="0"/>
        </w:rPr>
        <w:t>N as in Table 2</w:t>
      </w:r>
      <w:r w:rsidR="00044763">
        <w:rPr>
          <w:b w:val="0"/>
          <w:bCs w:val="0"/>
        </w:rPr>
        <w:t>.</w:t>
      </w:r>
    </w:p>
    <w:p w14:paraId="7A720F9F" w14:textId="5D93883D" w:rsidR="00047048" w:rsidRPr="00B80B50" w:rsidRDefault="0066575B" w:rsidP="00F46489">
      <w:pPr>
        <w:pStyle w:val="Liststycke"/>
      </w:pPr>
      <w:r w:rsidRPr="0066575B">
        <w:t>Temporal response of Erythrocyte-Hb/Reticulocytes-Hb ration and Erythrocytes-MCV (</w:t>
      </w:r>
      <w:proofErr w:type="spellStart"/>
      <w:r w:rsidRPr="0066575B">
        <w:t>fL</w:t>
      </w:r>
      <w:proofErr w:type="spellEnd"/>
      <w:r w:rsidRPr="0066575B">
        <w:t>)</w:t>
      </w:r>
      <w:r w:rsidR="00583330" w:rsidRPr="00583330">
        <w:t xml:space="preserve">. </w:t>
      </w:r>
      <w:r w:rsidR="00643625">
        <w:t xml:space="preserve">Left panel: </w:t>
      </w:r>
      <w:r w:rsidR="00643625" w:rsidRPr="00CC7BEA">
        <w:rPr>
          <w:b w:val="0"/>
          <w:bCs w:val="0"/>
        </w:rPr>
        <w:t xml:space="preserve">Scatter plots with overlaid local regression smoothing curves (shaded bands show 95% </w:t>
      </w:r>
      <w:r w:rsidR="00643625">
        <w:rPr>
          <w:b w:val="0"/>
          <w:bCs w:val="0"/>
        </w:rPr>
        <w:t>CI</w:t>
      </w:r>
      <w:r w:rsidR="00643625" w:rsidRPr="00CC7BEA">
        <w:rPr>
          <w:b w:val="0"/>
          <w:bCs w:val="0"/>
        </w:rPr>
        <w:t xml:space="preserve">) illustrate responses in the </w:t>
      </w:r>
      <w:r w:rsidR="00643625" w:rsidRPr="00CB3FA1">
        <w:t>Control group</w:t>
      </w:r>
      <w:r w:rsidR="00643625" w:rsidRPr="00CC7BEA">
        <w:rPr>
          <w:b w:val="0"/>
          <w:bCs w:val="0"/>
        </w:rPr>
        <w:t xml:space="preserve"> (</w:t>
      </w:r>
      <w:r w:rsidR="00643625" w:rsidRPr="003047F1">
        <w:rPr>
          <w:color w:val="196B24" w:themeColor="accent3"/>
        </w:rPr>
        <w:t>green</w:t>
      </w:r>
      <w:r w:rsidR="00643625" w:rsidRPr="001D7452">
        <w:rPr>
          <w:b w:val="0"/>
          <w:bCs w:val="0"/>
          <w:color w:val="196B24" w:themeColor="accent3"/>
        </w:rPr>
        <w:t xml:space="preserve"> </w:t>
      </w:r>
      <w:r w:rsidR="00643625" w:rsidRPr="00CC7BEA">
        <w:rPr>
          <w:b w:val="0"/>
          <w:bCs w:val="0"/>
        </w:rPr>
        <w:t xml:space="preserve">circles) and the </w:t>
      </w:r>
      <w:r w:rsidR="00643625" w:rsidRPr="00CB3FA1">
        <w:t>Intervention group</w:t>
      </w:r>
      <w:r w:rsidR="00643625" w:rsidRPr="00CC7BEA">
        <w:rPr>
          <w:b w:val="0"/>
          <w:bCs w:val="0"/>
        </w:rPr>
        <w:t xml:space="preserve">, separated into </w:t>
      </w:r>
      <w:r w:rsidR="00643625">
        <w:rPr>
          <w:b w:val="0"/>
          <w:bCs w:val="0"/>
        </w:rPr>
        <w:t>before cryo-RBC reinfusion (</w:t>
      </w:r>
      <w:r w:rsidR="00643625" w:rsidRPr="003047F1">
        <w:rPr>
          <w:color w:val="196B24" w:themeColor="accent3"/>
        </w:rPr>
        <w:t>green</w:t>
      </w:r>
      <w:r w:rsidR="00643625" w:rsidRPr="00BA1C53">
        <w:rPr>
          <w:b w:val="0"/>
          <w:bCs w:val="0"/>
          <w:color w:val="196B24" w:themeColor="accent3"/>
        </w:rPr>
        <w:t xml:space="preserve"> </w:t>
      </w:r>
      <w:r w:rsidR="00643625">
        <w:rPr>
          <w:b w:val="0"/>
          <w:bCs w:val="0"/>
        </w:rPr>
        <w:t xml:space="preserve">squares), 48 h post-donation </w:t>
      </w:r>
      <w:r w:rsidR="00643625" w:rsidRPr="00CC7BEA">
        <w:rPr>
          <w:b w:val="0"/>
          <w:bCs w:val="0"/>
        </w:rPr>
        <w:t>(</w:t>
      </w:r>
      <w:r w:rsidR="00643625" w:rsidRPr="003047F1">
        <w:rPr>
          <w:color w:val="156082" w:themeColor="accent1"/>
        </w:rPr>
        <w:t>blue</w:t>
      </w:r>
      <w:r w:rsidR="00643625" w:rsidRPr="001D7452">
        <w:rPr>
          <w:b w:val="0"/>
          <w:bCs w:val="0"/>
          <w:color w:val="156082" w:themeColor="accent1"/>
        </w:rPr>
        <w:t xml:space="preserve"> </w:t>
      </w:r>
      <w:r w:rsidR="00643625" w:rsidRPr="00CC7BEA">
        <w:rPr>
          <w:b w:val="0"/>
          <w:bCs w:val="0"/>
        </w:rPr>
        <w:t xml:space="preserve">squares) and </w:t>
      </w:r>
      <w:r w:rsidR="00643625">
        <w:rPr>
          <w:b w:val="0"/>
          <w:bCs w:val="0"/>
        </w:rPr>
        <w:t>post cryo-RBC reinfusion/</w:t>
      </w:r>
      <w:r w:rsidR="00643625" w:rsidRPr="00CC7BEA">
        <w:rPr>
          <w:b w:val="0"/>
          <w:bCs w:val="0"/>
        </w:rPr>
        <w:t>Doped (</w:t>
      </w:r>
      <w:r w:rsidR="00643625" w:rsidRPr="003047F1">
        <w:rPr>
          <w:color w:val="C00000"/>
        </w:rPr>
        <w:t>red</w:t>
      </w:r>
      <w:r w:rsidR="00643625" w:rsidRPr="00C97522">
        <w:rPr>
          <w:b w:val="0"/>
          <w:bCs w:val="0"/>
          <w:color w:val="C00000"/>
        </w:rPr>
        <w:t xml:space="preserve"> </w:t>
      </w:r>
      <w:r w:rsidR="00643625" w:rsidRPr="00CC7BEA">
        <w:rPr>
          <w:b w:val="0"/>
          <w:bCs w:val="0"/>
        </w:rPr>
        <w:t xml:space="preserve">squares) across the full study timeline. </w:t>
      </w:r>
      <w:r w:rsidR="00643625" w:rsidRPr="003B2441">
        <w:t>Right panel</w:t>
      </w:r>
      <w:r w:rsidR="00643625">
        <w:rPr>
          <w:b w:val="0"/>
          <w:bCs w:val="0"/>
        </w:rPr>
        <w:t xml:space="preserve">: Individual trajectories. </w:t>
      </w:r>
      <w:r w:rsidR="00643625" w:rsidRPr="00CC7BEA">
        <w:rPr>
          <w:b w:val="0"/>
          <w:bCs w:val="0"/>
        </w:rPr>
        <w:t>N as in Table 2</w:t>
      </w:r>
      <w:r w:rsidR="00643625">
        <w:rPr>
          <w:b w:val="0"/>
          <w:bCs w:val="0"/>
        </w:rPr>
        <w:t>.</w:t>
      </w:r>
    </w:p>
    <w:p w14:paraId="007EEAA6" w14:textId="2BD19C1E" w:rsidR="0073794E" w:rsidRPr="00754F06" w:rsidRDefault="00201D61" w:rsidP="00F46489">
      <w:pPr>
        <w:pStyle w:val="Liststycke"/>
      </w:pPr>
      <w:r w:rsidRPr="00201D61">
        <w:t>Temporal response of serum Erythropoietin (UL</w:t>
      </w:r>
      <w:r w:rsidR="009721BE" w:rsidRPr="009721BE">
        <w:rPr>
          <w:vertAlign w:val="superscript"/>
        </w:rPr>
        <w:t>-</w:t>
      </w:r>
      <w:r w:rsidRPr="00201D61">
        <w:t xml:space="preserve">¹). </w:t>
      </w:r>
      <w:r w:rsidR="000C268B">
        <w:t xml:space="preserve">Left panel: </w:t>
      </w:r>
      <w:r w:rsidR="000C268B" w:rsidRPr="00CC7BEA">
        <w:rPr>
          <w:b w:val="0"/>
          <w:bCs w:val="0"/>
        </w:rPr>
        <w:t xml:space="preserve">Scatter plots with overlaid local regression smoothing curves (shaded bands show 95% </w:t>
      </w:r>
      <w:r w:rsidR="000C268B">
        <w:rPr>
          <w:b w:val="0"/>
          <w:bCs w:val="0"/>
        </w:rPr>
        <w:t>CI</w:t>
      </w:r>
      <w:r w:rsidR="000C268B" w:rsidRPr="00CC7BEA">
        <w:rPr>
          <w:b w:val="0"/>
          <w:bCs w:val="0"/>
        </w:rPr>
        <w:t xml:space="preserve">) illustrate responses in the </w:t>
      </w:r>
      <w:r w:rsidR="000C268B" w:rsidRPr="00CB3FA1">
        <w:t>Control group</w:t>
      </w:r>
      <w:r w:rsidR="000C268B" w:rsidRPr="00CC7BEA">
        <w:rPr>
          <w:b w:val="0"/>
          <w:bCs w:val="0"/>
        </w:rPr>
        <w:t xml:space="preserve"> (</w:t>
      </w:r>
      <w:r w:rsidR="000C268B" w:rsidRPr="003047F1">
        <w:rPr>
          <w:color w:val="196B24" w:themeColor="accent3"/>
        </w:rPr>
        <w:t>green</w:t>
      </w:r>
      <w:r w:rsidR="000C268B" w:rsidRPr="001D7452">
        <w:rPr>
          <w:b w:val="0"/>
          <w:bCs w:val="0"/>
          <w:color w:val="196B24" w:themeColor="accent3"/>
        </w:rPr>
        <w:t xml:space="preserve"> </w:t>
      </w:r>
      <w:r w:rsidR="000C268B" w:rsidRPr="00CC7BEA">
        <w:rPr>
          <w:b w:val="0"/>
          <w:bCs w:val="0"/>
        </w:rPr>
        <w:t xml:space="preserve">circles) and the </w:t>
      </w:r>
      <w:r w:rsidR="000C268B" w:rsidRPr="00CB3FA1">
        <w:t>Intervention group</w:t>
      </w:r>
      <w:r w:rsidR="000C268B" w:rsidRPr="00CC7BEA">
        <w:rPr>
          <w:b w:val="0"/>
          <w:bCs w:val="0"/>
        </w:rPr>
        <w:t xml:space="preserve">, separated into </w:t>
      </w:r>
      <w:r w:rsidR="000C268B">
        <w:rPr>
          <w:b w:val="0"/>
          <w:bCs w:val="0"/>
        </w:rPr>
        <w:t>before cryo-RBC reinfusion (</w:t>
      </w:r>
      <w:r w:rsidR="000C268B" w:rsidRPr="003047F1">
        <w:rPr>
          <w:color w:val="196B24" w:themeColor="accent3"/>
        </w:rPr>
        <w:t>green</w:t>
      </w:r>
      <w:r w:rsidR="000C268B" w:rsidRPr="00BA1C53">
        <w:rPr>
          <w:b w:val="0"/>
          <w:bCs w:val="0"/>
          <w:color w:val="196B24" w:themeColor="accent3"/>
        </w:rPr>
        <w:t xml:space="preserve"> </w:t>
      </w:r>
      <w:r w:rsidR="000C268B">
        <w:rPr>
          <w:b w:val="0"/>
          <w:bCs w:val="0"/>
        </w:rPr>
        <w:t xml:space="preserve">squares), 48 h post-donation </w:t>
      </w:r>
      <w:r w:rsidR="000C268B" w:rsidRPr="00CC7BEA">
        <w:rPr>
          <w:b w:val="0"/>
          <w:bCs w:val="0"/>
        </w:rPr>
        <w:t>(</w:t>
      </w:r>
      <w:r w:rsidR="000C268B" w:rsidRPr="003047F1">
        <w:rPr>
          <w:color w:val="156082" w:themeColor="accent1"/>
        </w:rPr>
        <w:t>blue</w:t>
      </w:r>
      <w:r w:rsidR="000C268B" w:rsidRPr="001D7452">
        <w:rPr>
          <w:b w:val="0"/>
          <w:bCs w:val="0"/>
          <w:color w:val="156082" w:themeColor="accent1"/>
        </w:rPr>
        <w:t xml:space="preserve"> </w:t>
      </w:r>
      <w:r w:rsidR="000C268B" w:rsidRPr="00CC7BEA">
        <w:rPr>
          <w:b w:val="0"/>
          <w:bCs w:val="0"/>
        </w:rPr>
        <w:t xml:space="preserve">squares) and </w:t>
      </w:r>
      <w:r w:rsidR="000C268B">
        <w:rPr>
          <w:b w:val="0"/>
          <w:bCs w:val="0"/>
        </w:rPr>
        <w:t>post cryo-RBC reinfusion/</w:t>
      </w:r>
      <w:r w:rsidR="000C268B" w:rsidRPr="00CC7BEA">
        <w:rPr>
          <w:b w:val="0"/>
          <w:bCs w:val="0"/>
        </w:rPr>
        <w:t>Doped (</w:t>
      </w:r>
      <w:r w:rsidR="000C268B" w:rsidRPr="003047F1">
        <w:rPr>
          <w:color w:val="C00000"/>
        </w:rPr>
        <w:t>red</w:t>
      </w:r>
      <w:r w:rsidR="000C268B" w:rsidRPr="00C97522">
        <w:rPr>
          <w:b w:val="0"/>
          <w:bCs w:val="0"/>
          <w:color w:val="C00000"/>
        </w:rPr>
        <w:t xml:space="preserve"> </w:t>
      </w:r>
      <w:r w:rsidR="000C268B" w:rsidRPr="00CC7BEA">
        <w:rPr>
          <w:b w:val="0"/>
          <w:bCs w:val="0"/>
        </w:rPr>
        <w:t xml:space="preserve">squares) across the full study timeline. </w:t>
      </w:r>
      <w:r w:rsidR="000C268B" w:rsidRPr="003B2441">
        <w:t>Right panel</w:t>
      </w:r>
      <w:r w:rsidR="000C268B">
        <w:rPr>
          <w:b w:val="0"/>
          <w:bCs w:val="0"/>
        </w:rPr>
        <w:t xml:space="preserve">: Individual trajectories. </w:t>
      </w:r>
      <w:r w:rsidR="000C268B" w:rsidRPr="00CC7BEA">
        <w:rPr>
          <w:b w:val="0"/>
          <w:bCs w:val="0"/>
        </w:rPr>
        <w:t>N as in Table 2</w:t>
      </w:r>
      <w:r w:rsidR="00AF075D" w:rsidRPr="00AF075D">
        <w:rPr>
          <w:b w:val="0"/>
          <w:bCs w:val="0"/>
        </w:rPr>
        <w:t>.</w:t>
      </w:r>
    </w:p>
    <w:p w14:paraId="115E9D95" w14:textId="77777777" w:rsidR="0073794E" w:rsidRPr="0073794E" w:rsidRDefault="0073794E" w:rsidP="00F46489">
      <w:pPr>
        <w:pStyle w:val="Liststycke"/>
      </w:pPr>
      <w:r w:rsidRPr="0073794E">
        <w:lastRenderedPageBreak/>
        <w:t>Temporal response of ON-he and OFF-</w:t>
      </w:r>
      <w:proofErr w:type="spellStart"/>
      <w:r w:rsidRPr="0073794E">
        <w:t>hre</w:t>
      </w:r>
      <w:proofErr w:type="spellEnd"/>
      <w:r w:rsidRPr="0073794E">
        <w:t xml:space="preserve"> scores.</w:t>
      </w:r>
      <w:r>
        <w:t xml:space="preserve"> </w:t>
      </w:r>
      <w:r w:rsidRPr="00CC7BEA">
        <w:rPr>
          <w:b w:val="0"/>
          <w:bCs w:val="0"/>
        </w:rPr>
        <w:t xml:space="preserve">Scatter plots with overlaid local regression smoothing curves (shaded bands show 95% </w:t>
      </w:r>
      <w:r>
        <w:rPr>
          <w:b w:val="0"/>
          <w:bCs w:val="0"/>
        </w:rPr>
        <w:t>CI</w:t>
      </w:r>
      <w:r w:rsidRPr="00CC7BEA">
        <w:rPr>
          <w:b w:val="0"/>
          <w:bCs w:val="0"/>
        </w:rPr>
        <w:t xml:space="preserve">) illustrate responses in the </w:t>
      </w:r>
      <w:r w:rsidRPr="00CB3FA1">
        <w:t>Control group</w:t>
      </w:r>
      <w:r w:rsidRPr="00CC7BEA">
        <w:rPr>
          <w:b w:val="0"/>
          <w:bCs w:val="0"/>
        </w:rPr>
        <w:t xml:space="preserve"> (</w:t>
      </w:r>
      <w:r w:rsidRPr="003047F1">
        <w:rPr>
          <w:color w:val="196B24" w:themeColor="accent3"/>
        </w:rPr>
        <w:t>green</w:t>
      </w:r>
      <w:r w:rsidRPr="001D7452">
        <w:rPr>
          <w:b w:val="0"/>
          <w:bCs w:val="0"/>
          <w:color w:val="196B24" w:themeColor="accent3"/>
        </w:rPr>
        <w:t xml:space="preserve"> </w:t>
      </w:r>
      <w:r w:rsidRPr="00CC7BEA">
        <w:rPr>
          <w:b w:val="0"/>
          <w:bCs w:val="0"/>
        </w:rPr>
        <w:t xml:space="preserve">circles) and the </w:t>
      </w:r>
      <w:r w:rsidRPr="00CB3FA1">
        <w:t>Intervention group</w:t>
      </w:r>
      <w:r w:rsidRPr="00CC7BEA">
        <w:rPr>
          <w:b w:val="0"/>
          <w:bCs w:val="0"/>
        </w:rPr>
        <w:t xml:space="preserve">, separated into </w:t>
      </w:r>
      <w:r>
        <w:rPr>
          <w:b w:val="0"/>
          <w:bCs w:val="0"/>
        </w:rPr>
        <w:t>before cryo-RBC reinfusion (</w:t>
      </w:r>
      <w:r w:rsidRPr="003047F1">
        <w:rPr>
          <w:color w:val="196B24" w:themeColor="accent3"/>
        </w:rPr>
        <w:t>green</w:t>
      </w:r>
      <w:r w:rsidRPr="00BA1C53">
        <w:rPr>
          <w:b w:val="0"/>
          <w:bCs w:val="0"/>
          <w:color w:val="196B24" w:themeColor="accent3"/>
        </w:rPr>
        <w:t xml:space="preserve"> </w:t>
      </w:r>
      <w:r>
        <w:rPr>
          <w:b w:val="0"/>
          <w:bCs w:val="0"/>
        </w:rPr>
        <w:t xml:space="preserve">squares), 48 h post-donation </w:t>
      </w:r>
      <w:r w:rsidRPr="00CC7BEA">
        <w:rPr>
          <w:b w:val="0"/>
          <w:bCs w:val="0"/>
        </w:rPr>
        <w:t>(</w:t>
      </w:r>
      <w:r w:rsidRPr="003047F1">
        <w:rPr>
          <w:color w:val="156082" w:themeColor="accent1"/>
        </w:rPr>
        <w:t>blue</w:t>
      </w:r>
      <w:r w:rsidRPr="001D7452">
        <w:rPr>
          <w:b w:val="0"/>
          <w:bCs w:val="0"/>
          <w:color w:val="156082" w:themeColor="accent1"/>
        </w:rPr>
        <w:t xml:space="preserve"> </w:t>
      </w:r>
      <w:r w:rsidRPr="00CC7BEA">
        <w:rPr>
          <w:b w:val="0"/>
          <w:bCs w:val="0"/>
        </w:rPr>
        <w:t xml:space="preserve">squares) and </w:t>
      </w:r>
      <w:r>
        <w:rPr>
          <w:b w:val="0"/>
          <w:bCs w:val="0"/>
        </w:rPr>
        <w:t>post cryo-RBC reinfusion/</w:t>
      </w:r>
      <w:r w:rsidRPr="00CC7BEA">
        <w:rPr>
          <w:b w:val="0"/>
          <w:bCs w:val="0"/>
        </w:rPr>
        <w:t>Doped (</w:t>
      </w:r>
      <w:r w:rsidRPr="003047F1">
        <w:rPr>
          <w:color w:val="C00000"/>
        </w:rPr>
        <w:t>red</w:t>
      </w:r>
      <w:r w:rsidRPr="00C97522">
        <w:rPr>
          <w:b w:val="0"/>
          <w:bCs w:val="0"/>
          <w:color w:val="C00000"/>
        </w:rPr>
        <w:t xml:space="preserve"> </w:t>
      </w:r>
      <w:r w:rsidRPr="00CC7BEA">
        <w:rPr>
          <w:b w:val="0"/>
          <w:bCs w:val="0"/>
        </w:rPr>
        <w:t xml:space="preserve">squares) across the full study timeline. </w:t>
      </w:r>
      <w:r w:rsidRPr="003B2441">
        <w:t>Right panel</w:t>
      </w:r>
      <w:r>
        <w:rPr>
          <w:b w:val="0"/>
          <w:bCs w:val="0"/>
        </w:rPr>
        <w:t xml:space="preserve">: Individual trajectories. </w:t>
      </w:r>
      <w:r w:rsidRPr="00CC7BEA">
        <w:rPr>
          <w:b w:val="0"/>
          <w:bCs w:val="0"/>
        </w:rPr>
        <w:t>N as in Table 2</w:t>
      </w:r>
      <w:r w:rsidRPr="00AF075D">
        <w:rPr>
          <w:b w:val="0"/>
          <w:bCs w:val="0"/>
        </w:rPr>
        <w:t>.</w:t>
      </w:r>
    </w:p>
    <w:p w14:paraId="4D7E70B5" w14:textId="7FBBF310" w:rsidR="00032CAC" w:rsidRPr="00345394" w:rsidRDefault="00D713F0" w:rsidP="00F46489">
      <w:pPr>
        <w:pStyle w:val="Liststycke"/>
      </w:pPr>
      <w:r w:rsidRPr="00D713F0">
        <w:t>Temporal response of 1G OFF model and OFF-</w:t>
      </w:r>
      <w:proofErr w:type="spellStart"/>
      <w:r w:rsidRPr="00D713F0">
        <w:t>hr</w:t>
      </w:r>
      <w:proofErr w:type="spellEnd"/>
      <w:r w:rsidRPr="00D713F0">
        <w:t xml:space="preserve"> scores.</w:t>
      </w:r>
      <w:r>
        <w:t xml:space="preserve"> </w:t>
      </w:r>
      <w:r w:rsidRPr="00CC7BEA">
        <w:rPr>
          <w:b w:val="0"/>
          <w:bCs w:val="0"/>
        </w:rPr>
        <w:t xml:space="preserve">Scatter plots with overlaid local regression smoothing curves (shaded bands show 95% </w:t>
      </w:r>
      <w:r>
        <w:rPr>
          <w:b w:val="0"/>
          <w:bCs w:val="0"/>
        </w:rPr>
        <w:t>CI</w:t>
      </w:r>
      <w:r w:rsidRPr="00CC7BEA">
        <w:rPr>
          <w:b w:val="0"/>
          <w:bCs w:val="0"/>
        </w:rPr>
        <w:t xml:space="preserve">) illustrate responses in the </w:t>
      </w:r>
      <w:r w:rsidRPr="00CB3FA1">
        <w:t>Control group</w:t>
      </w:r>
      <w:r w:rsidRPr="00CC7BEA">
        <w:rPr>
          <w:b w:val="0"/>
          <w:bCs w:val="0"/>
        </w:rPr>
        <w:t xml:space="preserve"> (</w:t>
      </w:r>
      <w:r w:rsidRPr="003047F1">
        <w:rPr>
          <w:color w:val="196B24" w:themeColor="accent3"/>
        </w:rPr>
        <w:t>green</w:t>
      </w:r>
      <w:r w:rsidRPr="001D7452">
        <w:rPr>
          <w:b w:val="0"/>
          <w:bCs w:val="0"/>
          <w:color w:val="196B24" w:themeColor="accent3"/>
        </w:rPr>
        <w:t xml:space="preserve"> </w:t>
      </w:r>
      <w:r w:rsidRPr="00CC7BEA">
        <w:rPr>
          <w:b w:val="0"/>
          <w:bCs w:val="0"/>
        </w:rPr>
        <w:t xml:space="preserve">circles) and the </w:t>
      </w:r>
      <w:r w:rsidRPr="00CB3FA1">
        <w:t>Intervention group</w:t>
      </w:r>
      <w:r w:rsidRPr="00CC7BEA">
        <w:rPr>
          <w:b w:val="0"/>
          <w:bCs w:val="0"/>
        </w:rPr>
        <w:t xml:space="preserve">, separated into </w:t>
      </w:r>
      <w:r>
        <w:rPr>
          <w:b w:val="0"/>
          <w:bCs w:val="0"/>
        </w:rPr>
        <w:t>before cryo-RBC reinfusion (</w:t>
      </w:r>
      <w:r w:rsidRPr="003047F1">
        <w:rPr>
          <w:color w:val="196B24" w:themeColor="accent3"/>
        </w:rPr>
        <w:t>green</w:t>
      </w:r>
      <w:r w:rsidRPr="00BA1C53">
        <w:rPr>
          <w:b w:val="0"/>
          <w:bCs w:val="0"/>
          <w:color w:val="196B24" w:themeColor="accent3"/>
        </w:rPr>
        <w:t xml:space="preserve"> </w:t>
      </w:r>
      <w:r>
        <w:rPr>
          <w:b w:val="0"/>
          <w:bCs w:val="0"/>
        </w:rPr>
        <w:t xml:space="preserve">squares), 48 h post-donation </w:t>
      </w:r>
      <w:r w:rsidRPr="00CC7BEA">
        <w:rPr>
          <w:b w:val="0"/>
          <w:bCs w:val="0"/>
        </w:rPr>
        <w:t>(</w:t>
      </w:r>
      <w:r w:rsidRPr="003047F1">
        <w:rPr>
          <w:color w:val="156082" w:themeColor="accent1"/>
        </w:rPr>
        <w:t>blue</w:t>
      </w:r>
      <w:r w:rsidRPr="001D7452">
        <w:rPr>
          <w:b w:val="0"/>
          <w:bCs w:val="0"/>
          <w:color w:val="156082" w:themeColor="accent1"/>
        </w:rPr>
        <w:t xml:space="preserve"> </w:t>
      </w:r>
      <w:r w:rsidRPr="00CC7BEA">
        <w:rPr>
          <w:b w:val="0"/>
          <w:bCs w:val="0"/>
        </w:rPr>
        <w:t xml:space="preserve">squares) and </w:t>
      </w:r>
      <w:r>
        <w:rPr>
          <w:b w:val="0"/>
          <w:bCs w:val="0"/>
        </w:rPr>
        <w:t>post cryo-RBC reinfusion/</w:t>
      </w:r>
      <w:r w:rsidRPr="00CC7BEA">
        <w:rPr>
          <w:b w:val="0"/>
          <w:bCs w:val="0"/>
        </w:rPr>
        <w:t>Doped (</w:t>
      </w:r>
      <w:r w:rsidRPr="003047F1">
        <w:rPr>
          <w:color w:val="C00000"/>
        </w:rPr>
        <w:t>red</w:t>
      </w:r>
      <w:r w:rsidRPr="00C97522">
        <w:rPr>
          <w:b w:val="0"/>
          <w:bCs w:val="0"/>
          <w:color w:val="C00000"/>
        </w:rPr>
        <w:t xml:space="preserve"> </w:t>
      </w:r>
      <w:r w:rsidRPr="00CC7BEA">
        <w:rPr>
          <w:b w:val="0"/>
          <w:bCs w:val="0"/>
        </w:rPr>
        <w:t xml:space="preserve">squares) across the full study timeline. </w:t>
      </w:r>
      <w:r w:rsidRPr="003B2441">
        <w:t>Right panel</w:t>
      </w:r>
      <w:r>
        <w:rPr>
          <w:b w:val="0"/>
          <w:bCs w:val="0"/>
        </w:rPr>
        <w:t xml:space="preserve">: Individual trajectories. </w:t>
      </w:r>
      <w:r w:rsidRPr="00CC7BEA">
        <w:rPr>
          <w:b w:val="0"/>
          <w:bCs w:val="0"/>
        </w:rPr>
        <w:t>N as in Table 2</w:t>
      </w:r>
      <w:r w:rsidRPr="00AF075D">
        <w:rPr>
          <w:b w:val="0"/>
          <w:bCs w:val="0"/>
        </w:rPr>
        <w:t>.</w:t>
      </w:r>
    </w:p>
    <w:p w14:paraId="21E7A929" w14:textId="03B3A7CF" w:rsidR="00345394" w:rsidRPr="00345394" w:rsidRDefault="00345394" w:rsidP="0020612D">
      <w:pPr>
        <w:pStyle w:val="Liststycke"/>
        <w:ind w:left="714" w:hanging="357"/>
        <w:rPr>
          <w:b w:val="0"/>
          <w:bCs w:val="0"/>
        </w:rPr>
      </w:pPr>
      <w:r w:rsidRPr="00345394">
        <w:t xml:space="preserve"> Longitudinal evaluation of the OFF-</w:t>
      </w:r>
      <w:proofErr w:type="spellStart"/>
      <w:r w:rsidRPr="00345394">
        <w:t>hr</w:t>
      </w:r>
      <w:proofErr w:type="spellEnd"/>
      <w:r w:rsidRPr="00345394">
        <w:t xml:space="preserve"> score utilizing Bayesian adaptive modeling – Control group. </w:t>
      </w:r>
      <w:r w:rsidRPr="00345394">
        <w:rPr>
          <w:b w:val="0"/>
          <w:bCs w:val="0"/>
        </w:rPr>
        <w:t>Individual plots are displayed for seven subjects (Panels K-W) within the Control group across the complete study protocol. The dashed black tracking line represents the running average of the OFF-</w:t>
      </w:r>
      <w:proofErr w:type="spellStart"/>
      <w:r w:rsidRPr="00345394">
        <w:rPr>
          <w:b w:val="0"/>
          <w:bCs w:val="0"/>
        </w:rPr>
        <w:t>hr</w:t>
      </w:r>
      <w:proofErr w:type="spellEnd"/>
      <w:r w:rsidRPr="00345394">
        <w:rPr>
          <w:b w:val="0"/>
          <w:bCs w:val="0"/>
        </w:rPr>
        <w:t xml:space="preserve"> score. Individual samples are color-coded by physiological state: </w:t>
      </w:r>
      <w:r w:rsidRPr="0020612D">
        <w:rPr>
          <w:color w:val="196B24" w:themeColor="accent3"/>
        </w:rPr>
        <w:t>Green</w:t>
      </w:r>
      <w:r w:rsidRPr="00345394">
        <w:rPr>
          <w:b w:val="0"/>
          <w:bCs w:val="0"/>
        </w:rPr>
        <w:t xml:space="preserve"> - Clean, </w:t>
      </w:r>
      <w:r w:rsidRPr="0020612D">
        <w:rPr>
          <w:color w:val="156082" w:themeColor="accent1"/>
        </w:rPr>
        <w:t>Blue</w:t>
      </w:r>
      <w:r w:rsidRPr="00345394">
        <w:rPr>
          <w:b w:val="0"/>
          <w:bCs w:val="0"/>
        </w:rPr>
        <w:t xml:space="preserve"> - Time for acute hemodilution in the Doped group. The outer </w:t>
      </w:r>
      <w:r w:rsidRPr="00946D70">
        <w:rPr>
          <w:color w:val="C00000"/>
        </w:rPr>
        <w:t>red</w:t>
      </w:r>
      <w:r w:rsidRPr="00345394">
        <w:rPr>
          <w:b w:val="0"/>
          <w:bCs w:val="0"/>
        </w:rPr>
        <w:t xml:space="preserve"> dashed lines represent the upper and lower Bayesian adaptive limits (99.7% CI), while the central dashed line represents the expected individual mean.</w:t>
      </w:r>
    </w:p>
    <w:p w14:paraId="77746649" w14:textId="321A1F0D" w:rsidR="00C222D8" w:rsidRDefault="00C222D8" w:rsidP="00F46489">
      <w:pPr>
        <w:pStyle w:val="Liststycke"/>
      </w:pPr>
      <w:r w:rsidRPr="00C222D8">
        <w:t xml:space="preserve">Longitudinal evaluation of the Erythrocytes </w:t>
      </w:r>
      <w:r w:rsidR="00496353" w:rsidRPr="007E2921">
        <w:t>(10¹²∙L</w:t>
      </w:r>
      <w:r w:rsidR="00496353" w:rsidRPr="008B30B8">
        <w:rPr>
          <w:vertAlign w:val="superscript"/>
        </w:rPr>
        <w:t>-</w:t>
      </w:r>
      <w:r w:rsidR="00496353" w:rsidRPr="007E2921">
        <w:t>¹)</w:t>
      </w:r>
      <w:r w:rsidR="00496353">
        <w:t xml:space="preserve"> </w:t>
      </w:r>
      <w:r w:rsidRPr="00C222D8">
        <w:t xml:space="preserve">utilizing Bayesian adaptive modeling – Doped group. </w:t>
      </w:r>
      <w:r w:rsidRPr="00C222D8">
        <w:rPr>
          <w:b w:val="0"/>
          <w:bCs w:val="0"/>
        </w:rPr>
        <w:t>Individual plots are displayed for ten subjects (Panels A–</w:t>
      </w:r>
      <w:r w:rsidR="00414609">
        <w:rPr>
          <w:b w:val="0"/>
          <w:bCs w:val="0"/>
        </w:rPr>
        <w:t>T</w:t>
      </w:r>
      <w:r w:rsidRPr="00C222D8">
        <w:rPr>
          <w:b w:val="0"/>
          <w:bCs w:val="0"/>
        </w:rPr>
        <w:t xml:space="preserve">) </w:t>
      </w:r>
      <w:r w:rsidR="00F51666">
        <w:rPr>
          <w:b w:val="0"/>
          <w:bCs w:val="0"/>
        </w:rPr>
        <w:t>from</w:t>
      </w:r>
      <w:r w:rsidRPr="00C222D8">
        <w:rPr>
          <w:b w:val="0"/>
          <w:bCs w:val="0"/>
        </w:rPr>
        <w:t xml:space="preserve"> the intervention group </w:t>
      </w:r>
      <w:r w:rsidR="00F51666" w:rsidRPr="00CC7BEA">
        <w:rPr>
          <w:b w:val="0"/>
          <w:bCs w:val="0"/>
        </w:rPr>
        <w:t>across the full study timeline</w:t>
      </w:r>
      <w:r w:rsidRPr="00C222D8">
        <w:rPr>
          <w:b w:val="0"/>
          <w:bCs w:val="0"/>
        </w:rPr>
        <w:t>. The tracking line</w:t>
      </w:r>
      <w:r w:rsidR="00E00537">
        <w:rPr>
          <w:b w:val="0"/>
          <w:bCs w:val="0"/>
        </w:rPr>
        <w:t xml:space="preserve"> </w:t>
      </w:r>
      <w:r w:rsidRPr="00C222D8">
        <w:rPr>
          <w:b w:val="0"/>
          <w:bCs w:val="0"/>
        </w:rPr>
        <w:t xml:space="preserve">represents the running average. Individual samples are color-coded by physiological state: </w:t>
      </w:r>
      <w:r w:rsidRPr="008A22C2">
        <w:rPr>
          <w:color w:val="196B24" w:themeColor="accent3"/>
        </w:rPr>
        <w:t>Green</w:t>
      </w:r>
      <w:r w:rsidR="00BA3714" w:rsidRPr="005365E1">
        <w:rPr>
          <w:b w:val="0"/>
          <w:bCs w:val="0"/>
        </w:rPr>
        <w:t>;</w:t>
      </w:r>
      <w:r w:rsidRPr="00C222D8">
        <w:rPr>
          <w:b w:val="0"/>
          <w:bCs w:val="0"/>
        </w:rPr>
        <w:t xml:space="preserve"> Baseline and </w:t>
      </w:r>
      <w:r w:rsidR="00862B11">
        <w:rPr>
          <w:b w:val="0"/>
          <w:bCs w:val="0"/>
        </w:rPr>
        <w:t xml:space="preserve">&gt;48 h </w:t>
      </w:r>
      <w:r w:rsidRPr="00C222D8">
        <w:rPr>
          <w:b w:val="0"/>
          <w:bCs w:val="0"/>
        </w:rPr>
        <w:t xml:space="preserve">Post-Donation, </w:t>
      </w:r>
      <w:r w:rsidRPr="003047F1">
        <w:rPr>
          <w:color w:val="156082" w:themeColor="accent1"/>
        </w:rPr>
        <w:t>Blue</w:t>
      </w:r>
      <w:r w:rsidR="005365E1">
        <w:rPr>
          <w:b w:val="0"/>
          <w:bCs w:val="0"/>
        </w:rPr>
        <w:t>;</w:t>
      </w:r>
      <w:r w:rsidR="00862B11">
        <w:rPr>
          <w:b w:val="0"/>
          <w:bCs w:val="0"/>
        </w:rPr>
        <w:t>48 h post-</w:t>
      </w:r>
      <w:r w:rsidRPr="00C222D8">
        <w:rPr>
          <w:b w:val="0"/>
          <w:bCs w:val="0"/>
        </w:rPr>
        <w:t xml:space="preserve">Donation, and </w:t>
      </w:r>
      <w:r w:rsidRPr="003047F1">
        <w:rPr>
          <w:color w:val="C00000"/>
        </w:rPr>
        <w:t>Red</w:t>
      </w:r>
      <w:r w:rsidR="005365E1">
        <w:rPr>
          <w:b w:val="0"/>
          <w:bCs w:val="0"/>
        </w:rPr>
        <w:t xml:space="preserve">; </w:t>
      </w:r>
      <w:r w:rsidRPr="00C222D8">
        <w:rPr>
          <w:b w:val="0"/>
          <w:bCs w:val="0"/>
        </w:rPr>
        <w:t xml:space="preserve">Doped </w:t>
      </w:r>
      <w:r w:rsidR="00CC5B1C">
        <w:rPr>
          <w:b w:val="0"/>
          <w:bCs w:val="0"/>
        </w:rPr>
        <w:t>p</w:t>
      </w:r>
      <w:r w:rsidRPr="00C222D8">
        <w:rPr>
          <w:b w:val="0"/>
          <w:bCs w:val="0"/>
        </w:rPr>
        <w:t xml:space="preserve">ost-reinfusion. The outer red dashed lines represent the upper and lower Bayesian adaptive limits (99.7% </w:t>
      </w:r>
      <w:r w:rsidR="0092733A">
        <w:rPr>
          <w:b w:val="0"/>
          <w:bCs w:val="0"/>
        </w:rPr>
        <w:t>CI</w:t>
      </w:r>
      <w:r w:rsidRPr="00C222D8">
        <w:rPr>
          <w:b w:val="0"/>
          <w:bCs w:val="0"/>
        </w:rPr>
        <w:t xml:space="preserve">), while the central dashed line represents the expected individual mean. </w:t>
      </w:r>
      <w:r w:rsidR="0087079D">
        <w:rPr>
          <w:b w:val="0"/>
          <w:bCs w:val="0"/>
        </w:rPr>
        <w:t>F</w:t>
      </w:r>
      <w:r w:rsidRPr="00C222D8">
        <w:rPr>
          <w:b w:val="0"/>
          <w:bCs w:val="0"/>
        </w:rPr>
        <w:t>ollowing autologous blood transfusion, the doped samples (</w:t>
      </w:r>
      <w:r w:rsidRPr="008A22C2">
        <w:rPr>
          <w:color w:val="C00000"/>
        </w:rPr>
        <w:t>red</w:t>
      </w:r>
      <w:r w:rsidRPr="0087079D">
        <w:rPr>
          <w:b w:val="0"/>
          <w:bCs w:val="0"/>
          <w:color w:val="C00000"/>
        </w:rPr>
        <w:t xml:space="preserve"> </w:t>
      </w:r>
      <w:r w:rsidR="0087079D">
        <w:rPr>
          <w:b w:val="0"/>
          <w:bCs w:val="0"/>
        </w:rPr>
        <w:t>dots</w:t>
      </w:r>
      <w:r w:rsidRPr="00C222D8">
        <w:rPr>
          <w:b w:val="0"/>
          <w:bCs w:val="0"/>
        </w:rPr>
        <w:t>) fail to breach the adaptive limits for any of the subjects.</w:t>
      </w:r>
    </w:p>
    <w:p w14:paraId="4A14A380" w14:textId="766DB813" w:rsidR="00FD1F32" w:rsidRDefault="00FD1F32" w:rsidP="00F46489">
      <w:pPr>
        <w:pStyle w:val="Liststycke"/>
      </w:pPr>
      <w:r w:rsidRPr="00FD1F32">
        <w:t>Longitudinal evaluation of the Erythrocytes utilizing Bayesian adaptive modeling – Control group.</w:t>
      </w:r>
      <w:r>
        <w:t xml:space="preserve"> </w:t>
      </w:r>
      <w:r w:rsidRPr="00C222D8">
        <w:rPr>
          <w:b w:val="0"/>
          <w:bCs w:val="0"/>
        </w:rPr>
        <w:t xml:space="preserve">Individual plots are displayed for </w:t>
      </w:r>
      <w:r w:rsidR="000A4FB1">
        <w:rPr>
          <w:b w:val="0"/>
          <w:bCs w:val="0"/>
        </w:rPr>
        <w:t>seven</w:t>
      </w:r>
      <w:r w:rsidRPr="00C222D8">
        <w:rPr>
          <w:b w:val="0"/>
          <w:bCs w:val="0"/>
        </w:rPr>
        <w:t xml:space="preserve"> subjects (Panels </w:t>
      </w:r>
      <w:r w:rsidR="000A4FB1">
        <w:rPr>
          <w:b w:val="0"/>
          <w:bCs w:val="0"/>
        </w:rPr>
        <w:t>K-W</w:t>
      </w:r>
      <w:r w:rsidRPr="00C222D8">
        <w:rPr>
          <w:b w:val="0"/>
          <w:bCs w:val="0"/>
        </w:rPr>
        <w:t xml:space="preserve">) </w:t>
      </w:r>
      <w:r w:rsidRPr="00CC7BEA">
        <w:rPr>
          <w:b w:val="0"/>
          <w:bCs w:val="0"/>
        </w:rPr>
        <w:t>across the full study timeline</w:t>
      </w:r>
      <w:r w:rsidRPr="00C222D8">
        <w:rPr>
          <w:b w:val="0"/>
          <w:bCs w:val="0"/>
        </w:rPr>
        <w:t>. The tracking line</w:t>
      </w:r>
      <w:r>
        <w:rPr>
          <w:b w:val="0"/>
          <w:bCs w:val="0"/>
        </w:rPr>
        <w:t xml:space="preserve"> </w:t>
      </w:r>
      <w:r w:rsidRPr="00C222D8">
        <w:rPr>
          <w:b w:val="0"/>
          <w:bCs w:val="0"/>
        </w:rPr>
        <w:t xml:space="preserve">represents the running average. The outer </w:t>
      </w:r>
      <w:r w:rsidRPr="008A22C2">
        <w:rPr>
          <w:color w:val="C00000"/>
        </w:rPr>
        <w:t>red</w:t>
      </w:r>
      <w:r w:rsidRPr="00D4719A">
        <w:rPr>
          <w:b w:val="0"/>
          <w:bCs w:val="0"/>
          <w:color w:val="C00000"/>
        </w:rPr>
        <w:t xml:space="preserve"> </w:t>
      </w:r>
      <w:r w:rsidRPr="00C222D8">
        <w:rPr>
          <w:b w:val="0"/>
          <w:bCs w:val="0"/>
        </w:rPr>
        <w:t xml:space="preserve">dashed lines represent the upper and lower Bayesian adaptive limits (99.7% </w:t>
      </w:r>
      <w:r>
        <w:rPr>
          <w:b w:val="0"/>
          <w:bCs w:val="0"/>
        </w:rPr>
        <w:t>CI</w:t>
      </w:r>
      <w:r w:rsidRPr="00C222D8">
        <w:rPr>
          <w:b w:val="0"/>
          <w:bCs w:val="0"/>
        </w:rPr>
        <w:t xml:space="preserve">), while the central dashed line represents the expected individual mean. </w:t>
      </w:r>
    </w:p>
    <w:p w14:paraId="46FE1BFC" w14:textId="5D351C0C" w:rsidR="002805ED" w:rsidRDefault="002805ED" w:rsidP="00F46489">
      <w:pPr>
        <w:pStyle w:val="Liststycke"/>
      </w:pPr>
      <w:r w:rsidRPr="002805ED">
        <w:t xml:space="preserve">Longitudinal evaluation of the Ret-Hb of RBC-Hb (%) utilizing Bayesian adaptive modeling – Doped group. </w:t>
      </w:r>
      <w:r w:rsidR="00417269" w:rsidRPr="00C222D8">
        <w:rPr>
          <w:b w:val="0"/>
          <w:bCs w:val="0"/>
        </w:rPr>
        <w:t>Individual plots are displayed for ten subjects (Panels A–</w:t>
      </w:r>
      <w:r w:rsidR="00417269">
        <w:rPr>
          <w:b w:val="0"/>
          <w:bCs w:val="0"/>
        </w:rPr>
        <w:lastRenderedPageBreak/>
        <w:t>T</w:t>
      </w:r>
      <w:r w:rsidR="00417269" w:rsidRPr="00C222D8">
        <w:rPr>
          <w:b w:val="0"/>
          <w:bCs w:val="0"/>
        </w:rPr>
        <w:t xml:space="preserve">) </w:t>
      </w:r>
      <w:r w:rsidR="00417269">
        <w:rPr>
          <w:b w:val="0"/>
          <w:bCs w:val="0"/>
        </w:rPr>
        <w:t>from</w:t>
      </w:r>
      <w:r w:rsidR="00417269" w:rsidRPr="00C222D8">
        <w:rPr>
          <w:b w:val="0"/>
          <w:bCs w:val="0"/>
        </w:rPr>
        <w:t xml:space="preserve"> the intervention group </w:t>
      </w:r>
      <w:r w:rsidR="00417269" w:rsidRPr="00CC7BEA">
        <w:rPr>
          <w:b w:val="0"/>
          <w:bCs w:val="0"/>
        </w:rPr>
        <w:t>across the full study timeline</w:t>
      </w:r>
      <w:r w:rsidR="00417269" w:rsidRPr="00C222D8">
        <w:rPr>
          <w:b w:val="0"/>
          <w:bCs w:val="0"/>
        </w:rPr>
        <w:t>. The tracking line</w:t>
      </w:r>
      <w:r w:rsidR="00417269">
        <w:rPr>
          <w:b w:val="0"/>
          <w:bCs w:val="0"/>
        </w:rPr>
        <w:t xml:space="preserve"> </w:t>
      </w:r>
      <w:r w:rsidR="00417269" w:rsidRPr="00C222D8">
        <w:rPr>
          <w:b w:val="0"/>
          <w:bCs w:val="0"/>
        </w:rPr>
        <w:t xml:space="preserve">represents the running average. Individual samples are color-coded by physiological state: </w:t>
      </w:r>
      <w:r w:rsidR="00417269" w:rsidRPr="008A22C2">
        <w:rPr>
          <w:color w:val="196B24" w:themeColor="accent3"/>
        </w:rPr>
        <w:t>Green</w:t>
      </w:r>
      <w:r w:rsidR="00417269" w:rsidRPr="005365E1">
        <w:rPr>
          <w:b w:val="0"/>
          <w:bCs w:val="0"/>
        </w:rPr>
        <w:t>;</w:t>
      </w:r>
      <w:r w:rsidR="00417269" w:rsidRPr="00C222D8">
        <w:rPr>
          <w:b w:val="0"/>
          <w:bCs w:val="0"/>
        </w:rPr>
        <w:t xml:space="preserve"> Baseline and </w:t>
      </w:r>
      <w:r w:rsidR="00417269">
        <w:rPr>
          <w:b w:val="0"/>
          <w:bCs w:val="0"/>
        </w:rPr>
        <w:t xml:space="preserve">&gt;48 h </w:t>
      </w:r>
      <w:r w:rsidR="00417269" w:rsidRPr="00C222D8">
        <w:rPr>
          <w:b w:val="0"/>
          <w:bCs w:val="0"/>
        </w:rPr>
        <w:t xml:space="preserve">Post-Donation, </w:t>
      </w:r>
      <w:r w:rsidR="00417269" w:rsidRPr="008A22C2">
        <w:rPr>
          <w:color w:val="156082" w:themeColor="accent1"/>
        </w:rPr>
        <w:t>Blue</w:t>
      </w:r>
      <w:r w:rsidR="00417269">
        <w:rPr>
          <w:b w:val="0"/>
          <w:bCs w:val="0"/>
        </w:rPr>
        <w:t>;48 h post-</w:t>
      </w:r>
      <w:r w:rsidR="00417269" w:rsidRPr="00C222D8">
        <w:rPr>
          <w:b w:val="0"/>
          <w:bCs w:val="0"/>
        </w:rPr>
        <w:t xml:space="preserve">Donation, and </w:t>
      </w:r>
      <w:r w:rsidR="00417269" w:rsidRPr="008A22C2">
        <w:rPr>
          <w:color w:val="C00000"/>
        </w:rPr>
        <w:t>Red</w:t>
      </w:r>
      <w:r w:rsidR="00417269">
        <w:rPr>
          <w:b w:val="0"/>
          <w:bCs w:val="0"/>
        </w:rPr>
        <w:t xml:space="preserve">; </w:t>
      </w:r>
      <w:r w:rsidR="00417269" w:rsidRPr="00C222D8">
        <w:rPr>
          <w:b w:val="0"/>
          <w:bCs w:val="0"/>
        </w:rPr>
        <w:t xml:space="preserve">Doped </w:t>
      </w:r>
      <w:r w:rsidR="00417269">
        <w:rPr>
          <w:b w:val="0"/>
          <w:bCs w:val="0"/>
        </w:rPr>
        <w:t>p</w:t>
      </w:r>
      <w:r w:rsidR="00417269" w:rsidRPr="00C222D8">
        <w:rPr>
          <w:b w:val="0"/>
          <w:bCs w:val="0"/>
        </w:rPr>
        <w:t xml:space="preserve">ost-reinfusion. The outer red dashed lines represent the upper and lower Bayesian adaptive limits (99.7% </w:t>
      </w:r>
      <w:r w:rsidR="00417269">
        <w:rPr>
          <w:b w:val="0"/>
          <w:bCs w:val="0"/>
        </w:rPr>
        <w:t>CI</w:t>
      </w:r>
      <w:r w:rsidR="00417269" w:rsidRPr="00C222D8">
        <w:rPr>
          <w:b w:val="0"/>
          <w:bCs w:val="0"/>
        </w:rPr>
        <w:t xml:space="preserve">), while the central dashed line represents the expected individual mean. </w:t>
      </w:r>
      <w:r w:rsidR="00417269">
        <w:rPr>
          <w:b w:val="0"/>
          <w:bCs w:val="0"/>
        </w:rPr>
        <w:t>F</w:t>
      </w:r>
      <w:r w:rsidR="00417269" w:rsidRPr="00C222D8">
        <w:rPr>
          <w:b w:val="0"/>
          <w:bCs w:val="0"/>
        </w:rPr>
        <w:t>ollowing autologous blood transfusion, the doped samples (</w:t>
      </w:r>
      <w:r w:rsidR="00417269" w:rsidRPr="008A22C2">
        <w:rPr>
          <w:color w:val="C00000"/>
        </w:rPr>
        <w:t>red</w:t>
      </w:r>
      <w:r w:rsidR="00417269" w:rsidRPr="0087079D">
        <w:rPr>
          <w:b w:val="0"/>
          <w:bCs w:val="0"/>
          <w:color w:val="C00000"/>
        </w:rPr>
        <w:t xml:space="preserve"> </w:t>
      </w:r>
      <w:r w:rsidR="00417269">
        <w:rPr>
          <w:b w:val="0"/>
          <w:bCs w:val="0"/>
        </w:rPr>
        <w:t>dots</w:t>
      </w:r>
      <w:r w:rsidR="00417269" w:rsidRPr="00C222D8">
        <w:rPr>
          <w:b w:val="0"/>
          <w:bCs w:val="0"/>
        </w:rPr>
        <w:t>) fail to breach the adaptive limits for any of the subjects.</w:t>
      </w:r>
    </w:p>
    <w:p w14:paraId="5F000D15" w14:textId="77777777" w:rsidR="00777A77" w:rsidRPr="00102A28" w:rsidRDefault="00F3266B" w:rsidP="00F46489">
      <w:pPr>
        <w:pStyle w:val="Liststycke"/>
        <w:rPr>
          <w:lang w:val="en-GB"/>
        </w:rPr>
      </w:pPr>
      <w:r w:rsidRPr="00F3266B">
        <w:t>Longitudinal evaluation of the Ret-Hb of RBC-Hb (%) utilizing Bayesian adaptive modeling – Control group.</w:t>
      </w:r>
      <w:r>
        <w:t xml:space="preserve"> </w:t>
      </w:r>
      <w:r w:rsidR="006D0274" w:rsidRPr="00C222D8">
        <w:rPr>
          <w:b w:val="0"/>
          <w:bCs w:val="0"/>
        </w:rPr>
        <w:t xml:space="preserve">Individual plots are displayed for </w:t>
      </w:r>
      <w:r w:rsidR="006D0274">
        <w:rPr>
          <w:b w:val="0"/>
          <w:bCs w:val="0"/>
        </w:rPr>
        <w:t>seven</w:t>
      </w:r>
      <w:r w:rsidR="006D0274" w:rsidRPr="00C222D8">
        <w:rPr>
          <w:b w:val="0"/>
          <w:bCs w:val="0"/>
        </w:rPr>
        <w:t xml:space="preserve"> subjects (Panels </w:t>
      </w:r>
      <w:r w:rsidR="006D0274">
        <w:rPr>
          <w:b w:val="0"/>
          <w:bCs w:val="0"/>
        </w:rPr>
        <w:t>K-W</w:t>
      </w:r>
      <w:r w:rsidR="006D0274" w:rsidRPr="00C222D8">
        <w:rPr>
          <w:b w:val="0"/>
          <w:bCs w:val="0"/>
        </w:rPr>
        <w:t xml:space="preserve">) </w:t>
      </w:r>
      <w:r w:rsidR="006D0274" w:rsidRPr="00CC7BEA">
        <w:rPr>
          <w:b w:val="0"/>
          <w:bCs w:val="0"/>
        </w:rPr>
        <w:t>across the full study timeline</w:t>
      </w:r>
      <w:r w:rsidR="006D0274" w:rsidRPr="00C222D8">
        <w:rPr>
          <w:b w:val="0"/>
          <w:bCs w:val="0"/>
        </w:rPr>
        <w:t>. The tracking line</w:t>
      </w:r>
      <w:r w:rsidR="006D0274">
        <w:rPr>
          <w:b w:val="0"/>
          <w:bCs w:val="0"/>
        </w:rPr>
        <w:t xml:space="preserve"> </w:t>
      </w:r>
      <w:r w:rsidR="006D0274" w:rsidRPr="00C222D8">
        <w:rPr>
          <w:b w:val="0"/>
          <w:bCs w:val="0"/>
        </w:rPr>
        <w:t xml:space="preserve">represents the running average. The outer </w:t>
      </w:r>
      <w:r w:rsidR="006D0274" w:rsidRPr="00D4719A">
        <w:rPr>
          <w:b w:val="0"/>
          <w:bCs w:val="0"/>
          <w:color w:val="C00000"/>
        </w:rPr>
        <w:t xml:space="preserve">red </w:t>
      </w:r>
      <w:r w:rsidR="006D0274" w:rsidRPr="00C222D8">
        <w:rPr>
          <w:b w:val="0"/>
          <w:bCs w:val="0"/>
        </w:rPr>
        <w:t xml:space="preserve">dashed lines represent the upper and lower Bayesian adaptive limits (99.7% </w:t>
      </w:r>
      <w:r w:rsidR="006D0274">
        <w:rPr>
          <w:b w:val="0"/>
          <w:bCs w:val="0"/>
        </w:rPr>
        <w:t>CI</w:t>
      </w:r>
      <w:r w:rsidR="006D0274" w:rsidRPr="00C222D8">
        <w:rPr>
          <w:b w:val="0"/>
          <w:bCs w:val="0"/>
        </w:rPr>
        <w:t>), while the central dashed line represents the expected individual mean.</w:t>
      </w:r>
    </w:p>
    <w:p w14:paraId="47ECC73D" w14:textId="77777777" w:rsidR="00BD6089" w:rsidRPr="00BD6089" w:rsidRDefault="003038C2" w:rsidP="00F46489">
      <w:pPr>
        <w:pStyle w:val="Liststycke"/>
        <w:rPr>
          <w:lang w:val="en-GB"/>
        </w:rPr>
      </w:pPr>
      <w:r w:rsidRPr="003038C2">
        <w:t xml:space="preserve">Comparative machine learning model screening and data-driven feature selection. </w:t>
      </w:r>
      <w:r w:rsidRPr="00BD6089">
        <w:rPr>
          <w:b w:val="0"/>
          <w:bCs w:val="0"/>
        </w:rPr>
        <w:t>An initial comprehensive screening was conducted to identify the optimal classification algorithm and highest-contributing hematological variables for cross-sectional ABT detection. (Left) Receiver Operating Characteristic (ROC) curves visualizing the comparative diagnostic performance of multiple machine learning models. (Top Right) Predictor screening analysis ranking the relative contribution of all evaluated biological variables, objectively identifying total mature red cell hemoglobin mass (Erythrocytes-Hb), mean corpuscular volume (Erythrocytes-MCV), and absolute hemoglobin (Hemoglobin) as the primary drivers of group separation. (Bottom Right) Area Under the Curve (AUC) performance metrics for both the training dataset and the isolated validation cohort. Complex, non-linear algorithms (e.g., XGBoost, Bootstrap Forest, and Neural Networks) demonstrated severe overfitting, characterized by high training AUCs but failing validation AUCs. Conversely, classical linear algorithms, specifically Nominal Logistic Regression and Generalized Regression (Lasso), demonstrated exceptional generalizability (Validation AUC = 0.94). This rigorous screening definitively justifies the selection of the nominal logistic regression approach utilized in the primary analysis.</w:t>
      </w:r>
    </w:p>
    <w:p w14:paraId="7C7EF14F" w14:textId="77777777" w:rsidR="00BD6089" w:rsidRPr="00BD6089" w:rsidRDefault="00BD6089" w:rsidP="00F46489">
      <w:pPr>
        <w:pStyle w:val="Liststycke"/>
        <w:rPr>
          <w:lang w:val="en-GB"/>
        </w:rPr>
      </w:pPr>
      <w:r w:rsidRPr="00BD6089">
        <w:t xml:space="preserve">Diagnostic performance and legal threshold limitations of the optimized cross-sectional Validation machine learning model. </w:t>
      </w:r>
      <w:r w:rsidRPr="00BD6089">
        <w:rPr>
          <w:b w:val="0"/>
          <w:bCs w:val="0"/>
        </w:rPr>
        <w:t xml:space="preserve">A nominal logistic regression model utilizing total mature red cell hemoglobin mass (Erythrocytes-Hb, p &lt; 0.001) and reticulocyte percentage (Reticulocytes %, p = 0.073) demonstrated high overall clinical accuracy in differentiating clean from autologously transfused blood samples (main ROC curve). However, predictive utility collapses when subjected to strict anti-doping criteria. The inset plots display the predicted classification distributions at varying probability thresholds. At a </w:t>
      </w:r>
      <w:r w:rsidRPr="00BD6089">
        <w:rPr>
          <w:b w:val="0"/>
          <w:bCs w:val="0"/>
        </w:rPr>
        <w:lastRenderedPageBreak/>
        <w:t>standard clinical threshold of 0.50 (top inset), the model achieves robust separation. Conversely, when the probability threshold is adjusted to 0.99—the mandatory legal specificity required by WADA to prevent false-positive sanctions (bottom inset)—the model's sensitivity falls entirely to zero. This mathematical threshold failure demonstrates the inadequacy of single-draw, cross-sectional testing, reinforcing the necessity for longitudinal adaptive tracking.</w:t>
      </w:r>
    </w:p>
    <w:p w14:paraId="4C882115" w14:textId="7518885B" w:rsidR="005C4E3F" w:rsidRPr="00BD6089" w:rsidRDefault="008644FA" w:rsidP="00F46489">
      <w:pPr>
        <w:pStyle w:val="Liststycke"/>
        <w:rPr>
          <w:lang w:val="en-GB"/>
        </w:rPr>
      </w:pPr>
      <w:r w:rsidRPr="008644FA">
        <w:t>Visualization of the "maximum delta" timing vulnerability inherent to standard longitudinal tracking</w:t>
      </w:r>
      <w:r w:rsidRPr="008644FA">
        <w:rPr>
          <w:b w:val="0"/>
          <w:bCs w:val="0"/>
        </w:rPr>
        <w:t>. Temporal trajectories of mature red cell hemoglobin payload (Erythrocytes-Hb, top panel) and the standard WADA OFF-</w:t>
      </w:r>
      <w:proofErr w:type="spellStart"/>
      <w:r w:rsidRPr="008644FA">
        <w:rPr>
          <w:b w:val="0"/>
          <w:bCs w:val="0"/>
        </w:rPr>
        <w:t>hr</w:t>
      </w:r>
      <w:proofErr w:type="spellEnd"/>
      <w:r w:rsidRPr="008644FA">
        <w:rPr>
          <w:b w:val="0"/>
          <w:bCs w:val="0"/>
        </w:rPr>
        <w:t xml:space="preserve"> score (bottom panel) demonstrating the dependency on ideal testing logistics to detect autologous blood transfusion (ABT). The green dashed boxes highlight the acute hemodilution nadir captured strictly 48 hours post-donation, while the red dashed boxes encompass the supraphysiological peaks maintained 1 to 4 weeks post-transfusion. The black dashed trajectory line illustrates the "maximum delta"</w:t>
      </w:r>
      <w:r>
        <w:rPr>
          <w:b w:val="0"/>
          <w:bCs w:val="0"/>
        </w:rPr>
        <w:t xml:space="preserve">, </w:t>
      </w:r>
      <w:r w:rsidRPr="008644FA">
        <w:rPr>
          <w:b w:val="0"/>
          <w:bCs w:val="0"/>
        </w:rPr>
        <w:t>the extreme intra-individual physiological swing traditionally required to reliably trigger an adverse Bayesian passport finding. Consequently, if testing is evaded or logistically impossible during the narrow post-donation window, isolated post-transfusion values often fail to definitively breach the athlete's natural upper biological limits. This highlights the fragility of current ABP markers against strategically timed doping regimens.</w:t>
      </w:r>
      <w:r w:rsidR="005C4E3F" w:rsidRPr="00BD6089">
        <w:rPr>
          <w:lang w:val="en-GB"/>
        </w:rPr>
        <w:br w:type="page"/>
      </w:r>
    </w:p>
    <w:p w14:paraId="047EA93F" w14:textId="07563DBD" w:rsidR="00C950C0" w:rsidRPr="00CE6225" w:rsidRDefault="003C6C84" w:rsidP="00CE6225">
      <w:pPr>
        <w:pStyle w:val="Rubrik1"/>
      </w:pPr>
      <w:r>
        <w:lastRenderedPageBreak/>
        <w:t>Supplem</w:t>
      </w:r>
      <w:r w:rsidR="00E0274F">
        <w:t xml:space="preserve">ent </w:t>
      </w:r>
      <w:r w:rsidR="000C22AB" w:rsidRPr="00CE6225">
        <w:t xml:space="preserve">Table </w:t>
      </w:r>
      <w:r w:rsidR="00C950C0" w:rsidRPr="00CE6225">
        <w:t>Legends</w:t>
      </w:r>
    </w:p>
    <w:p w14:paraId="7B618E25" w14:textId="693C24B6" w:rsidR="00112BFB" w:rsidRDefault="00F13441" w:rsidP="00D35BB1">
      <w:pPr>
        <w:pStyle w:val="Beskrivning"/>
        <w:ind w:left="426"/>
        <w:rPr>
          <w:b w:val="0"/>
          <w:bCs w:val="0"/>
        </w:rPr>
      </w:pPr>
      <w:r w:rsidRPr="00420D9F">
        <w:t xml:space="preserve">Partial longitudinal </w:t>
      </w:r>
      <w:r w:rsidRPr="00A35A3C">
        <w:t>hematology</w:t>
      </w:r>
      <w:r w:rsidRPr="00420D9F">
        <w:t xml:space="preserve"> for Control and Cryo</w:t>
      </w:r>
      <w:r w:rsidRPr="00420D9F">
        <w:rPr>
          <w:rFonts w:cs="Cambria Math"/>
        </w:rPr>
        <w:t>‑</w:t>
      </w:r>
      <w:r w:rsidRPr="00420D9F">
        <w:t xml:space="preserve">RBC (Doped) groups before donation, after donation, and after transfusion. </w:t>
      </w:r>
      <w:r w:rsidRPr="003A0826">
        <w:rPr>
          <w:b w:val="0"/>
          <w:bCs w:val="0"/>
        </w:rPr>
        <w:t>Values are mean (SD) for key variables; N indicates the number of samples at each time point</w:t>
      </w:r>
      <w:r w:rsidRPr="002E2A56">
        <w:rPr>
          <w:b w:val="0"/>
          <w:bCs w:val="0"/>
        </w:rPr>
        <w:t>.</w:t>
      </w:r>
    </w:p>
    <w:p w14:paraId="54770A8E" w14:textId="40391FAD" w:rsidR="00EB5B45" w:rsidRPr="00EB5B45" w:rsidRDefault="00E0274F" w:rsidP="00EB5B45">
      <w:pPr>
        <w:pStyle w:val="Beskrivning"/>
        <w:ind w:left="426"/>
        <w:rPr>
          <w:b w:val="0"/>
          <w:bCs w:val="0"/>
        </w:rPr>
      </w:pPr>
      <w:r>
        <w:t>Comprehensive</w:t>
      </w:r>
      <w:r w:rsidR="00EB5B45" w:rsidRPr="00420D9F">
        <w:t xml:space="preserve"> longitudinal </w:t>
      </w:r>
      <w:r w:rsidR="00EB5B45" w:rsidRPr="00A35A3C">
        <w:t>hematology</w:t>
      </w:r>
      <w:r w:rsidR="00EB5B45" w:rsidRPr="00420D9F">
        <w:t xml:space="preserve"> for Control and Cryo</w:t>
      </w:r>
      <w:r w:rsidR="00EB5B45" w:rsidRPr="00420D9F">
        <w:rPr>
          <w:rFonts w:cs="Cambria Math"/>
        </w:rPr>
        <w:t>‑</w:t>
      </w:r>
      <w:r w:rsidR="00EB5B45" w:rsidRPr="00420D9F">
        <w:t xml:space="preserve">RBC (Doped) groups before donation, after donation, and after transfusion. </w:t>
      </w:r>
      <w:r w:rsidR="00EB5B45" w:rsidRPr="003A0826">
        <w:rPr>
          <w:b w:val="0"/>
          <w:bCs w:val="0"/>
        </w:rPr>
        <w:t>Values are mean (SD) for key variables; N indicates the number of samples at each time point</w:t>
      </w:r>
      <w:r w:rsidR="00EB5B45" w:rsidRPr="002E2A56">
        <w:rPr>
          <w:b w:val="0"/>
          <w:bCs w:val="0"/>
        </w:rPr>
        <w:t>.</w:t>
      </w:r>
    </w:p>
    <w:p w14:paraId="5BFEF7D7" w14:textId="21DF0FFA" w:rsidR="001770F0" w:rsidRPr="00EB5B45" w:rsidRDefault="005043AE" w:rsidP="00EB5B45">
      <w:pPr>
        <w:pStyle w:val="Beskrivning"/>
        <w:ind w:left="426"/>
        <w:rPr>
          <w:b w:val="0"/>
          <w:bCs w:val="0"/>
        </w:rPr>
      </w:pPr>
      <w:r w:rsidRPr="00371FBB">
        <w:t xml:space="preserve">Generalized linear mixed model (GLMM) results for key hematological variables. </w:t>
      </w:r>
      <w:r w:rsidRPr="002E2A56">
        <w:rPr>
          <w:b w:val="0"/>
          <w:bCs w:val="0"/>
        </w:rPr>
        <w:t>For each parameter, fixed effects of Group (Control vs Doped), Sampling Time, and their interaction (Group × Sampling Time) are shown with numerator and denominator degrees of freedom (</w:t>
      </w:r>
      <w:proofErr w:type="spellStart"/>
      <w:r w:rsidRPr="002E2A56">
        <w:rPr>
          <w:b w:val="0"/>
          <w:bCs w:val="0"/>
        </w:rPr>
        <w:t>DFNum</w:t>
      </w:r>
      <w:proofErr w:type="spellEnd"/>
      <w:r w:rsidRPr="002E2A56">
        <w:rPr>
          <w:b w:val="0"/>
          <w:bCs w:val="0"/>
        </w:rPr>
        <w:t xml:space="preserve">, </w:t>
      </w:r>
      <w:proofErr w:type="spellStart"/>
      <w:r w:rsidRPr="002E2A56">
        <w:rPr>
          <w:b w:val="0"/>
          <w:bCs w:val="0"/>
        </w:rPr>
        <w:t>DFDen</w:t>
      </w:r>
      <w:proofErr w:type="spellEnd"/>
      <w:r w:rsidRPr="002E2A56">
        <w:rPr>
          <w:b w:val="0"/>
          <w:bCs w:val="0"/>
        </w:rPr>
        <w:t xml:space="preserve">), F‑ratio, and associated p‑values. A significant Sampling Time effect indicates overall temporal variation across all subjects, whereas a significant Group × Sampling Time interaction indicates that longitudinal trajectories differ between Control and Doped groups. *p &lt; 0.05. Full GLMM table is provided in </w:t>
      </w:r>
      <w:r w:rsidR="00C66E86">
        <w:rPr>
          <w:b w:val="0"/>
          <w:bCs w:val="0"/>
        </w:rPr>
        <w:t xml:space="preserve">Supplement 2, </w:t>
      </w:r>
      <w:r w:rsidRPr="002E2A56">
        <w:rPr>
          <w:b w:val="0"/>
          <w:bCs w:val="0"/>
        </w:rPr>
        <w:t>Table S2.</w:t>
      </w:r>
    </w:p>
    <w:sectPr w:rsidR="001770F0" w:rsidRPr="00EB5B45" w:rsidSect="006C4867">
      <w:headerReference w:type="even" r:id="rId10"/>
      <w:head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17C8" w14:textId="77777777" w:rsidR="00CB22F8" w:rsidRDefault="00CB22F8" w:rsidP="00807A4F">
      <w:pPr>
        <w:spacing w:after="0" w:line="240" w:lineRule="auto"/>
      </w:pPr>
      <w:r>
        <w:separator/>
      </w:r>
    </w:p>
  </w:endnote>
  <w:endnote w:type="continuationSeparator" w:id="0">
    <w:p w14:paraId="6D6DFFF1" w14:textId="77777777" w:rsidR="00CB22F8" w:rsidRDefault="00CB22F8" w:rsidP="00807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F1203" w14:textId="77777777" w:rsidR="00CB22F8" w:rsidRDefault="00CB22F8" w:rsidP="00807A4F">
      <w:pPr>
        <w:spacing w:after="0" w:line="240" w:lineRule="auto"/>
      </w:pPr>
      <w:r>
        <w:separator/>
      </w:r>
    </w:p>
  </w:footnote>
  <w:footnote w:type="continuationSeparator" w:id="0">
    <w:p w14:paraId="7493540D" w14:textId="77777777" w:rsidR="00CB22F8" w:rsidRDefault="00CB22F8" w:rsidP="00807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ED0F" w14:textId="75EC16F2" w:rsidR="00807A4F" w:rsidRDefault="00807A4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0A1B" w14:textId="1894E197" w:rsidR="00807A4F" w:rsidRDefault="00807A4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571F" w14:textId="30BF4835" w:rsidR="00807A4F" w:rsidRDefault="00807A4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73B1"/>
    <w:multiLevelType w:val="hybridMultilevel"/>
    <w:tmpl w:val="4BAEAEC4"/>
    <w:lvl w:ilvl="0" w:tplc="1C80B226">
      <w:start w:val="1"/>
      <w:numFmt w:val="decimal"/>
      <w:pStyle w:val="Liststycke"/>
      <w:suff w:val="space"/>
      <w:lvlText w:val="Figure S%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A002CF"/>
    <w:multiLevelType w:val="hybridMultilevel"/>
    <w:tmpl w:val="E3A83FBE"/>
    <w:lvl w:ilvl="0" w:tplc="ED1274EC">
      <w:start w:val="1"/>
      <w:numFmt w:val="decimal"/>
      <w:lvlText w:val="Table %1. "/>
      <w:lvlJc w:val="left"/>
      <w:pPr>
        <w:ind w:left="720" w:hanging="360"/>
      </w:pPr>
      <w:rPr>
        <w:rFonts w:asciiTheme="minorHAnsi" w:hAnsiTheme="minorHAns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0544C"/>
    <w:multiLevelType w:val="hybridMultilevel"/>
    <w:tmpl w:val="63E485AE"/>
    <w:lvl w:ilvl="0" w:tplc="7850FA22">
      <w:start w:val="1"/>
      <w:numFmt w:val="decimal"/>
      <w:lvlText w:val="Figure %1."/>
      <w:lvlJc w:val="left"/>
      <w:pPr>
        <w:ind w:left="720" w:hanging="360"/>
      </w:pPr>
      <w:rPr>
        <w:rFonts w:ascii="Arial" w:hAnsi="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67C52"/>
    <w:multiLevelType w:val="hybridMultilevel"/>
    <w:tmpl w:val="600E83E6"/>
    <w:lvl w:ilvl="0" w:tplc="7850FA22">
      <w:start w:val="1"/>
      <w:numFmt w:val="decimal"/>
      <w:lvlText w:val="Figure %1."/>
      <w:lvlJc w:val="left"/>
      <w:pPr>
        <w:ind w:left="720" w:hanging="360"/>
      </w:pPr>
      <w:rPr>
        <w:rFonts w:ascii="Arial" w:hAnsi="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AF0CD4"/>
    <w:multiLevelType w:val="hybridMultilevel"/>
    <w:tmpl w:val="EA7AF3EA"/>
    <w:lvl w:ilvl="0" w:tplc="A08203A6">
      <w:start w:val="1"/>
      <w:numFmt w:val="decimal"/>
      <w:lvlText w:val="Figure %1."/>
      <w:lvlJc w:val="left"/>
      <w:pPr>
        <w:ind w:left="426" w:hanging="360"/>
      </w:pPr>
      <w:rPr>
        <w:rFonts w:ascii="Arial" w:hAnsi="Arial" w:hint="default"/>
        <w:b/>
        <w:i w:val="0"/>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AD23B48"/>
    <w:multiLevelType w:val="hybridMultilevel"/>
    <w:tmpl w:val="38F8D8A2"/>
    <w:lvl w:ilvl="0" w:tplc="7624C5D2">
      <w:start w:val="1"/>
      <w:numFmt w:val="decimal"/>
      <w:pStyle w:val="Figuretext"/>
      <w:suff w:val="space"/>
      <w:lvlText w:val="Figure %1."/>
      <w:lvlJc w:val="left"/>
      <w:pPr>
        <w:ind w:left="720" w:hanging="360"/>
      </w:pPr>
      <w:rPr>
        <w:rFonts w:ascii="Times New Roman" w:hAnsi="Times New Roman" w:hint="default"/>
        <w:b/>
        <w:i w:val="0"/>
        <w:spacing w:val="0"/>
        <w:kern w:val="0"/>
        <w:position w:val="0"/>
        <w:sz w:val="22"/>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1245D1"/>
    <w:multiLevelType w:val="hybridMultilevel"/>
    <w:tmpl w:val="6666CFA4"/>
    <w:lvl w:ilvl="0" w:tplc="7850FA22">
      <w:start w:val="1"/>
      <w:numFmt w:val="decimal"/>
      <w:lvlText w:val="Figure %1."/>
      <w:lvlJc w:val="left"/>
      <w:pPr>
        <w:ind w:left="720" w:hanging="360"/>
      </w:pPr>
      <w:rPr>
        <w:rFonts w:ascii="Arial" w:hAnsi="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DC77BC"/>
    <w:multiLevelType w:val="hybridMultilevel"/>
    <w:tmpl w:val="97762B1E"/>
    <w:lvl w:ilvl="0" w:tplc="A866C236">
      <w:start w:val="1"/>
      <w:numFmt w:val="decimal"/>
      <w:suff w:val="space"/>
      <w:lvlText w:val="Figure %1."/>
      <w:lvlJc w:val="left"/>
      <w:pPr>
        <w:ind w:left="1440" w:hanging="360"/>
      </w:pPr>
      <w:rPr>
        <w:rFonts w:ascii="Arial" w:hAnsi="Arial" w:hint="default"/>
        <w:b/>
        <w:i w:val="0"/>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0202BF"/>
    <w:multiLevelType w:val="hybridMultilevel"/>
    <w:tmpl w:val="2C74C8C0"/>
    <w:lvl w:ilvl="0" w:tplc="ED1274EC">
      <w:start w:val="1"/>
      <w:numFmt w:val="decimal"/>
      <w:lvlText w:val="Table %1. "/>
      <w:lvlJc w:val="left"/>
      <w:pPr>
        <w:ind w:left="720" w:hanging="360"/>
      </w:pPr>
      <w:rPr>
        <w:rFonts w:asciiTheme="minorHAnsi" w:hAnsiTheme="minorHAns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4004B2"/>
    <w:multiLevelType w:val="hybridMultilevel"/>
    <w:tmpl w:val="CFD4B622"/>
    <w:lvl w:ilvl="0" w:tplc="AF000F18">
      <w:start w:val="1"/>
      <w:numFmt w:val="decimal"/>
      <w:pStyle w:val="Beskrivning"/>
      <w:suff w:val="space"/>
      <w:lvlText w:val="Table %1."/>
      <w:lvlJc w:val="left"/>
      <w:pPr>
        <w:ind w:left="720" w:hanging="360"/>
      </w:pPr>
      <w:rPr>
        <w:rFonts w:ascii="Times New Roman" w:hAnsi="Times New Roman" w:hint="default"/>
        <w:b/>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3262DB"/>
    <w:multiLevelType w:val="hybridMultilevel"/>
    <w:tmpl w:val="4B3E122A"/>
    <w:lvl w:ilvl="0" w:tplc="F852FC40">
      <w:start w:val="1"/>
      <w:numFmt w:val="decimal"/>
      <w:lvlText w:val="Table %1."/>
      <w:lvlJc w:val="left"/>
      <w:pPr>
        <w:ind w:left="720" w:hanging="360"/>
      </w:pPr>
      <w:rPr>
        <w:rFonts w:ascii="Times New Roman" w:hAnsi="Times New Roman"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5076D"/>
    <w:multiLevelType w:val="hybridMultilevel"/>
    <w:tmpl w:val="95B6FC8C"/>
    <w:lvl w:ilvl="0" w:tplc="C9BE1A0A">
      <w:start w:val="1"/>
      <w:numFmt w:val="decimal"/>
      <w:suff w:val="space"/>
      <w:lvlText w:val="Table %1. "/>
      <w:lvlJc w:val="left"/>
      <w:pPr>
        <w:ind w:left="720" w:hanging="360"/>
      </w:pPr>
      <w:rPr>
        <w:rFonts w:asciiTheme="minorHAnsi" w:hAnsiTheme="minorHAns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406F2A"/>
    <w:multiLevelType w:val="hybridMultilevel"/>
    <w:tmpl w:val="F6387E6A"/>
    <w:lvl w:ilvl="0" w:tplc="FE884932">
      <w:start w:val="1"/>
      <w:numFmt w:val="decimal"/>
      <w:lvlText w:val="Figure S%1."/>
      <w:lvlJc w:val="left"/>
      <w:pPr>
        <w:ind w:left="1440" w:hanging="360"/>
      </w:pPr>
      <w:rPr>
        <w:rFonts w:ascii="Arial" w:hAnsi="Arial" w:hint="default"/>
        <w:b/>
        <w:i w:val="0"/>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0425487"/>
    <w:multiLevelType w:val="hybridMultilevel"/>
    <w:tmpl w:val="1C5AF852"/>
    <w:lvl w:ilvl="0" w:tplc="76924A76">
      <w:start w:val="1"/>
      <w:numFmt w:val="decimal"/>
      <w:suff w:val="space"/>
      <w:lvlText w:val="Equation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1576EE"/>
    <w:multiLevelType w:val="hybridMultilevel"/>
    <w:tmpl w:val="64C8B75E"/>
    <w:lvl w:ilvl="0" w:tplc="7850FA22">
      <w:start w:val="1"/>
      <w:numFmt w:val="decimal"/>
      <w:lvlText w:val="Figure %1."/>
      <w:lvlJc w:val="left"/>
      <w:pPr>
        <w:ind w:left="720" w:hanging="360"/>
      </w:pPr>
      <w:rPr>
        <w:rFonts w:ascii="Arial" w:hAnsi="Arial"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87729B"/>
    <w:multiLevelType w:val="hybridMultilevel"/>
    <w:tmpl w:val="73B6A91A"/>
    <w:lvl w:ilvl="0" w:tplc="A08481FE">
      <w:start w:val="1"/>
      <w:numFmt w:val="decimal"/>
      <w:lvlText w:val="Figure %1."/>
      <w:lvlJc w:val="left"/>
      <w:pPr>
        <w:ind w:left="360" w:hanging="360"/>
      </w:pPr>
      <w:rPr>
        <w:rFonts w:ascii="Calibri" w:hAnsi="Calibri" w:hint="default"/>
        <w:b w:val="0"/>
        <w:i w:val="0"/>
        <w:color w:val="0E2841" w:themeColor="text2"/>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81321871">
    <w:abstractNumId w:val="15"/>
  </w:num>
  <w:num w:numId="2" w16cid:durableId="1629631333">
    <w:abstractNumId w:val="9"/>
  </w:num>
  <w:num w:numId="3" w16cid:durableId="1136412363">
    <w:abstractNumId w:val="2"/>
  </w:num>
  <w:num w:numId="4" w16cid:durableId="1897815027">
    <w:abstractNumId w:val="6"/>
  </w:num>
  <w:num w:numId="5" w16cid:durableId="91511484">
    <w:abstractNumId w:val="3"/>
  </w:num>
  <w:num w:numId="6" w16cid:durableId="1936858207">
    <w:abstractNumId w:val="1"/>
  </w:num>
  <w:num w:numId="7" w16cid:durableId="491802380">
    <w:abstractNumId w:val="8"/>
  </w:num>
  <w:num w:numId="8" w16cid:durableId="1286883519">
    <w:abstractNumId w:val="14"/>
  </w:num>
  <w:num w:numId="9" w16cid:durableId="2063098228">
    <w:abstractNumId w:val="11"/>
  </w:num>
  <w:num w:numId="10" w16cid:durableId="1813670701">
    <w:abstractNumId w:val="10"/>
  </w:num>
  <w:num w:numId="11" w16cid:durableId="1726755148">
    <w:abstractNumId w:val="9"/>
  </w:num>
  <w:num w:numId="12" w16cid:durableId="1921135540">
    <w:abstractNumId w:val="7"/>
  </w:num>
  <w:num w:numId="13" w16cid:durableId="1812137274">
    <w:abstractNumId w:val="4"/>
  </w:num>
  <w:num w:numId="14" w16cid:durableId="1830824653">
    <w:abstractNumId w:val="5"/>
  </w:num>
  <w:num w:numId="15" w16cid:durableId="1823698393">
    <w:abstractNumId w:val="9"/>
  </w:num>
  <w:num w:numId="16" w16cid:durableId="521168479">
    <w:abstractNumId w:val="9"/>
  </w:num>
  <w:num w:numId="17" w16cid:durableId="1515462890">
    <w:abstractNumId w:val="13"/>
  </w:num>
  <w:num w:numId="18" w16cid:durableId="1314602877">
    <w:abstractNumId w:val="9"/>
    <w:lvlOverride w:ilvl="0">
      <w:startOverride w:val="1"/>
    </w:lvlOverride>
  </w:num>
  <w:num w:numId="19" w16cid:durableId="1283001814">
    <w:abstractNumId w:val="0"/>
  </w:num>
  <w:num w:numId="20" w16cid:durableId="1049115337">
    <w:abstractNumId w:val="12"/>
  </w:num>
  <w:num w:numId="21" w16cid:durableId="969483803">
    <w:abstractNumId w:val="12"/>
  </w:num>
  <w:num w:numId="22" w16cid:durableId="2117285288">
    <w:abstractNumId w:val="12"/>
  </w:num>
  <w:num w:numId="23" w16cid:durableId="1405028794">
    <w:abstractNumId w:val="5"/>
  </w:num>
  <w:num w:numId="24" w16cid:durableId="1761441873">
    <w:abstractNumId w:val="5"/>
  </w:num>
  <w:num w:numId="25" w16cid:durableId="688264768">
    <w:abstractNumId w:val="0"/>
  </w:num>
  <w:num w:numId="26" w16cid:durableId="85900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5D"/>
    <w:rsid w:val="00024E2A"/>
    <w:rsid w:val="000253FB"/>
    <w:rsid w:val="000265D4"/>
    <w:rsid w:val="00032CAC"/>
    <w:rsid w:val="00033AA2"/>
    <w:rsid w:val="000426A5"/>
    <w:rsid w:val="00044763"/>
    <w:rsid w:val="00047048"/>
    <w:rsid w:val="0006029E"/>
    <w:rsid w:val="0006549C"/>
    <w:rsid w:val="00080802"/>
    <w:rsid w:val="00083270"/>
    <w:rsid w:val="000856E3"/>
    <w:rsid w:val="00095C35"/>
    <w:rsid w:val="000A3A7D"/>
    <w:rsid w:val="000A4FB1"/>
    <w:rsid w:val="000A6B29"/>
    <w:rsid w:val="000B05AE"/>
    <w:rsid w:val="000C0FD7"/>
    <w:rsid w:val="000C22AB"/>
    <w:rsid w:val="000C268B"/>
    <w:rsid w:val="000D0539"/>
    <w:rsid w:val="000E09E7"/>
    <w:rsid w:val="000E2C5A"/>
    <w:rsid w:val="000E4D09"/>
    <w:rsid w:val="000F05BE"/>
    <w:rsid w:val="000F572A"/>
    <w:rsid w:val="00102A28"/>
    <w:rsid w:val="00102C19"/>
    <w:rsid w:val="00112BFB"/>
    <w:rsid w:val="001159FE"/>
    <w:rsid w:val="00123EDC"/>
    <w:rsid w:val="0015303E"/>
    <w:rsid w:val="00157C59"/>
    <w:rsid w:val="001770F0"/>
    <w:rsid w:val="00184BF3"/>
    <w:rsid w:val="001851C7"/>
    <w:rsid w:val="001965D4"/>
    <w:rsid w:val="00197523"/>
    <w:rsid w:val="001A1988"/>
    <w:rsid w:val="001A68F8"/>
    <w:rsid w:val="001B298A"/>
    <w:rsid w:val="001C7B64"/>
    <w:rsid w:val="001D16F3"/>
    <w:rsid w:val="001D7452"/>
    <w:rsid w:val="001E3739"/>
    <w:rsid w:val="00201D61"/>
    <w:rsid w:val="0020612D"/>
    <w:rsid w:val="002067BA"/>
    <w:rsid w:val="002079A3"/>
    <w:rsid w:val="00210345"/>
    <w:rsid w:val="002479ED"/>
    <w:rsid w:val="00251706"/>
    <w:rsid w:val="002805ED"/>
    <w:rsid w:val="0029034C"/>
    <w:rsid w:val="00293942"/>
    <w:rsid w:val="002A7F23"/>
    <w:rsid w:val="002B5A5C"/>
    <w:rsid w:val="002C3397"/>
    <w:rsid w:val="002C35D4"/>
    <w:rsid w:val="002D42C1"/>
    <w:rsid w:val="002D6492"/>
    <w:rsid w:val="002E2A56"/>
    <w:rsid w:val="002E7DBC"/>
    <w:rsid w:val="003038C2"/>
    <w:rsid w:val="003047F1"/>
    <w:rsid w:val="00335ECC"/>
    <w:rsid w:val="00343F4A"/>
    <w:rsid w:val="00345394"/>
    <w:rsid w:val="00346151"/>
    <w:rsid w:val="00353549"/>
    <w:rsid w:val="00363765"/>
    <w:rsid w:val="00371815"/>
    <w:rsid w:val="00380A65"/>
    <w:rsid w:val="00382170"/>
    <w:rsid w:val="003A0826"/>
    <w:rsid w:val="003A6BAF"/>
    <w:rsid w:val="003B2441"/>
    <w:rsid w:val="003B5F8B"/>
    <w:rsid w:val="003C12FB"/>
    <w:rsid w:val="003C6C84"/>
    <w:rsid w:val="003E1B45"/>
    <w:rsid w:val="003E72F8"/>
    <w:rsid w:val="003F1037"/>
    <w:rsid w:val="003F6961"/>
    <w:rsid w:val="00410D9D"/>
    <w:rsid w:val="00414609"/>
    <w:rsid w:val="00416219"/>
    <w:rsid w:val="00417269"/>
    <w:rsid w:val="00417E1A"/>
    <w:rsid w:val="00420D9F"/>
    <w:rsid w:val="004214C6"/>
    <w:rsid w:val="0044389C"/>
    <w:rsid w:val="00451371"/>
    <w:rsid w:val="00457A2C"/>
    <w:rsid w:val="00461579"/>
    <w:rsid w:val="004754FB"/>
    <w:rsid w:val="0049344C"/>
    <w:rsid w:val="004959A0"/>
    <w:rsid w:val="00496353"/>
    <w:rsid w:val="004C171D"/>
    <w:rsid w:val="004C1FB0"/>
    <w:rsid w:val="004C4174"/>
    <w:rsid w:val="004F1745"/>
    <w:rsid w:val="005043AE"/>
    <w:rsid w:val="005058CD"/>
    <w:rsid w:val="005061AA"/>
    <w:rsid w:val="00516F81"/>
    <w:rsid w:val="0053044C"/>
    <w:rsid w:val="00532FEA"/>
    <w:rsid w:val="005365E1"/>
    <w:rsid w:val="00544785"/>
    <w:rsid w:val="00546913"/>
    <w:rsid w:val="00547AB0"/>
    <w:rsid w:val="00583330"/>
    <w:rsid w:val="005871DD"/>
    <w:rsid w:val="00587E99"/>
    <w:rsid w:val="0059120E"/>
    <w:rsid w:val="005C4E3F"/>
    <w:rsid w:val="005D2686"/>
    <w:rsid w:val="005F0C39"/>
    <w:rsid w:val="005F5878"/>
    <w:rsid w:val="00605101"/>
    <w:rsid w:val="0060602C"/>
    <w:rsid w:val="006179B2"/>
    <w:rsid w:val="00620A7B"/>
    <w:rsid w:val="00643625"/>
    <w:rsid w:val="00643AA9"/>
    <w:rsid w:val="00651E7D"/>
    <w:rsid w:val="006603C2"/>
    <w:rsid w:val="0066575B"/>
    <w:rsid w:val="0066592C"/>
    <w:rsid w:val="00685BBE"/>
    <w:rsid w:val="00694977"/>
    <w:rsid w:val="006A1BB0"/>
    <w:rsid w:val="006A2EE1"/>
    <w:rsid w:val="006B34A6"/>
    <w:rsid w:val="006C08BF"/>
    <w:rsid w:val="006C4867"/>
    <w:rsid w:val="006C7117"/>
    <w:rsid w:val="006D0274"/>
    <w:rsid w:val="006E0462"/>
    <w:rsid w:val="006F285E"/>
    <w:rsid w:val="006F2FB9"/>
    <w:rsid w:val="006F3AE9"/>
    <w:rsid w:val="007148EE"/>
    <w:rsid w:val="0072476C"/>
    <w:rsid w:val="00731748"/>
    <w:rsid w:val="0073360D"/>
    <w:rsid w:val="0073794E"/>
    <w:rsid w:val="00754978"/>
    <w:rsid w:val="00754F06"/>
    <w:rsid w:val="0077435D"/>
    <w:rsid w:val="0077692F"/>
    <w:rsid w:val="00777A77"/>
    <w:rsid w:val="007C515E"/>
    <w:rsid w:val="007C591F"/>
    <w:rsid w:val="007E2921"/>
    <w:rsid w:val="007E4F9A"/>
    <w:rsid w:val="00802CA3"/>
    <w:rsid w:val="00807A4F"/>
    <w:rsid w:val="00815AB6"/>
    <w:rsid w:val="00822ECE"/>
    <w:rsid w:val="00823AE5"/>
    <w:rsid w:val="008250A6"/>
    <w:rsid w:val="008262FD"/>
    <w:rsid w:val="00831A52"/>
    <w:rsid w:val="0083281C"/>
    <w:rsid w:val="00837A93"/>
    <w:rsid w:val="00842E33"/>
    <w:rsid w:val="00862B11"/>
    <w:rsid w:val="008644FA"/>
    <w:rsid w:val="00864657"/>
    <w:rsid w:val="0087079D"/>
    <w:rsid w:val="0087104E"/>
    <w:rsid w:val="008713F4"/>
    <w:rsid w:val="008876D6"/>
    <w:rsid w:val="008A01D9"/>
    <w:rsid w:val="008A22C2"/>
    <w:rsid w:val="008B079C"/>
    <w:rsid w:val="008B30B8"/>
    <w:rsid w:val="008B749B"/>
    <w:rsid w:val="008D0C6C"/>
    <w:rsid w:val="008F4D93"/>
    <w:rsid w:val="009154B0"/>
    <w:rsid w:val="0092733A"/>
    <w:rsid w:val="00936F44"/>
    <w:rsid w:val="009456FE"/>
    <w:rsid w:val="00946D70"/>
    <w:rsid w:val="00951721"/>
    <w:rsid w:val="00952C84"/>
    <w:rsid w:val="009721BE"/>
    <w:rsid w:val="00982859"/>
    <w:rsid w:val="009876E6"/>
    <w:rsid w:val="009901E0"/>
    <w:rsid w:val="009A1B7C"/>
    <w:rsid w:val="009A495D"/>
    <w:rsid w:val="009B797C"/>
    <w:rsid w:val="009D46A1"/>
    <w:rsid w:val="009D52FC"/>
    <w:rsid w:val="009D796D"/>
    <w:rsid w:val="009E70B2"/>
    <w:rsid w:val="009F056C"/>
    <w:rsid w:val="009F18FF"/>
    <w:rsid w:val="00A023AF"/>
    <w:rsid w:val="00A25F3F"/>
    <w:rsid w:val="00A27F50"/>
    <w:rsid w:val="00A35A3C"/>
    <w:rsid w:val="00A526A1"/>
    <w:rsid w:val="00A6262A"/>
    <w:rsid w:val="00A62638"/>
    <w:rsid w:val="00A6700C"/>
    <w:rsid w:val="00A75644"/>
    <w:rsid w:val="00A877B8"/>
    <w:rsid w:val="00A938CA"/>
    <w:rsid w:val="00AB13C8"/>
    <w:rsid w:val="00AC153F"/>
    <w:rsid w:val="00AC20DE"/>
    <w:rsid w:val="00AD17C5"/>
    <w:rsid w:val="00AD3581"/>
    <w:rsid w:val="00AE0ADD"/>
    <w:rsid w:val="00AE7E8A"/>
    <w:rsid w:val="00AF075D"/>
    <w:rsid w:val="00B00090"/>
    <w:rsid w:val="00B02337"/>
    <w:rsid w:val="00B139AA"/>
    <w:rsid w:val="00B24707"/>
    <w:rsid w:val="00B250E1"/>
    <w:rsid w:val="00B80B50"/>
    <w:rsid w:val="00B84EE5"/>
    <w:rsid w:val="00BA1C53"/>
    <w:rsid w:val="00BA3714"/>
    <w:rsid w:val="00BA3A68"/>
    <w:rsid w:val="00BB2B94"/>
    <w:rsid w:val="00BB2D27"/>
    <w:rsid w:val="00BC07FB"/>
    <w:rsid w:val="00BD6089"/>
    <w:rsid w:val="00BE38DD"/>
    <w:rsid w:val="00C07C09"/>
    <w:rsid w:val="00C222D8"/>
    <w:rsid w:val="00C26F5B"/>
    <w:rsid w:val="00C278B8"/>
    <w:rsid w:val="00C50D15"/>
    <w:rsid w:val="00C51F61"/>
    <w:rsid w:val="00C643B1"/>
    <w:rsid w:val="00C66E86"/>
    <w:rsid w:val="00C70D68"/>
    <w:rsid w:val="00C906B2"/>
    <w:rsid w:val="00C950C0"/>
    <w:rsid w:val="00C97522"/>
    <w:rsid w:val="00CA6D6E"/>
    <w:rsid w:val="00CB22F8"/>
    <w:rsid w:val="00CB392F"/>
    <w:rsid w:val="00CB3FA1"/>
    <w:rsid w:val="00CC2609"/>
    <w:rsid w:val="00CC58DD"/>
    <w:rsid w:val="00CC5B1C"/>
    <w:rsid w:val="00CC7BEA"/>
    <w:rsid w:val="00CD4109"/>
    <w:rsid w:val="00CD4BEE"/>
    <w:rsid w:val="00CE6225"/>
    <w:rsid w:val="00CE644E"/>
    <w:rsid w:val="00CF23B2"/>
    <w:rsid w:val="00CF332B"/>
    <w:rsid w:val="00D13CB5"/>
    <w:rsid w:val="00D21B25"/>
    <w:rsid w:val="00D34B5D"/>
    <w:rsid w:val="00D35BB1"/>
    <w:rsid w:val="00D45407"/>
    <w:rsid w:val="00D4636D"/>
    <w:rsid w:val="00D4719A"/>
    <w:rsid w:val="00D506CB"/>
    <w:rsid w:val="00D56698"/>
    <w:rsid w:val="00D6295A"/>
    <w:rsid w:val="00D6701B"/>
    <w:rsid w:val="00D713F0"/>
    <w:rsid w:val="00D838EF"/>
    <w:rsid w:val="00DA03DB"/>
    <w:rsid w:val="00DA5A21"/>
    <w:rsid w:val="00DB3D43"/>
    <w:rsid w:val="00DC3FE2"/>
    <w:rsid w:val="00DC4B1C"/>
    <w:rsid w:val="00DE11A2"/>
    <w:rsid w:val="00DE2E97"/>
    <w:rsid w:val="00DE5063"/>
    <w:rsid w:val="00DF0128"/>
    <w:rsid w:val="00DF5B7A"/>
    <w:rsid w:val="00E00537"/>
    <w:rsid w:val="00E00C11"/>
    <w:rsid w:val="00E0274F"/>
    <w:rsid w:val="00E146E0"/>
    <w:rsid w:val="00E14A94"/>
    <w:rsid w:val="00E252C1"/>
    <w:rsid w:val="00E31BFA"/>
    <w:rsid w:val="00E44C65"/>
    <w:rsid w:val="00E51710"/>
    <w:rsid w:val="00E61FB9"/>
    <w:rsid w:val="00E665B8"/>
    <w:rsid w:val="00E73947"/>
    <w:rsid w:val="00E8486E"/>
    <w:rsid w:val="00E84AD8"/>
    <w:rsid w:val="00E84B91"/>
    <w:rsid w:val="00EB207F"/>
    <w:rsid w:val="00EB5B45"/>
    <w:rsid w:val="00ED038D"/>
    <w:rsid w:val="00ED67F6"/>
    <w:rsid w:val="00F06E63"/>
    <w:rsid w:val="00F13441"/>
    <w:rsid w:val="00F155CE"/>
    <w:rsid w:val="00F256E0"/>
    <w:rsid w:val="00F3266B"/>
    <w:rsid w:val="00F351E5"/>
    <w:rsid w:val="00F404B4"/>
    <w:rsid w:val="00F446EB"/>
    <w:rsid w:val="00F46489"/>
    <w:rsid w:val="00F51666"/>
    <w:rsid w:val="00F6452E"/>
    <w:rsid w:val="00F67AFD"/>
    <w:rsid w:val="00F95509"/>
    <w:rsid w:val="00FA6879"/>
    <w:rsid w:val="00FA6AE9"/>
    <w:rsid w:val="00FB7166"/>
    <w:rsid w:val="00FC2E8F"/>
    <w:rsid w:val="00FD1F32"/>
    <w:rsid w:val="00FF5A21"/>
    <w:rsid w:val="00FF5F3B"/>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C1444"/>
  <w15:chartTrackingRefBased/>
  <w15:docId w15:val="{2EF8907D-9886-4D27-9E55-5628D077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B94"/>
  </w:style>
  <w:style w:type="paragraph" w:styleId="Rubrik1">
    <w:name w:val="heading 1"/>
    <w:basedOn w:val="Normal"/>
    <w:next w:val="Normal"/>
    <w:link w:val="Rubrik1Char"/>
    <w:uiPriority w:val="9"/>
    <w:qFormat/>
    <w:rsid w:val="00823A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823A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823AE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23AE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23AE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23AE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23AE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23AE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23AE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autoRedefine/>
    <w:uiPriority w:val="35"/>
    <w:unhideWhenUsed/>
    <w:qFormat/>
    <w:rsid w:val="00112BFB"/>
    <w:pPr>
      <w:numPr>
        <w:numId w:val="11"/>
      </w:numPr>
      <w:spacing w:after="240" w:line="360" w:lineRule="auto"/>
      <w:ind w:left="714" w:hanging="357"/>
    </w:pPr>
    <w:rPr>
      <w:rFonts w:ascii="Times New Roman" w:eastAsiaTheme="majorEastAsia" w:hAnsi="Times New Roman" w:cstheme="minorHAnsi"/>
      <w:b/>
      <w:bCs/>
      <w:iCs/>
      <w:lang w:eastAsia="el-GR"/>
      <w14:ligatures w14:val="none"/>
    </w:rPr>
  </w:style>
  <w:style w:type="character" w:customStyle="1" w:styleId="Rubrik2Char">
    <w:name w:val="Rubrik 2 Char"/>
    <w:basedOn w:val="Standardstycketeckensnitt"/>
    <w:link w:val="Rubrik2"/>
    <w:uiPriority w:val="9"/>
    <w:rsid w:val="00823AE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823AE5"/>
    <w:rPr>
      <w:rFonts w:eastAsiaTheme="majorEastAsia" w:cstheme="majorBidi"/>
      <w:color w:val="0F4761" w:themeColor="accent1" w:themeShade="BF"/>
      <w:sz w:val="28"/>
      <w:szCs w:val="28"/>
    </w:rPr>
  </w:style>
  <w:style w:type="character" w:customStyle="1" w:styleId="Rubrik1Char">
    <w:name w:val="Rubrik 1 Char"/>
    <w:basedOn w:val="Standardstycketeckensnitt"/>
    <w:link w:val="Rubrik1"/>
    <w:uiPriority w:val="9"/>
    <w:rsid w:val="00823AE5"/>
    <w:rPr>
      <w:rFonts w:asciiTheme="majorHAnsi" w:eastAsiaTheme="majorEastAsia" w:hAnsiTheme="majorHAnsi" w:cstheme="majorBidi"/>
      <w:color w:val="0F4761" w:themeColor="accent1" w:themeShade="BF"/>
      <w:sz w:val="40"/>
      <w:szCs w:val="40"/>
    </w:rPr>
  </w:style>
  <w:style w:type="character" w:customStyle="1" w:styleId="Rubrik4Char">
    <w:name w:val="Rubrik 4 Char"/>
    <w:basedOn w:val="Standardstycketeckensnitt"/>
    <w:link w:val="Rubrik4"/>
    <w:uiPriority w:val="9"/>
    <w:semiHidden/>
    <w:rsid w:val="00823AE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23AE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23AE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23AE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23AE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23AE5"/>
    <w:rPr>
      <w:rFonts w:eastAsiaTheme="majorEastAsia" w:cstheme="majorBidi"/>
      <w:color w:val="272727" w:themeColor="text1" w:themeTint="D8"/>
    </w:rPr>
  </w:style>
  <w:style w:type="paragraph" w:styleId="Sidhuvud">
    <w:name w:val="header"/>
    <w:basedOn w:val="Normal"/>
    <w:link w:val="SidhuvudChar"/>
    <w:uiPriority w:val="99"/>
    <w:unhideWhenUsed/>
    <w:rsid w:val="007E4F9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E4F9A"/>
  </w:style>
  <w:style w:type="paragraph" w:styleId="Sidfot">
    <w:name w:val="footer"/>
    <w:basedOn w:val="Normal"/>
    <w:link w:val="SidfotChar"/>
    <w:uiPriority w:val="99"/>
    <w:unhideWhenUsed/>
    <w:rsid w:val="007E4F9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E4F9A"/>
  </w:style>
  <w:style w:type="character" w:styleId="Radnummer">
    <w:name w:val="line number"/>
    <w:basedOn w:val="Standardstycketeckensnitt"/>
    <w:uiPriority w:val="99"/>
    <w:semiHidden/>
    <w:unhideWhenUsed/>
    <w:rsid w:val="007E4F9A"/>
  </w:style>
  <w:style w:type="paragraph" w:styleId="Rubrik">
    <w:name w:val="Title"/>
    <w:basedOn w:val="Normal"/>
    <w:next w:val="Normal"/>
    <w:link w:val="RubrikChar"/>
    <w:uiPriority w:val="10"/>
    <w:qFormat/>
    <w:rsid w:val="00823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23AE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23AE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23AE5"/>
    <w:rPr>
      <w:rFonts w:eastAsiaTheme="majorEastAsia" w:cstheme="majorBidi"/>
      <w:color w:val="595959" w:themeColor="text1" w:themeTint="A6"/>
      <w:spacing w:val="15"/>
      <w:sz w:val="28"/>
      <w:szCs w:val="28"/>
    </w:rPr>
  </w:style>
  <w:style w:type="character" w:styleId="Stark">
    <w:name w:val="Strong"/>
    <w:basedOn w:val="Standardstycketeckensnitt"/>
    <w:uiPriority w:val="22"/>
    <w:qFormat/>
    <w:rsid w:val="007E4F9A"/>
    <w:rPr>
      <w:b/>
      <w:bCs/>
    </w:rPr>
  </w:style>
  <w:style w:type="character" w:styleId="Betoning">
    <w:name w:val="Emphasis"/>
    <w:basedOn w:val="Standardstycketeckensnitt"/>
    <w:uiPriority w:val="20"/>
    <w:qFormat/>
    <w:rsid w:val="007E4F9A"/>
    <w:rPr>
      <w:i/>
      <w:iCs/>
    </w:rPr>
  </w:style>
  <w:style w:type="paragraph" w:styleId="Normalwebb">
    <w:name w:val="Normal (Web)"/>
    <w:basedOn w:val="Normal"/>
    <w:uiPriority w:val="99"/>
    <w:semiHidden/>
    <w:unhideWhenUsed/>
    <w:rsid w:val="007E4F9A"/>
    <w:rPr>
      <w:rFonts w:ascii="Times New Roman" w:hAnsi="Times New Roman" w:cs="Times New Roman"/>
      <w:sz w:val="24"/>
      <w:szCs w:val="24"/>
    </w:rPr>
  </w:style>
  <w:style w:type="paragraph" w:styleId="Ingetavstnd">
    <w:name w:val="No Spacing"/>
    <w:link w:val="IngetavstndChar"/>
    <w:uiPriority w:val="1"/>
    <w:qFormat/>
    <w:rsid w:val="007E4F9A"/>
    <w:pPr>
      <w:spacing w:after="0" w:line="240" w:lineRule="auto"/>
    </w:pPr>
  </w:style>
  <w:style w:type="character" w:customStyle="1" w:styleId="IngetavstndChar">
    <w:name w:val="Inget avstånd Char"/>
    <w:basedOn w:val="Standardstycketeckensnitt"/>
    <w:link w:val="Ingetavstnd"/>
    <w:uiPriority w:val="1"/>
    <w:rsid w:val="007E4F9A"/>
  </w:style>
  <w:style w:type="paragraph" w:styleId="Liststycke">
    <w:name w:val="List Paragraph"/>
    <w:aliases w:val="Figure Suppl"/>
    <w:basedOn w:val="Normal"/>
    <w:uiPriority w:val="34"/>
    <w:qFormat/>
    <w:rsid w:val="00F46489"/>
    <w:pPr>
      <w:numPr>
        <w:numId w:val="19"/>
      </w:numPr>
      <w:spacing w:before="240" w:after="240" w:line="360" w:lineRule="auto"/>
    </w:pPr>
    <w:rPr>
      <w:rFonts w:ascii="Times New Roman" w:hAnsi="Times New Roman" w:cs="Times New Roman"/>
      <w:b/>
      <w:bCs/>
      <w:szCs w:val="28"/>
    </w:rPr>
  </w:style>
  <w:style w:type="paragraph" w:styleId="Citat">
    <w:name w:val="Quote"/>
    <w:basedOn w:val="Normal"/>
    <w:next w:val="Normal"/>
    <w:link w:val="CitatChar"/>
    <w:uiPriority w:val="29"/>
    <w:qFormat/>
    <w:rsid w:val="00823AE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23AE5"/>
    <w:rPr>
      <w:i/>
      <w:iCs/>
      <w:color w:val="404040" w:themeColor="text1" w:themeTint="BF"/>
    </w:rPr>
  </w:style>
  <w:style w:type="paragraph" w:styleId="Starktcitat">
    <w:name w:val="Intense Quote"/>
    <w:basedOn w:val="Normal"/>
    <w:next w:val="Normal"/>
    <w:link w:val="StarktcitatChar"/>
    <w:uiPriority w:val="30"/>
    <w:qFormat/>
    <w:rsid w:val="00823A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23AE5"/>
    <w:rPr>
      <w:i/>
      <w:iCs/>
      <w:color w:val="0F4761" w:themeColor="accent1" w:themeShade="BF"/>
    </w:rPr>
  </w:style>
  <w:style w:type="character" w:styleId="Diskretbetoning">
    <w:name w:val="Subtle Emphasis"/>
    <w:basedOn w:val="Standardstycketeckensnitt"/>
    <w:uiPriority w:val="19"/>
    <w:qFormat/>
    <w:rsid w:val="007E4F9A"/>
    <w:rPr>
      <w:i/>
      <w:iCs/>
      <w:color w:val="404040" w:themeColor="text1" w:themeTint="BF"/>
    </w:rPr>
  </w:style>
  <w:style w:type="character" w:styleId="Starkbetoning">
    <w:name w:val="Intense Emphasis"/>
    <w:basedOn w:val="Standardstycketeckensnitt"/>
    <w:uiPriority w:val="21"/>
    <w:qFormat/>
    <w:rsid w:val="00823AE5"/>
    <w:rPr>
      <w:i/>
      <w:iCs/>
      <w:color w:val="0F4761" w:themeColor="accent1" w:themeShade="BF"/>
    </w:rPr>
  </w:style>
  <w:style w:type="character" w:styleId="Diskretreferens">
    <w:name w:val="Subtle Reference"/>
    <w:basedOn w:val="Standardstycketeckensnitt"/>
    <w:uiPriority w:val="31"/>
    <w:qFormat/>
    <w:rsid w:val="007E4F9A"/>
    <w:rPr>
      <w:smallCaps/>
      <w:color w:val="5A5A5A" w:themeColor="text1" w:themeTint="A5"/>
    </w:rPr>
  </w:style>
  <w:style w:type="character" w:styleId="Starkreferens">
    <w:name w:val="Intense Reference"/>
    <w:basedOn w:val="Standardstycketeckensnitt"/>
    <w:uiPriority w:val="32"/>
    <w:qFormat/>
    <w:rsid w:val="00823AE5"/>
    <w:rPr>
      <w:b/>
      <w:bCs/>
      <w:smallCaps/>
      <w:color w:val="0F4761" w:themeColor="accent1" w:themeShade="BF"/>
      <w:spacing w:val="5"/>
    </w:rPr>
  </w:style>
  <w:style w:type="character" w:styleId="Bokenstitel">
    <w:name w:val="Book Title"/>
    <w:basedOn w:val="Standardstycketeckensnitt"/>
    <w:uiPriority w:val="33"/>
    <w:qFormat/>
    <w:rsid w:val="007E4F9A"/>
    <w:rPr>
      <w:b/>
      <w:bCs/>
      <w:i/>
      <w:iCs/>
      <w:spacing w:val="5"/>
    </w:rPr>
  </w:style>
  <w:style w:type="paragraph" w:styleId="Innehllsfrteckningsrubrik">
    <w:name w:val="TOC Heading"/>
    <w:basedOn w:val="Rubrik1"/>
    <w:next w:val="Normal"/>
    <w:uiPriority w:val="39"/>
    <w:semiHidden/>
    <w:unhideWhenUsed/>
    <w:qFormat/>
    <w:rsid w:val="007E4F9A"/>
    <w:pPr>
      <w:spacing w:before="240" w:after="0"/>
      <w:outlineLvl w:val="9"/>
    </w:pPr>
    <w:rPr>
      <w:sz w:val="32"/>
      <w:szCs w:val="32"/>
    </w:rPr>
  </w:style>
  <w:style w:type="paragraph" w:customStyle="1" w:styleId="Figuretext">
    <w:name w:val="Figure text"/>
    <w:basedOn w:val="Liststycke"/>
    <w:qFormat/>
    <w:rsid w:val="00F46489"/>
    <w:pPr>
      <w:numPr>
        <w:numId w:val="14"/>
      </w:numPr>
      <w:ind w:left="714" w:hanging="35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alm Publication Black">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6d8c44-ec70-4b20-b2b2-b0df78505d9d">
      <Terms xmlns="http://schemas.microsoft.com/office/infopath/2007/PartnerControls"/>
    </lcf76f155ced4ddcb4097134ff3c332f>
    <TaxCatchAll xmlns="0b5e2985-64f2-49ff-acb2-87a5495992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CFA2890FE208D4BA24AC05FC91328F1" ma:contentTypeVersion="10" ma:contentTypeDescription="Skapa ett nytt dokument." ma:contentTypeScope="" ma:versionID="0aedf1149395a2c3af7ec560b9c99023">
  <xsd:schema xmlns:xsd="http://www.w3.org/2001/XMLSchema" xmlns:xs="http://www.w3.org/2001/XMLSchema" xmlns:p="http://schemas.microsoft.com/office/2006/metadata/properties" xmlns:ns2="336d8c44-ec70-4b20-b2b2-b0df78505d9d" xmlns:ns3="0b5e2985-64f2-49ff-acb2-87a549599288" targetNamespace="http://schemas.microsoft.com/office/2006/metadata/properties" ma:root="true" ma:fieldsID="c45aee9be404e5cd2aeb3e23897fec2d" ns2:_="" ns3:_="">
    <xsd:import namespace="336d8c44-ec70-4b20-b2b2-b0df78505d9d"/>
    <xsd:import namespace="0b5e2985-64f2-49ff-acb2-87a5495992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d8c44-ec70-4b20-b2b2-b0df78505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4bb64261-f13a-4595-8891-6b3665ea7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e2985-64f2-49ff-acb2-87a5495992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928e0-0f6f-4e2e-b892-567e3e4a3a6c}" ma:internalName="TaxCatchAll" ma:showField="CatchAllData" ma:web="0b5e2985-64f2-49ff-acb2-87a54959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44019-370B-4325-887D-1122A4F9C7DB}">
  <ds:schemaRefs>
    <ds:schemaRef ds:uri="http://schemas.microsoft.com/office/2006/metadata/properties"/>
    <ds:schemaRef ds:uri="http://schemas.microsoft.com/office/infopath/2007/PartnerControls"/>
    <ds:schemaRef ds:uri="336d8c44-ec70-4b20-b2b2-b0df78505d9d"/>
    <ds:schemaRef ds:uri="0b5e2985-64f2-49ff-acb2-87a549599288"/>
  </ds:schemaRefs>
</ds:datastoreItem>
</file>

<file path=customXml/itemProps2.xml><?xml version="1.0" encoding="utf-8"?>
<ds:datastoreItem xmlns:ds="http://schemas.openxmlformats.org/officeDocument/2006/customXml" ds:itemID="{924D4DC4-BEEA-4938-AD36-E052BB72A5C4}">
  <ds:schemaRefs>
    <ds:schemaRef ds:uri="http://schemas.microsoft.com/sharepoint/v3/contenttype/forms"/>
  </ds:schemaRefs>
</ds:datastoreItem>
</file>

<file path=customXml/itemProps3.xml><?xml version="1.0" encoding="utf-8"?>
<ds:datastoreItem xmlns:ds="http://schemas.openxmlformats.org/officeDocument/2006/customXml" ds:itemID="{E107D2CB-D487-4EE3-BC20-F071363D1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d8c44-ec70-4b20-b2b2-b0df78505d9d"/>
    <ds:schemaRef ds:uri="0b5e2985-64f2-49ff-acb2-87a54959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5</Pages>
  <Words>1470</Words>
  <Characters>9430</Characters>
  <Application>Microsoft Office Word</Application>
  <DocSecurity>0</DocSecurity>
  <Lines>138</Lines>
  <Paragraphs>45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Malm</dc:creator>
  <cp:keywords/>
  <dc:description/>
  <cp:lastModifiedBy>Christer Malm</cp:lastModifiedBy>
  <cp:revision>3</cp:revision>
  <dcterms:created xsi:type="dcterms:W3CDTF">2026-06-13T14:30:00Z</dcterms:created>
  <dcterms:modified xsi:type="dcterms:W3CDTF">2026-06-13T14:30:00Z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0x0101007CFA2890FE208D4BA24AC05FC91328F1</vt:lpwstr>
  </property>
  <property fmtid="{D5CDD505-2E9C-101B-9397-08002B2CF9AE}" pid="3" name="MediaServiceImageTags">
    <vt:lpwstr/>
  </property>
</Properties>
</file>