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3E9D1">
      <w:pPr>
        <w:pStyle w:val="31"/>
      </w:pPr>
      <w:r>
        <w:t>Supplementary Material</w:t>
      </w:r>
    </w:p>
    <w:p w14:paraId="2AB8C3D9">
      <w:r>
        <w:rPr>
          <w:b/>
          <w:sz w:val="24"/>
        </w:rPr>
        <w:t>Joint assessment of the uric acid-to-HDL cholesterol ratio and the triglyceride-glucose index for predicting incident metabolic syndrome in Chinese adults aged 45 years and older: a prospec</w:t>
      </w:r>
      <w:bookmarkStart w:id="0" w:name="_GoBack"/>
      <w:bookmarkEnd w:id="0"/>
      <w:r>
        <w:rPr>
          <w:b/>
          <w:sz w:val="24"/>
        </w:rPr>
        <w:t>tive cohort study based on CHARLS</w:t>
      </w:r>
    </w:p>
    <w:p w14:paraId="2245774D">
      <w:pPr>
        <w:rPr>
          <w:rFonts w:hint="eastAsia"/>
          <w:i/>
          <w:sz w:val="18"/>
        </w:rPr>
      </w:pPr>
      <w:r>
        <w:rPr>
          <w:rFonts w:hint="eastAsia"/>
          <w:i/>
          <w:sz w:val="18"/>
        </w:rPr>
        <w:t>Weiqiang Qin1, Changqin Xu2, Lan Mai3, Xiaoling Yi2</w:t>
      </w:r>
    </w:p>
    <w:p w14:paraId="5FB23114">
      <w:pPr>
        <w:rPr>
          <w:rFonts w:hint="eastAsia"/>
          <w:i/>
          <w:sz w:val="18"/>
        </w:rPr>
      </w:pPr>
      <w:r>
        <w:rPr>
          <w:rFonts w:hint="eastAsia"/>
          <w:i/>
          <w:sz w:val="18"/>
        </w:rPr>
        <w:t>1 South Campus Outpatient Department, Sun Yat-sen Memorial Hospital, Sun Yat-sen University,  Guangzhou, 510000, Guangdong, China</w:t>
      </w:r>
    </w:p>
    <w:p w14:paraId="2281D053">
      <w:pPr>
        <w:rPr>
          <w:rFonts w:hint="eastAsia"/>
          <w:i/>
          <w:sz w:val="18"/>
        </w:rPr>
      </w:pPr>
      <w:r>
        <w:rPr>
          <w:rFonts w:hint="eastAsia"/>
          <w:i/>
          <w:sz w:val="18"/>
        </w:rPr>
        <w:t>2 Emergency Department, Sun Yat-sen Memorial Hospital, Sun Yat-sen University, Guangzhou, 510000, Guangdong, China</w:t>
      </w:r>
    </w:p>
    <w:p w14:paraId="4DE168B2">
      <w:pPr>
        <w:rPr>
          <w:rFonts w:hint="eastAsia"/>
          <w:i/>
          <w:sz w:val="18"/>
        </w:rPr>
      </w:pPr>
      <w:r>
        <w:rPr>
          <w:rFonts w:hint="eastAsia"/>
          <w:i/>
          <w:sz w:val="18"/>
        </w:rPr>
        <w:t>3 Department of Preventive Health Care, Sun Yat-sen Memorial Hospital, Sun Yat-sen University, Guangzhou, 510000, Guangdong, China</w:t>
      </w:r>
    </w:p>
    <w:p w14:paraId="1E1B068F">
      <w:r>
        <w:rPr>
          <w:rFonts w:hint="eastAsia"/>
          <w:i/>
          <w:sz w:val="18"/>
        </w:rPr>
        <w:t>Corresponding author: Xiaoling Yi (email: yixling@mail.sysu.edu.cn)</w:t>
      </w:r>
    </w:p>
    <w:p w14:paraId="3ECA31C5">
      <w:pPr>
        <w:pStyle w:val="3"/>
      </w:pPr>
      <w:r>
        <w:t>Supplementary Figures</w:t>
      </w:r>
    </w:p>
    <w:p w14:paraId="2F563B43">
      <w:r>
        <w:rPr>
          <w:b/>
          <w:sz w:val="20"/>
        </w:rPr>
        <w:t>Figure S1. Dot-whisker plot of four-group cumulative incidence of metabolic syndrome (with 95% CIs).</w:t>
      </w:r>
    </w:p>
    <w:p w14:paraId="597FE235">
      <w:r>
        <w:rPr>
          <w:i/>
          <w:sz w:val="18"/>
        </w:rPr>
        <w:t>Incident MetS rates were 11.7% (low-UHR/low-TyG, n=1,039), 11.3% (high-UHR/low-TyG, n=736), 23.6% (low-UHR/high-TyG, n=736), and 24.7% (high-UHR/high-TyG, n=1,039). See Table 2 for numerators/denominators.</w:t>
      </w:r>
    </w:p>
    <w:p w14:paraId="684358C0">
      <w:pPr>
        <w:jc w:val="center"/>
      </w:pPr>
      <w:r>
        <w:drawing>
          <wp:inline distT="0" distB="0" distL="114300" distR="114300">
            <wp:extent cx="5486400" cy="43891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45B7"/>
    <w:p w14:paraId="28B51260">
      <w:r>
        <w:rPr>
          <w:b/>
          <w:sz w:val="20"/>
        </w:rPr>
        <w:t>Figure S2. Decision curve analysis (DCA) for metabolic syndrome prediction.</w:t>
      </w:r>
    </w:p>
    <w:p w14:paraId="6D4D03AF">
      <w:r>
        <w:rPr>
          <w:i/>
          <w:sz w:val="18"/>
        </w:rPr>
        <w:t>Compares the base model, the base + UHR + TyG model, and a treat-all strategy in the complete-case set (n = 3,503). The augmented model yielded consistently higher net benefit across the 10%–40% threshold range.</w:t>
      </w:r>
    </w:p>
    <w:p w14:paraId="2A5BDAF1">
      <w:pPr>
        <w:jc w:val="center"/>
      </w:pPr>
      <w:r>
        <w:drawing>
          <wp:inline distT="0" distB="0" distL="114300" distR="114300">
            <wp:extent cx="5486400" cy="337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rcRect t="69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5409"/>
    <w:p w14:paraId="21580F0F">
      <w:r>
        <w:rPr>
          <w:b/>
          <w:sz w:val="20"/>
        </w:rPr>
        <w:t>Figure S3. Joint UHR×TyG predicted-probability surface (heat map) for incident metabolic syndrome.</w:t>
      </w:r>
    </w:p>
    <w:p w14:paraId="041D94D0">
      <w:r>
        <w:rPr>
          <w:i/>
          <w:sz w:val="18"/>
        </w:rPr>
        <w:t>Medians marked; four quadrants defined by UHR and TyG medians. Predicted probability rose from ~12% (low-UHR/low-TyG) to ~25% (high-UHR/high-TyG), with mixed quadrants ~11–24%, indicating an additive rather than synergistic contribution, consistent with the four-group exposure classification in Table 6.</w:t>
      </w:r>
    </w:p>
    <w:p w14:paraId="6EFF3CA4">
      <w:pPr>
        <w:jc w:val="center"/>
      </w:pPr>
      <w:r>
        <w:drawing>
          <wp:inline distT="0" distB="0" distL="114300" distR="114300">
            <wp:extent cx="5486400" cy="4906645"/>
            <wp:effectExtent l="0" t="0" r="0" b="209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FFFD2"/>
    <w:p w14:paraId="380B23F5">
      <w:r>
        <w:rPr>
          <w:b/>
          <w:sz w:val="20"/>
        </w:rPr>
        <w:t>Figure S4. Distribution of MetS component counts by exposure group.</w:t>
      </w:r>
    </w:p>
    <w:p w14:paraId="58CB88B1">
      <w:r>
        <w:rPr>
          <w:i/>
          <w:sz w:val="18"/>
        </w:rPr>
        <w:t>Component count (0–5), baseline MetS excluded (reflecting accumulation during follow-up); mean ± SD: low/low 1.24 ± 1.06, high/low 1.25 ± 1.04, low/high 1.67 ± 1.19, high/high 1.71 ± 1.19 (P &lt; 0.001).</w:t>
      </w:r>
    </w:p>
    <w:p w14:paraId="33905FC1">
      <w:pPr>
        <w:jc w:val="center"/>
      </w:pPr>
      <w:r>
        <w:drawing>
          <wp:inline distT="0" distB="0" distL="114300" distR="114300">
            <wp:extent cx="5486400" cy="4874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rcRect t="1115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0C96"/>
    <w:p w14:paraId="5093C959">
      <w:pPr>
        <w:pStyle w:val="3"/>
      </w:pPr>
      <w:r>
        <w:t>Supplementary Tables</w:t>
      </w:r>
    </w:p>
    <w:p w14:paraId="595978F5">
      <w:r>
        <w:rPr>
          <w:b/>
          <w:sz w:val="20"/>
        </w:rPr>
        <w:t>Table S1. Incremental discrimination (C-statistic / AUC) of adding UHR and TyG to the conventional base model.</w:t>
      </w:r>
    </w:p>
    <w:p w14:paraId="0A1526F0">
      <w:r>
        <w:rPr>
          <w:i/>
          <w:sz w:val="18"/>
        </w:rPr>
        <w:t>Base model included age, sex, education, marital status, urban/rural residence, BMI, smoking, and drinking. AUCs by DeLong; 95% CIs from bootstrap. Complete-case set (n = 3,503; 636 events).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0DC63D86">
        <w:tc>
          <w:tcPr>
            <w:tcW w:w="4320" w:type="dxa"/>
          </w:tcPr>
          <w:p w14:paraId="4105E67D">
            <w:pPr>
              <w:spacing w:after="0" w:line="240" w:lineRule="auto"/>
            </w:pPr>
            <w:r>
              <w:rPr>
                <w:b/>
                <w:sz w:val="18"/>
              </w:rPr>
              <w:t>Model</w:t>
            </w:r>
          </w:p>
        </w:tc>
        <w:tc>
          <w:tcPr>
            <w:tcW w:w="4320" w:type="dxa"/>
          </w:tcPr>
          <w:p w14:paraId="7AEBAEC3">
            <w:pPr>
              <w:spacing w:after="0" w:line="240" w:lineRule="auto"/>
            </w:pPr>
            <w:r>
              <w:rPr>
                <w:b/>
                <w:sz w:val="18"/>
              </w:rPr>
              <w:t>C-statistic (95% CI)</w:t>
            </w:r>
          </w:p>
        </w:tc>
      </w:tr>
      <w:tr w14:paraId="06C7537F">
        <w:tc>
          <w:tcPr>
            <w:tcW w:w="4320" w:type="dxa"/>
          </w:tcPr>
          <w:p w14:paraId="40DE3112">
            <w:pPr>
              <w:spacing w:after="0" w:line="240" w:lineRule="auto"/>
            </w:pPr>
            <w:r>
              <w:rPr>
                <w:sz w:val="18"/>
              </w:rPr>
              <w:t>Base model (conventional risk factors)</w:t>
            </w:r>
          </w:p>
        </w:tc>
        <w:tc>
          <w:tcPr>
            <w:tcW w:w="4320" w:type="dxa"/>
          </w:tcPr>
          <w:p w14:paraId="4C616F91">
            <w:pPr>
              <w:spacing w:after="0" w:line="240" w:lineRule="auto"/>
            </w:pPr>
            <w:r>
              <w:rPr>
                <w:sz w:val="18"/>
              </w:rPr>
              <w:t>0.720 (0.699–0.740)</w:t>
            </w:r>
          </w:p>
        </w:tc>
      </w:tr>
      <w:tr w14:paraId="428C52E3">
        <w:tc>
          <w:tcPr>
            <w:tcW w:w="4320" w:type="dxa"/>
          </w:tcPr>
          <w:p w14:paraId="28E1807E">
            <w:pPr>
              <w:spacing w:after="0" w:line="240" w:lineRule="auto"/>
            </w:pPr>
            <w:r>
              <w:rPr>
                <w:sz w:val="18"/>
              </w:rPr>
              <w:t>Base + UHR</w:t>
            </w:r>
          </w:p>
        </w:tc>
        <w:tc>
          <w:tcPr>
            <w:tcW w:w="4320" w:type="dxa"/>
          </w:tcPr>
          <w:p w14:paraId="1BA4C0A9">
            <w:pPr>
              <w:spacing w:after="0" w:line="240" w:lineRule="auto"/>
            </w:pPr>
            <w:r>
              <w:rPr>
                <w:sz w:val="18"/>
              </w:rPr>
              <w:t>0.731 (0.711–0.751)</w:t>
            </w:r>
          </w:p>
        </w:tc>
      </w:tr>
      <w:tr w14:paraId="1B4A8B9A">
        <w:tc>
          <w:tcPr>
            <w:tcW w:w="4320" w:type="dxa"/>
          </w:tcPr>
          <w:p w14:paraId="41CA38E3">
            <w:pPr>
              <w:spacing w:after="0" w:line="240" w:lineRule="auto"/>
            </w:pPr>
            <w:r>
              <w:rPr>
                <w:sz w:val="18"/>
              </w:rPr>
              <w:t>Base + TyG</w:t>
            </w:r>
          </w:p>
        </w:tc>
        <w:tc>
          <w:tcPr>
            <w:tcW w:w="4320" w:type="dxa"/>
          </w:tcPr>
          <w:p w14:paraId="2F3538A7">
            <w:pPr>
              <w:spacing w:after="0" w:line="240" w:lineRule="auto"/>
            </w:pPr>
            <w:r>
              <w:rPr>
                <w:sz w:val="18"/>
              </w:rPr>
              <w:t>0.737 (0.717–0.757)</w:t>
            </w:r>
          </w:p>
        </w:tc>
      </w:tr>
      <w:tr w14:paraId="325AAAA3">
        <w:tc>
          <w:tcPr>
            <w:tcW w:w="4320" w:type="dxa"/>
          </w:tcPr>
          <w:p w14:paraId="7B35A81A">
            <w:pPr>
              <w:spacing w:after="0" w:line="240" w:lineRule="auto"/>
            </w:pPr>
            <w:r>
              <w:rPr>
                <w:sz w:val="18"/>
              </w:rPr>
              <w:t>Base + UHR + TyG</w:t>
            </w:r>
          </w:p>
        </w:tc>
        <w:tc>
          <w:tcPr>
            <w:tcW w:w="4320" w:type="dxa"/>
          </w:tcPr>
          <w:p w14:paraId="3755BA02">
            <w:pPr>
              <w:spacing w:after="0" w:line="240" w:lineRule="auto"/>
            </w:pPr>
            <w:r>
              <w:rPr>
                <w:sz w:val="18"/>
              </w:rPr>
              <w:t>0.743 (0.723–0.763)</w:t>
            </w:r>
          </w:p>
        </w:tc>
      </w:tr>
    </w:tbl>
    <w:p w14:paraId="11341F13"/>
    <w:p w14:paraId="52296A95">
      <w:pPr>
        <w:pStyle w:val="3"/>
      </w:pPr>
      <w:r>
        <w:t>STROBE Checklist (Cohort Studies)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7C39B424">
        <w:tc>
          <w:tcPr>
            <w:tcW w:w="2160" w:type="dxa"/>
          </w:tcPr>
          <w:p w14:paraId="43A31293">
            <w:pPr>
              <w:spacing w:after="0" w:line="240" w:lineRule="auto"/>
            </w:pPr>
            <w:r>
              <w:rPr>
                <w:sz w:val="16"/>
              </w:rPr>
              <w:t>Item No.</w:t>
            </w:r>
          </w:p>
        </w:tc>
        <w:tc>
          <w:tcPr>
            <w:tcW w:w="2160" w:type="dxa"/>
          </w:tcPr>
          <w:p w14:paraId="0CE3CFBD">
            <w:pPr>
              <w:spacing w:after="0" w:line="240" w:lineRule="auto"/>
            </w:pPr>
            <w:r>
              <w:rPr>
                <w:sz w:val="16"/>
              </w:rPr>
              <w:t>Recommendation</w:t>
            </w:r>
          </w:p>
        </w:tc>
        <w:tc>
          <w:tcPr>
            <w:tcW w:w="2160" w:type="dxa"/>
          </w:tcPr>
          <w:p w14:paraId="08711FC1">
            <w:pPr>
              <w:spacing w:after="0" w:line="240" w:lineRule="auto"/>
            </w:pPr>
            <w:r>
              <w:rPr>
                <w:sz w:val="16"/>
              </w:rPr>
              <w:t>Reported on Page / Section</w:t>
            </w:r>
          </w:p>
        </w:tc>
        <w:tc>
          <w:tcPr>
            <w:tcW w:w="2160" w:type="dxa"/>
          </w:tcPr>
          <w:p w14:paraId="3097B4B0">
            <w:pPr>
              <w:spacing w:after="0" w:line="240" w:lineRule="auto"/>
            </w:pPr>
            <w:r>
              <w:rPr>
                <w:sz w:val="16"/>
              </w:rPr>
              <w:t>Comments</w:t>
            </w:r>
          </w:p>
        </w:tc>
      </w:tr>
      <w:tr w14:paraId="070962BF">
        <w:tc>
          <w:tcPr>
            <w:tcW w:w="2160" w:type="dxa"/>
          </w:tcPr>
          <w:p w14:paraId="7B3D65FD">
            <w:pPr>
              <w:spacing w:after="0" w:line="240" w:lineRule="auto"/>
            </w:pPr>
            <w:r>
              <w:rPr>
                <w:sz w:val="16"/>
              </w:rPr>
              <w:t>**Title and abstract**</w:t>
            </w:r>
          </w:p>
        </w:tc>
        <w:tc>
          <w:tcPr>
            <w:tcW w:w="2160" w:type="dxa"/>
          </w:tcPr>
          <w:p w14:paraId="0FE62C2C">
            <w:pPr>
              <w:spacing w:after="0" w:line="240" w:lineRule="auto"/>
            </w:pPr>
          </w:p>
        </w:tc>
        <w:tc>
          <w:tcPr>
            <w:tcW w:w="2160" w:type="dxa"/>
          </w:tcPr>
          <w:p w14:paraId="10537038">
            <w:pPr>
              <w:spacing w:after="0" w:line="240" w:lineRule="auto"/>
            </w:pPr>
          </w:p>
        </w:tc>
        <w:tc>
          <w:tcPr>
            <w:tcW w:w="2160" w:type="dxa"/>
          </w:tcPr>
          <w:p w14:paraId="6A956241">
            <w:pPr>
              <w:spacing w:after="0" w:line="240" w:lineRule="auto"/>
            </w:pPr>
          </w:p>
        </w:tc>
      </w:tr>
      <w:tr w14:paraId="7E76BFCC">
        <w:tc>
          <w:tcPr>
            <w:tcW w:w="2160" w:type="dxa"/>
          </w:tcPr>
          <w:p w14:paraId="2BD38414">
            <w:pPr>
              <w:spacing w:after="0" w:line="240" w:lineRule="auto"/>
            </w:pPr>
            <w:r>
              <w:rPr>
                <w:sz w:val="16"/>
              </w:rPr>
              <w:t>1</w:t>
            </w:r>
          </w:p>
        </w:tc>
        <w:tc>
          <w:tcPr>
            <w:tcW w:w="2160" w:type="dxa"/>
          </w:tcPr>
          <w:p w14:paraId="2FA71823">
            <w:pPr>
              <w:spacing w:after="0" w:line="240" w:lineRule="auto"/>
            </w:pPr>
            <w:r>
              <w:rPr>
                <w:sz w:val="16"/>
              </w:rPr>
              <w:t>(a) Indicate the study's design with a commonly used term in the title or the abstract</w:t>
            </w:r>
          </w:p>
        </w:tc>
        <w:tc>
          <w:tcPr>
            <w:tcW w:w="2160" w:type="dxa"/>
          </w:tcPr>
          <w:p w14:paraId="2BA42666">
            <w:pPr>
              <w:spacing w:after="0" w:line="240" w:lineRule="auto"/>
            </w:pPr>
            <w:r>
              <w:rPr>
                <w:sz w:val="16"/>
              </w:rPr>
              <w:t>Title &amp; Abstract</w:t>
            </w:r>
          </w:p>
        </w:tc>
        <w:tc>
          <w:tcPr>
            <w:tcW w:w="2160" w:type="dxa"/>
          </w:tcPr>
          <w:p w14:paraId="62F3C9D4">
            <w:pPr>
              <w:spacing w:after="0" w:line="240" w:lineRule="auto"/>
            </w:pPr>
            <w:r>
              <w:rPr>
                <w:sz w:val="16"/>
              </w:rPr>
              <w:t>"Prospective Cohort Study" in title</w:t>
            </w:r>
          </w:p>
        </w:tc>
      </w:tr>
      <w:tr w14:paraId="477DDB7E">
        <w:tc>
          <w:tcPr>
            <w:tcW w:w="2160" w:type="dxa"/>
          </w:tcPr>
          <w:p w14:paraId="4B96F26C">
            <w:pPr>
              <w:spacing w:after="0" w:line="240" w:lineRule="auto"/>
            </w:pPr>
          </w:p>
        </w:tc>
        <w:tc>
          <w:tcPr>
            <w:tcW w:w="2160" w:type="dxa"/>
          </w:tcPr>
          <w:p w14:paraId="7A04F809">
            <w:pPr>
              <w:spacing w:after="0" w:line="240" w:lineRule="auto"/>
            </w:pPr>
            <w:r>
              <w:rPr>
                <w:sz w:val="16"/>
              </w:rPr>
              <w:t>(b) Provide in the abstract an informative and balanced summary of what was done and what was found</w:t>
            </w:r>
          </w:p>
        </w:tc>
        <w:tc>
          <w:tcPr>
            <w:tcW w:w="2160" w:type="dxa"/>
          </w:tcPr>
          <w:p w14:paraId="5076EF8F">
            <w:pPr>
              <w:spacing w:after="0" w:line="240" w:lineRule="auto"/>
            </w:pPr>
            <w:r>
              <w:rPr>
                <w:sz w:val="16"/>
              </w:rPr>
              <w:t>Abstract</w:t>
            </w:r>
          </w:p>
        </w:tc>
        <w:tc>
          <w:tcPr>
            <w:tcW w:w="2160" w:type="dxa"/>
          </w:tcPr>
          <w:p w14:paraId="338FA373">
            <w:pPr>
              <w:spacing w:after="0" w:line="240" w:lineRule="auto"/>
            </w:pPr>
            <w:r>
              <w:rPr>
                <w:sz w:val="16"/>
              </w:rPr>
              <w:t>Structured abstract: Background, Methods, Results, Conclusion</w:t>
            </w:r>
          </w:p>
        </w:tc>
      </w:tr>
      <w:tr w14:paraId="61488DDA">
        <w:tc>
          <w:tcPr>
            <w:tcW w:w="2160" w:type="dxa"/>
          </w:tcPr>
          <w:p w14:paraId="62C7294E">
            <w:pPr>
              <w:spacing w:after="0" w:line="240" w:lineRule="auto"/>
            </w:pPr>
            <w:r>
              <w:rPr>
                <w:sz w:val="16"/>
              </w:rPr>
              <w:t>**Introduction**</w:t>
            </w:r>
          </w:p>
        </w:tc>
        <w:tc>
          <w:tcPr>
            <w:tcW w:w="2160" w:type="dxa"/>
          </w:tcPr>
          <w:p w14:paraId="3E267F15">
            <w:pPr>
              <w:spacing w:after="0" w:line="240" w:lineRule="auto"/>
            </w:pPr>
          </w:p>
        </w:tc>
        <w:tc>
          <w:tcPr>
            <w:tcW w:w="2160" w:type="dxa"/>
          </w:tcPr>
          <w:p w14:paraId="0C35F796">
            <w:pPr>
              <w:spacing w:after="0" w:line="240" w:lineRule="auto"/>
            </w:pPr>
          </w:p>
        </w:tc>
        <w:tc>
          <w:tcPr>
            <w:tcW w:w="2160" w:type="dxa"/>
          </w:tcPr>
          <w:p w14:paraId="26746AA6">
            <w:pPr>
              <w:spacing w:after="0" w:line="240" w:lineRule="auto"/>
            </w:pPr>
          </w:p>
        </w:tc>
      </w:tr>
      <w:tr w14:paraId="3E1A959F">
        <w:tc>
          <w:tcPr>
            <w:tcW w:w="2160" w:type="dxa"/>
          </w:tcPr>
          <w:p w14:paraId="46867674">
            <w:pPr>
              <w:spacing w:after="0" w:line="240" w:lineRule="auto"/>
            </w:pPr>
            <w:r>
              <w:rPr>
                <w:sz w:val="16"/>
              </w:rPr>
              <w:t>2</w:t>
            </w:r>
          </w:p>
        </w:tc>
        <w:tc>
          <w:tcPr>
            <w:tcW w:w="2160" w:type="dxa"/>
          </w:tcPr>
          <w:p w14:paraId="7C4C3829">
            <w:pPr>
              <w:spacing w:after="0" w:line="240" w:lineRule="auto"/>
            </w:pPr>
            <w:r>
              <w:rPr>
                <w:sz w:val="16"/>
              </w:rPr>
              <w:t>Background/rationale: explain the scientific background and rationale for the investigation being reported</w:t>
            </w:r>
          </w:p>
        </w:tc>
        <w:tc>
          <w:tcPr>
            <w:tcW w:w="2160" w:type="dxa"/>
          </w:tcPr>
          <w:p w14:paraId="4059941C">
            <w:pPr>
              <w:spacing w:after="0" w:line="240" w:lineRule="auto"/>
            </w:pPr>
            <w:r>
              <w:rPr>
                <w:sz w:val="16"/>
              </w:rPr>
              <w:t>Introduction</w:t>
            </w:r>
          </w:p>
        </w:tc>
        <w:tc>
          <w:tcPr>
            <w:tcW w:w="2160" w:type="dxa"/>
          </w:tcPr>
          <w:p w14:paraId="54F13B67">
            <w:pPr>
              <w:spacing w:after="0" w:line="240" w:lineRule="auto"/>
            </w:pPr>
            <w:r>
              <w:rPr>
                <w:sz w:val="16"/>
              </w:rPr>
              <w:t>MetS burden in China, dual-pathway framework (inflammation/oxidative stress → insulin resistance), research gap</w:t>
            </w:r>
          </w:p>
        </w:tc>
      </w:tr>
      <w:tr w14:paraId="10B42C3C">
        <w:tc>
          <w:tcPr>
            <w:tcW w:w="2160" w:type="dxa"/>
          </w:tcPr>
          <w:p w14:paraId="05A5F3EE">
            <w:pPr>
              <w:spacing w:after="0" w:line="240" w:lineRule="auto"/>
            </w:pPr>
            <w:r>
              <w:rPr>
                <w:sz w:val="16"/>
              </w:rPr>
              <w:t>3</w:t>
            </w:r>
          </w:p>
        </w:tc>
        <w:tc>
          <w:tcPr>
            <w:tcW w:w="2160" w:type="dxa"/>
          </w:tcPr>
          <w:p w14:paraId="5FC425DF">
            <w:pPr>
              <w:spacing w:after="0" w:line="240" w:lineRule="auto"/>
            </w:pPr>
            <w:r>
              <w:rPr>
                <w:sz w:val="16"/>
              </w:rPr>
              <w:t>Objectives: state specific objectives, including any prespecified hypotheses</w:t>
            </w:r>
          </w:p>
        </w:tc>
        <w:tc>
          <w:tcPr>
            <w:tcW w:w="2160" w:type="dxa"/>
          </w:tcPr>
          <w:p w14:paraId="51095CC1">
            <w:pPr>
              <w:spacing w:after="0" w:line="240" w:lineRule="auto"/>
            </w:pPr>
            <w:r>
              <w:rPr>
                <w:sz w:val="16"/>
              </w:rPr>
              <w:t>Introduction (last paragraph)</w:t>
            </w:r>
          </w:p>
        </w:tc>
        <w:tc>
          <w:tcPr>
            <w:tcW w:w="2160" w:type="dxa"/>
          </w:tcPr>
          <w:p w14:paraId="51BEF14E">
            <w:pPr>
              <w:spacing w:after="0" w:line="240" w:lineRule="auto"/>
            </w:pPr>
            <w:r>
              <w:rPr>
                <w:sz w:val="16"/>
              </w:rPr>
              <w:t>Independent and joint associations of UHR and TyG with incident MetS; additive vs. supra-additive effect</w:t>
            </w:r>
          </w:p>
        </w:tc>
      </w:tr>
      <w:tr w14:paraId="1C95CD96">
        <w:tc>
          <w:tcPr>
            <w:tcW w:w="2160" w:type="dxa"/>
          </w:tcPr>
          <w:p w14:paraId="0EF28CE0">
            <w:pPr>
              <w:spacing w:after="0" w:line="240" w:lineRule="auto"/>
            </w:pPr>
            <w:r>
              <w:rPr>
                <w:sz w:val="16"/>
              </w:rPr>
              <w:t>**Methods**</w:t>
            </w:r>
          </w:p>
        </w:tc>
        <w:tc>
          <w:tcPr>
            <w:tcW w:w="2160" w:type="dxa"/>
          </w:tcPr>
          <w:p w14:paraId="7163EE14">
            <w:pPr>
              <w:spacing w:after="0" w:line="240" w:lineRule="auto"/>
            </w:pPr>
          </w:p>
        </w:tc>
        <w:tc>
          <w:tcPr>
            <w:tcW w:w="2160" w:type="dxa"/>
          </w:tcPr>
          <w:p w14:paraId="2E11DBEE">
            <w:pPr>
              <w:spacing w:after="0" w:line="240" w:lineRule="auto"/>
            </w:pPr>
          </w:p>
        </w:tc>
        <w:tc>
          <w:tcPr>
            <w:tcW w:w="2160" w:type="dxa"/>
          </w:tcPr>
          <w:p w14:paraId="45A188F1">
            <w:pPr>
              <w:spacing w:after="0" w:line="240" w:lineRule="auto"/>
            </w:pPr>
          </w:p>
        </w:tc>
      </w:tr>
      <w:tr w14:paraId="7B0BABB6">
        <w:tc>
          <w:tcPr>
            <w:tcW w:w="2160" w:type="dxa"/>
          </w:tcPr>
          <w:p w14:paraId="5A967F64">
            <w:pPr>
              <w:spacing w:after="0" w:line="240" w:lineRule="auto"/>
            </w:pPr>
            <w:r>
              <w:rPr>
                <w:sz w:val="16"/>
              </w:rPr>
              <w:t>4</w:t>
            </w:r>
          </w:p>
        </w:tc>
        <w:tc>
          <w:tcPr>
            <w:tcW w:w="2160" w:type="dxa"/>
          </w:tcPr>
          <w:p w14:paraId="27A44BD4">
            <w:pPr>
              <w:spacing w:after="0" w:line="240" w:lineRule="auto"/>
            </w:pPr>
            <w:r>
              <w:rPr>
                <w:sz w:val="16"/>
              </w:rPr>
              <w:t>Study design: present key elements of study design early in the paper</w:t>
            </w:r>
          </w:p>
        </w:tc>
        <w:tc>
          <w:tcPr>
            <w:tcW w:w="2160" w:type="dxa"/>
          </w:tcPr>
          <w:p w14:paraId="3C0C3E33">
            <w:pPr>
              <w:spacing w:after="0" w:line="240" w:lineRule="auto"/>
            </w:pPr>
            <w:r>
              <w:rPr>
                <w:sz w:val="16"/>
              </w:rPr>
              <w:t>Methods – Study Design and Population</w:t>
            </w:r>
          </w:p>
        </w:tc>
        <w:tc>
          <w:tcPr>
            <w:tcW w:w="2160" w:type="dxa"/>
          </w:tcPr>
          <w:p w14:paraId="2D76825C">
            <w:pPr>
              <w:spacing w:after="0" w:line="240" w:lineRule="auto"/>
            </w:pPr>
            <w:r>
              <w:rPr>
                <w:sz w:val="16"/>
              </w:rPr>
              <w:t>Prospective cohort; CHARLS (2011→2015); 4-year fixed follow-up interval</w:t>
            </w:r>
          </w:p>
        </w:tc>
      </w:tr>
      <w:tr w14:paraId="447E8EEB">
        <w:tc>
          <w:tcPr>
            <w:tcW w:w="2160" w:type="dxa"/>
          </w:tcPr>
          <w:p w14:paraId="72E5B26C">
            <w:pPr>
              <w:spacing w:after="0" w:line="240" w:lineRule="auto"/>
            </w:pPr>
            <w:r>
              <w:rPr>
                <w:sz w:val="16"/>
              </w:rPr>
              <w:t>5</w:t>
            </w:r>
          </w:p>
        </w:tc>
        <w:tc>
          <w:tcPr>
            <w:tcW w:w="2160" w:type="dxa"/>
          </w:tcPr>
          <w:p w14:paraId="71240337">
            <w:pPr>
              <w:spacing w:after="0" w:line="240" w:lineRule="auto"/>
            </w:pPr>
            <w:r>
              <w:rPr>
                <w:sz w:val="16"/>
              </w:rPr>
              <w:t>Setting: describe the setting, locations, and relevant dates, including periods of recruitment, exposure, follow-up, and data collection</w:t>
            </w:r>
          </w:p>
        </w:tc>
        <w:tc>
          <w:tcPr>
            <w:tcW w:w="2160" w:type="dxa"/>
          </w:tcPr>
          <w:p w14:paraId="46AED537">
            <w:pPr>
              <w:spacing w:after="0" w:line="240" w:lineRule="auto"/>
            </w:pPr>
            <w:r>
              <w:rPr>
                <w:sz w:val="16"/>
              </w:rPr>
              <w:t>Methods – Study Design and Population</w:t>
            </w:r>
          </w:p>
        </w:tc>
        <w:tc>
          <w:tcPr>
            <w:tcW w:w="2160" w:type="dxa"/>
          </w:tcPr>
          <w:p w14:paraId="65466F41">
            <w:pPr>
              <w:spacing w:after="0" w:line="240" w:lineRule="auto"/>
            </w:pPr>
            <w:r>
              <w:rPr>
                <w:sz w:val="16"/>
              </w:rPr>
              <w:t>28 provinces, 150 counties, 450 communities in China; Wave 1 (2011) baseline, Wave 3 (2015) endpoint</w:t>
            </w:r>
          </w:p>
        </w:tc>
      </w:tr>
      <w:tr w14:paraId="73126C1D">
        <w:tc>
          <w:tcPr>
            <w:tcW w:w="2160" w:type="dxa"/>
          </w:tcPr>
          <w:p w14:paraId="24065C07">
            <w:pPr>
              <w:spacing w:after="0" w:line="240" w:lineRule="auto"/>
            </w:pPr>
            <w:r>
              <w:rPr>
                <w:sz w:val="16"/>
              </w:rPr>
              <w:t>6</w:t>
            </w:r>
          </w:p>
        </w:tc>
        <w:tc>
          <w:tcPr>
            <w:tcW w:w="2160" w:type="dxa"/>
          </w:tcPr>
          <w:p w14:paraId="1F27BA0F">
            <w:pPr>
              <w:spacing w:after="0" w:line="240" w:lineRule="auto"/>
            </w:pPr>
            <w:r>
              <w:rPr>
                <w:sz w:val="16"/>
              </w:rPr>
              <w:t>(a) Participants: give eligibility criteria, sources and methods of selection, and methods of follow-up</w:t>
            </w:r>
          </w:p>
        </w:tc>
        <w:tc>
          <w:tcPr>
            <w:tcW w:w="2160" w:type="dxa"/>
          </w:tcPr>
          <w:p w14:paraId="31C2611F">
            <w:pPr>
              <w:spacing w:after="0" w:line="240" w:lineRule="auto"/>
            </w:pPr>
            <w:r>
              <w:rPr>
                <w:sz w:val="16"/>
              </w:rPr>
              <w:t>Methods – Study Design and Population</w:t>
            </w:r>
          </w:p>
        </w:tc>
        <w:tc>
          <w:tcPr>
            <w:tcW w:w="2160" w:type="dxa"/>
          </w:tcPr>
          <w:p w14:paraId="6055AE1E">
            <w:pPr>
              <w:spacing w:after="0" w:line="240" w:lineRule="auto"/>
            </w:pPr>
            <w:r>
              <w:rPr>
                <w:sz w:val="16"/>
              </w:rPr>
              <w:t>Four exclusion criteria: baseline MetS, missing MetS components, missing UA, missing covariates; Figure 1 flowchart</w:t>
            </w:r>
          </w:p>
        </w:tc>
      </w:tr>
      <w:tr w14:paraId="4FABF40E">
        <w:tc>
          <w:tcPr>
            <w:tcW w:w="2160" w:type="dxa"/>
          </w:tcPr>
          <w:p w14:paraId="0C474B51">
            <w:pPr>
              <w:spacing w:after="0" w:line="240" w:lineRule="auto"/>
            </w:pPr>
          </w:p>
        </w:tc>
        <w:tc>
          <w:tcPr>
            <w:tcW w:w="2160" w:type="dxa"/>
          </w:tcPr>
          <w:p w14:paraId="68F27B00">
            <w:pPr>
              <w:spacing w:after="0" w:line="240" w:lineRule="auto"/>
            </w:pPr>
            <w:r>
              <w:rPr>
                <w:sz w:val="16"/>
              </w:rPr>
              <w:t>(b) Methods of follow-up</w:t>
            </w:r>
          </w:p>
        </w:tc>
        <w:tc>
          <w:tcPr>
            <w:tcW w:w="2160" w:type="dxa"/>
          </w:tcPr>
          <w:p w14:paraId="76199168">
            <w:pPr>
              <w:spacing w:after="0" w:line="240" w:lineRule="auto"/>
            </w:pPr>
            <w:r>
              <w:rPr>
                <w:sz w:val="16"/>
              </w:rPr>
              <w:t>Methods – Study Design and Population</w:t>
            </w:r>
          </w:p>
        </w:tc>
        <w:tc>
          <w:tcPr>
            <w:tcW w:w="2160" w:type="dxa"/>
          </w:tcPr>
          <w:p w14:paraId="38F11E94">
            <w:pPr>
              <w:spacing w:after="0" w:line="240" w:lineRule="auto"/>
            </w:pPr>
            <w:r>
              <w:rPr>
                <w:sz w:val="16"/>
              </w:rPr>
              <w:t>Biennial survey with fixed 4-year interval; Wave 3 used as endpoint for all participants</w:t>
            </w:r>
          </w:p>
        </w:tc>
      </w:tr>
      <w:tr w14:paraId="76C5530C">
        <w:tc>
          <w:tcPr>
            <w:tcW w:w="2160" w:type="dxa"/>
          </w:tcPr>
          <w:p w14:paraId="43135AEF">
            <w:pPr>
              <w:spacing w:after="0" w:line="240" w:lineRule="auto"/>
            </w:pPr>
            <w:r>
              <w:rPr>
                <w:sz w:val="16"/>
              </w:rPr>
              <w:t>7</w:t>
            </w:r>
          </w:p>
        </w:tc>
        <w:tc>
          <w:tcPr>
            <w:tcW w:w="2160" w:type="dxa"/>
          </w:tcPr>
          <w:p w14:paraId="2A334DE3">
            <w:pPr>
              <w:spacing w:after="0" w:line="240" w:lineRule="auto"/>
            </w:pPr>
            <w:r>
              <w:rPr>
                <w:sz w:val="16"/>
              </w:rPr>
              <w:t>Variables: clearly define all outcomes, exposures, predictors, potential confounders, and effect modifiers</w:t>
            </w:r>
          </w:p>
        </w:tc>
        <w:tc>
          <w:tcPr>
            <w:tcW w:w="2160" w:type="dxa"/>
          </w:tcPr>
          <w:p w14:paraId="0105199B">
            <w:pPr>
              <w:spacing w:after="0" w:line="240" w:lineRule="auto"/>
            </w:pPr>
            <w:r>
              <w:rPr>
                <w:sz w:val="16"/>
              </w:rPr>
              <w:t>Methods – Outcome Definition, Exposure Assessment, Covariates</w:t>
            </w:r>
          </w:p>
        </w:tc>
        <w:tc>
          <w:tcPr>
            <w:tcW w:w="2160" w:type="dxa"/>
          </w:tcPr>
          <w:p w14:paraId="2258B718">
            <w:pPr>
              <w:spacing w:after="0" w:line="240" w:lineRule="auto"/>
            </w:pPr>
            <w:r>
              <w:rPr>
                <w:sz w:val="16"/>
              </w:rPr>
              <w:t>MetS (modified ATP III + Asian WC cutoffs); UHR (UA/HDL-C per SD) and TyG (ln[TG×FPG/2] per SD) with dual-unit formula; joint four-group classification by median split (UHR=0.075, TyG=0.997); covariates with overadjustment rationale; sex as effect modifier</w:t>
            </w:r>
          </w:p>
        </w:tc>
      </w:tr>
      <w:tr w14:paraId="37EC742B">
        <w:tc>
          <w:tcPr>
            <w:tcW w:w="2160" w:type="dxa"/>
          </w:tcPr>
          <w:p w14:paraId="1DEC5B8E">
            <w:pPr>
              <w:spacing w:after="0" w:line="240" w:lineRule="auto"/>
            </w:pPr>
            <w:r>
              <w:rPr>
                <w:sz w:val="16"/>
              </w:rPr>
              <w:t>8</w:t>
            </w:r>
          </w:p>
        </w:tc>
        <w:tc>
          <w:tcPr>
            <w:tcW w:w="2160" w:type="dxa"/>
          </w:tcPr>
          <w:p w14:paraId="6AF846F2">
            <w:pPr>
              <w:spacing w:after="0" w:line="240" w:lineRule="auto"/>
            </w:pPr>
            <w:r>
              <w:rPr>
                <w:sz w:val="16"/>
              </w:rPr>
              <w:t>Data sources/measurement: for each variable of interest, give sources of data and details of methods of assessment (measurement)</w:t>
            </w:r>
          </w:p>
        </w:tc>
        <w:tc>
          <w:tcPr>
            <w:tcW w:w="2160" w:type="dxa"/>
          </w:tcPr>
          <w:p w14:paraId="78DD71C1">
            <w:pPr>
              <w:spacing w:after="0" w:line="240" w:lineRule="auto"/>
            </w:pPr>
            <w:r>
              <w:rPr>
                <w:sz w:val="16"/>
              </w:rPr>
              <w:t>Methods – Outcome Definition, Exposure Assessment, Covariates</w:t>
            </w:r>
          </w:p>
        </w:tc>
        <w:tc>
          <w:tcPr>
            <w:tcW w:w="2160" w:type="dxa"/>
          </w:tcPr>
          <w:p w14:paraId="3482B69F">
            <w:pPr>
              <w:spacing w:after="0" w:line="240" w:lineRule="auto"/>
            </w:pPr>
            <w:r>
              <w:rPr>
                <w:sz w:val="16"/>
              </w:rPr>
              <w:t>CHARLS standardized protocols; BP: mean of 3 seated readings; WC: midpoint measurement; fasting blood: China CDC central laboratory at both waves</w:t>
            </w:r>
          </w:p>
        </w:tc>
      </w:tr>
      <w:tr w14:paraId="3F185E5D">
        <w:tc>
          <w:tcPr>
            <w:tcW w:w="2160" w:type="dxa"/>
          </w:tcPr>
          <w:p w14:paraId="1ED23469">
            <w:pPr>
              <w:spacing w:after="0" w:line="240" w:lineRule="auto"/>
            </w:pPr>
            <w:r>
              <w:rPr>
                <w:sz w:val="16"/>
              </w:rPr>
              <w:t>9</w:t>
            </w:r>
          </w:p>
        </w:tc>
        <w:tc>
          <w:tcPr>
            <w:tcW w:w="2160" w:type="dxa"/>
          </w:tcPr>
          <w:p w14:paraId="68E5254F">
            <w:pPr>
              <w:spacing w:after="0" w:line="240" w:lineRule="auto"/>
            </w:pPr>
            <w:r>
              <w:rPr>
                <w:sz w:val="16"/>
              </w:rPr>
              <w:t>Bias: describe any efforts to address potential sources of bias</w:t>
            </w:r>
          </w:p>
        </w:tc>
        <w:tc>
          <w:tcPr>
            <w:tcW w:w="2160" w:type="dxa"/>
          </w:tcPr>
          <w:p w14:paraId="1DDFDC94">
            <w:pPr>
              <w:spacing w:after="0" w:line="240" w:lineRule="auto"/>
            </w:pPr>
            <w:r>
              <w:rPr>
                <w:sz w:val="16"/>
              </w:rPr>
              <w:t>Methods – Covariates, Statistical Analysis</w:t>
            </w:r>
          </w:p>
        </w:tc>
        <w:tc>
          <w:tcPr>
            <w:tcW w:w="2160" w:type="dxa"/>
          </w:tcPr>
          <w:p w14:paraId="3598ADE3">
            <w:pPr>
              <w:spacing w:after="0" w:line="240" w:lineRule="auto"/>
            </w:pPr>
            <w:r>
              <w:rPr>
                <w:sz w:val="16"/>
              </w:rPr>
              <w:t>Overadjustment: TG/HDL-C/FPG excluded from models; component overlap bias discussed in Limitations (Sixth); E-values for unmeasured confounding; Schoenfeld residuals for PH assumption; sensitivity analysis substituting WC for BMI; complete-case analysis with justification for excluding smoking/drinking (54%–64% missing)</w:t>
            </w:r>
          </w:p>
        </w:tc>
      </w:tr>
      <w:tr w14:paraId="24B6369B">
        <w:tc>
          <w:tcPr>
            <w:tcW w:w="2160" w:type="dxa"/>
          </w:tcPr>
          <w:p w14:paraId="6FB789FC">
            <w:pPr>
              <w:spacing w:after="0" w:line="240" w:lineRule="auto"/>
            </w:pPr>
            <w:r>
              <w:rPr>
                <w:sz w:val="16"/>
              </w:rPr>
              <w:t>10</w:t>
            </w:r>
          </w:p>
        </w:tc>
        <w:tc>
          <w:tcPr>
            <w:tcW w:w="2160" w:type="dxa"/>
          </w:tcPr>
          <w:p w14:paraId="2526927A">
            <w:pPr>
              <w:spacing w:after="0" w:line="240" w:lineRule="auto"/>
            </w:pPr>
            <w:r>
              <w:rPr>
                <w:sz w:val="16"/>
              </w:rPr>
              <w:t>Study size: explain how the study size was arrived at</w:t>
            </w:r>
          </w:p>
        </w:tc>
        <w:tc>
          <w:tcPr>
            <w:tcW w:w="2160" w:type="dxa"/>
          </w:tcPr>
          <w:p w14:paraId="735BA7F3">
            <w:pPr>
              <w:spacing w:after="0" w:line="240" w:lineRule="auto"/>
            </w:pPr>
            <w:r>
              <w:rPr>
                <w:sz w:val="16"/>
              </w:rPr>
              <w:t>Methods – Study Design and Population; Figure 1</w:t>
            </w:r>
          </w:p>
        </w:tc>
        <w:tc>
          <w:tcPr>
            <w:tcW w:w="2160" w:type="dxa"/>
          </w:tcPr>
          <w:p w14:paraId="387EDF68">
            <w:pPr>
              <w:spacing w:after="0" w:line="240" w:lineRule="auto"/>
            </w:pPr>
            <w:r>
              <w:rPr>
                <w:sz w:val="16"/>
              </w:rPr>
              <w:t>N = 3,550 after sequential exclusions, detailed in flowchart</w:t>
            </w:r>
          </w:p>
        </w:tc>
      </w:tr>
      <w:tr w14:paraId="688E74CC">
        <w:tc>
          <w:tcPr>
            <w:tcW w:w="2160" w:type="dxa"/>
          </w:tcPr>
          <w:p w14:paraId="60135B5A">
            <w:pPr>
              <w:spacing w:after="0" w:line="240" w:lineRule="auto"/>
            </w:pPr>
            <w:r>
              <w:rPr>
                <w:sz w:val="16"/>
              </w:rPr>
              <w:t>11</w:t>
            </w:r>
          </w:p>
        </w:tc>
        <w:tc>
          <w:tcPr>
            <w:tcW w:w="2160" w:type="dxa"/>
          </w:tcPr>
          <w:p w14:paraId="29B26252">
            <w:pPr>
              <w:spacing w:after="0" w:line="240" w:lineRule="auto"/>
            </w:pPr>
            <w:r>
              <w:rPr>
                <w:sz w:val="16"/>
              </w:rPr>
              <w:t>Quantitative variables: explain how quantitative variables were handled in the analyses</w:t>
            </w:r>
          </w:p>
        </w:tc>
        <w:tc>
          <w:tcPr>
            <w:tcW w:w="2160" w:type="dxa"/>
          </w:tcPr>
          <w:p w14:paraId="232A4643">
            <w:pPr>
              <w:spacing w:after="0" w:line="240" w:lineRule="auto"/>
            </w:pPr>
            <w:r>
              <w:rPr>
                <w:sz w:val="16"/>
              </w:rPr>
              <w:t>Methods – Statistical Analysis</w:t>
            </w:r>
          </w:p>
        </w:tc>
        <w:tc>
          <w:tcPr>
            <w:tcW w:w="2160" w:type="dxa"/>
          </w:tcPr>
          <w:p w14:paraId="71C45A6E">
            <w:pPr>
              <w:spacing w:after="0" w:line="240" w:lineRule="auto"/>
            </w:pPr>
            <w:r>
              <w:rPr>
                <w:sz w:val="16"/>
              </w:rPr>
              <w:t>Continuous variables: median [IQR], per-SD increment; RCS with df=3 and reference at medians; display ranges truncated at 5th–95th percentiles</w:t>
            </w:r>
          </w:p>
        </w:tc>
      </w:tr>
      <w:tr w14:paraId="75146E9F">
        <w:tc>
          <w:tcPr>
            <w:tcW w:w="2160" w:type="dxa"/>
          </w:tcPr>
          <w:p w14:paraId="2966B0A6">
            <w:pPr>
              <w:spacing w:after="0" w:line="240" w:lineRule="auto"/>
            </w:pPr>
            <w:r>
              <w:rPr>
                <w:sz w:val="16"/>
              </w:rPr>
              <w:t>12</w:t>
            </w:r>
          </w:p>
        </w:tc>
        <w:tc>
          <w:tcPr>
            <w:tcW w:w="2160" w:type="dxa"/>
          </w:tcPr>
          <w:p w14:paraId="7D0DD994">
            <w:pPr>
              <w:spacing w:after="0" w:line="240" w:lineRule="auto"/>
            </w:pPr>
            <w:r>
              <w:rPr>
                <w:sz w:val="16"/>
              </w:rPr>
              <w:t>(a) Statistical methods: describe all statistical methods, including those used to control for confounding</w:t>
            </w:r>
          </w:p>
        </w:tc>
        <w:tc>
          <w:tcPr>
            <w:tcW w:w="2160" w:type="dxa"/>
          </w:tcPr>
          <w:p w14:paraId="00510923">
            <w:pPr>
              <w:spacing w:after="0" w:line="240" w:lineRule="auto"/>
            </w:pPr>
            <w:r>
              <w:rPr>
                <w:sz w:val="16"/>
              </w:rPr>
              <w:t>Methods – Statistical Analysis</w:t>
            </w:r>
          </w:p>
        </w:tc>
        <w:tc>
          <w:tcPr>
            <w:tcW w:w="2160" w:type="dxa"/>
          </w:tcPr>
          <w:p w14:paraId="0AB7F8E4">
            <w:pPr>
              <w:spacing w:after="0" w:line="240" w:lineRule="auto"/>
            </w:pPr>
            <w:r>
              <w:rPr>
                <w:sz w:val="16"/>
              </w:rPr>
              <w:t>Cox proportional hazards (Efron ties), 3-tier covariate models; Kruskal-Wallis test for between-group comparisons; χ² test for categorical variables</w:t>
            </w:r>
          </w:p>
        </w:tc>
      </w:tr>
      <w:tr w14:paraId="5C119003">
        <w:tc>
          <w:tcPr>
            <w:tcW w:w="2160" w:type="dxa"/>
          </w:tcPr>
          <w:p w14:paraId="5CC3E568">
            <w:pPr>
              <w:spacing w:after="0" w:line="240" w:lineRule="auto"/>
            </w:pPr>
          </w:p>
        </w:tc>
        <w:tc>
          <w:tcPr>
            <w:tcW w:w="2160" w:type="dxa"/>
          </w:tcPr>
          <w:p w14:paraId="04E1B9DA">
            <w:pPr>
              <w:spacing w:after="0" w:line="240" w:lineRule="auto"/>
            </w:pPr>
            <w:r>
              <w:rPr>
                <w:sz w:val="16"/>
              </w:rPr>
              <w:t>(b) Methods for subgroups and interactions</w:t>
            </w:r>
          </w:p>
        </w:tc>
        <w:tc>
          <w:tcPr>
            <w:tcW w:w="2160" w:type="dxa"/>
          </w:tcPr>
          <w:p w14:paraId="02BD2877">
            <w:pPr>
              <w:spacing w:after="0" w:line="240" w:lineRule="auto"/>
            </w:pPr>
            <w:r>
              <w:rPr>
                <w:sz w:val="16"/>
              </w:rPr>
              <w:t>Methods – Statistical Analysis, Supplementary Analyses</w:t>
            </w:r>
          </w:p>
        </w:tc>
        <w:tc>
          <w:tcPr>
            <w:tcW w:w="2160" w:type="dxa"/>
          </w:tcPr>
          <w:p w14:paraId="252C5C98">
            <w:pPr>
              <w:spacing w:after="0" w:line="240" w:lineRule="auto"/>
            </w:pPr>
            <w:r>
              <w:rPr>
                <w:sz w:val="16"/>
              </w:rPr>
              <w:t>Prespecified subgroups (age, sex, BMI, hypertension, diabetes/IFG, urban/rural); multiplicative interaction (Wald test for product term); additive interaction (RERI/AP/S with 2,000 bootstrap percentile CIs); RCS joint dose-response heatmap</w:t>
            </w:r>
          </w:p>
        </w:tc>
      </w:tr>
      <w:tr w14:paraId="0451D0EF">
        <w:tc>
          <w:tcPr>
            <w:tcW w:w="2160" w:type="dxa"/>
          </w:tcPr>
          <w:p w14:paraId="280B69DB">
            <w:pPr>
              <w:spacing w:after="0" w:line="240" w:lineRule="auto"/>
            </w:pPr>
          </w:p>
        </w:tc>
        <w:tc>
          <w:tcPr>
            <w:tcW w:w="2160" w:type="dxa"/>
          </w:tcPr>
          <w:p w14:paraId="41200FB8">
            <w:pPr>
              <w:spacing w:after="0" w:line="240" w:lineRule="auto"/>
            </w:pPr>
            <w:r>
              <w:rPr>
                <w:sz w:val="16"/>
              </w:rPr>
              <w:t>(c) Explain how missing data were addressed</w:t>
            </w:r>
          </w:p>
        </w:tc>
        <w:tc>
          <w:tcPr>
            <w:tcW w:w="2160" w:type="dxa"/>
          </w:tcPr>
          <w:p w14:paraId="42D21891">
            <w:pPr>
              <w:spacing w:after="0" w:line="240" w:lineRule="auto"/>
            </w:pPr>
            <w:r>
              <w:rPr>
                <w:sz w:val="16"/>
              </w:rPr>
              <w:t>Methods – Covariates</w:t>
            </w:r>
          </w:p>
        </w:tc>
        <w:tc>
          <w:tcPr>
            <w:tcW w:w="2160" w:type="dxa"/>
          </w:tcPr>
          <w:p w14:paraId="069B2992">
            <w:pPr>
              <w:spacing w:after="0" w:line="240" w:lineRule="auto"/>
            </w:pPr>
            <w:r>
              <w:rPr>
                <w:sz w:val="16"/>
              </w:rPr>
              <w:t>Complete-case analysis; smoking (≈54% missing) and alcohol (≈64% missing) excluded—their inclusion would halve the sample, with missingness potentially tied to exposure, introducing selection bias risk exceeding confounding control benefit</w:t>
            </w:r>
          </w:p>
        </w:tc>
      </w:tr>
      <w:tr w14:paraId="1DDC8769">
        <w:tc>
          <w:tcPr>
            <w:tcW w:w="2160" w:type="dxa"/>
          </w:tcPr>
          <w:p w14:paraId="503344D1">
            <w:pPr>
              <w:spacing w:after="0" w:line="240" w:lineRule="auto"/>
            </w:pPr>
          </w:p>
        </w:tc>
        <w:tc>
          <w:tcPr>
            <w:tcW w:w="2160" w:type="dxa"/>
          </w:tcPr>
          <w:p w14:paraId="11E98686">
            <w:pPr>
              <w:spacing w:after="0" w:line="240" w:lineRule="auto"/>
            </w:pPr>
            <w:r>
              <w:rPr>
                <w:sz w:val="16"/>
              </w:rPr>
              <w:t>(d) If applicable, explain how loss to follow-up was addressed</w:t>
            </w:r>
          </w:p>
        </w:tc>
        <w:tc>
          <w:tcPr>
            <w:tcW w:w="2160" w:type="dxa"/>
          </w:tcPr>
          <w:p w14:paraId="37E943E9">
            <w:pPr>
              <w:spacing w:after="0" w:line="240" w:lineRule="auto"/>
            </w:pPr>
            <w:r>
              <w:rPr>
                <w:sz w:val="16"/>
              </w:rPr>
              <w:t>Methods – Study Design and Population</w:t>
            </w:r>
          </w:p>
        </w:tc>
        <w:tc>
          <w:tcPr>
            <w:tcW w:w="2160" w:type="dxa"/>
          </w:tcPr>
          <w:p w14:paraId="1E625307">
            <w:pPr>
              <w:spacing w:after="0" w:line="240" w:lineRule="auto"/>
            </w:pPr>
            <w:r>
              <w:rPr>
                <w:sz w:val="16"/>
              </w:rPr>
              <w:t>Fixed 4-year interval design; all included participants had complete Wave 3 outcome data</w:t>
            </w:r>
          </w:p>
        </w:tc>
      </w:tr>
      <w:tr w14:paraId="6C5644C8">
        <w:tc>
          <w:tcPr>
            <w:tcW w:w="2160" w:type="dxa"/>
          </w:tcPr>
          <w:p w14:paraId="774223EE">
            <w:pPr>
              <w:spacing w:after="0" w:line="240" w:lineRule="auto"/>
            </w:pPr>
          </w:p>
        </w:tc>
        <w:tc>
          <w:tcPr>
            <w:tcW w:w="2160" w:type="dxa"/>
          </w:tcPr>
          <w:p w14:paraId="2145C166">
            <w:pPr>
              <w:spacing w:after="0" w:line="240" w:lineRule="auto"/>
            </w:pPr>
            <w:r>
              <w:rPr>
                <w:sz w:val="16"/>
              </w:rPr>
              <w:t>(e) Describe any sensitivity analyses</w:t>
            </w:r>
          </w:p>
        </w:tc>
        <w:tc>
          <w:tcPr>
            <w:tcW w:w="2160" w:type="dxa"/>
          </w:tcPr>
          <w:p w14:paraId="59CD7CF0">
            <w:pPr>
              <w:spacing w:after="0" w:line="240" w:lineRule="auto"/>
            </w:pPr>
            <w:r>
              <w:rPr>
                <w:sz w:val="16"/>
              </w:rPr>
              <w:t>Methods – Supplementary Analyses</w:t>
            </w:r>
          </w:p>
        </w:tc>
        <w:tc>
          <w:tcPr>
            <w:tcW w:w="2160" w:type="dxa"/>
          </w:tcPr>
          <w:p w14:paraId="26CB22BF">
            <w:pPr>
              <w:spacing w:after="0" w:line="240" w:lineRule="auto"/>
            </w:pPr>
            <w:r>
              <w:rPr>
                <w:sz w:val="16"/>
              </w:rPr>
              <w:t>WC replacing BMI in Model 3; E-value for unmeasured confounding</w:t>
            </w:r>
          </w:p>
        </w:tc>
      </w:tr>
      <w:tr w14:paraId="0188C9E8">
        <w:tc>
          <w:tcPr>
            <w:tcW w:w="2160" w:type="dxa"/>
          </w:tcPr>
          <w:p w14:paraId="78C9595C">
            <w:pPr>
              <w:spacing w:after="0" w:line="240" w:lineRule="auto"/>
            </w:pPr>
            <w:r>
              <w:rPr>
                <w:sz w:val="16"/>
              </w:rPr>
              <w:t>**Results**</w:t>
            </w:r>
          </w:p>
        </w:tc>
        <w:tc>
          <w:tcPr>
            <w:tcW w:w="2160" w:type="dxa"/>
          </w:tcPr>
          <w:p w14:paraId="4A949AD5">
            <w:pPr>
              <w:spacing w:after="0" w:line="240" w:lineRule="auto"/>
            </w:pPr>
          </w:p>
        </w:tc>
        <w:tc>
          <w:tcPr>
            <w:tcW w:w="2160" w:type="dxa"/>
          </w:tcPr>
          <w:p w14:paraId="4E0BA482">
            <w:pPr>
              <w:spacing w:after="0" w:line="240" w:lineRule="auto"/>
            </w:pPr>
          </w:p>
        </w:tc>
        <w:tc>
          <w:tcPr>
            <w:tcW w:w="2160" w:type="dxa"/>
          </w:tcPr>
          <w:p w14:paraId="318A5B86">
            <w:pPr>
              <w:spacing w:after="0" w:line="240" w:lineRule="auto"/>
            </w:pPr>
          </w:p>
        </w:tc>
      </w:tr>
      <w:tr w14:paraId="0460B192">
        <w:tc>
          <w:tcPr>
            <w:tcW w:w="2160" w:type="dxa"/>
          </w:tcPr>
          <w:p w14:paraId="68DC6C70">
            <w:pPr>
              <w:spacing w:after="0" w:line="240" w:lineRule="auto"/>
            </w:pPr>
            <w:r>
              <w:rPr>
                <w:sz w:val="16"/>
              </w:rPr>
              <w:t>13</w:t>
            </w:r>
          </w:p>
        </w:tc>
        <w:tc>
          <w:tcPr>
            <w:tcW w:w="2160" w:type="dxa"/>
          </w:tcPr>
          <w:p w14:paraId="5C951783">
            <w:pPr>
              <w:spacing w:after="0" w:line="240" w:lineRule="auto"/>
            </w:pPr>
            <w:r>
              <w:rPr>
                <w:sz w:val="16"/>
              </w:rPr>
              <w:t>(a) Report numbers of individuals at each stage of study</w:t>
            </w:r>
          </w:p>
        </w:tc>
        <w:tc>
          <w:tcPr>
            <w:tcW w:w="2160" w:type="dxa"/>
          </w:tcPr>
          <w:p w14:paraId="6910BAAE">
            <w:pPr>
              <w:spacing w:after="0" w:line="240" w:lineRule="auto"/>
            </w:pPr>
            <w:r>
              <w:rPr>
                <w:sz w:val="16"/>
              </w:rPr>
              <w:t>Results – Baseline Characteristics; Figure 1</w:t>
            </w:r>
          </w:p>
        </w:tc>
        <w:tc>
          <w:tcPr>
            <w:tcW w:w="2160" w:type="dxa"/>
          </w:tcPr>
          <w:p w14:paraId="5EACFE5E">
            <w:pPr>
              <w:spacing w:after="0" w:line="240" w:lineRule="auto"/>
            </w:pPr>
            <w:r>
              <w:rPr>
                <w:sz w:val="16"/>
              </w:rPr>
              <w:t>Flowchart: total → eligible → included (N = 3,550; 636 events)</w:t>
            </w:r>
          </w:p>
        </w:tc>
      </w:tr>
      <w:tr w14:paraId="6F3017F7">
        <w:tc>
          <w:tcPr>
            <w:tcW w:w="2160" w:type="dxa"/>
          </w:tcPr>
          <w:p w14:paraId="00FA3BC9">
            <w:pPr>
              <w:spacing w:after="0" w:line="240" w:lineRule="auto"/>
            </w:pPr>
          </w:p>
        </w:tc>
        <w:tc>
          <w:tcPr>
            <w:tcW w:w="2160" w:type="dxa"/>
          </w:tcPr>
          <w:p w14:paraId="64C21914">
            <w:pPr>
              <w:spacing w:after="0" w:line="240" w:lineRule="auto"/>
            </w:pPr>
            <w:r>
              <w:rPr>
                <w:sz w:val="16"/>
              </w:rPr>
              <w:t>(b) Give reasons for non-participation at each stage</w:t>
            </w:r>
          </w:p>
        </w:tc>
        <w:tc>
          <w:tcPr>
            <w:tcW w:w="2160" w:type="dxa"/>
          </w:tcPr>
          <w:p w14:paraId="75575E43">
            <w:pPr>
              <w:spacing w:after="0" w:line="240" w:lineRule="auto"/>
            </w:pPr>
            <w:r>
              <w:rPr>
                <w:sz w:val="16"/>
              </w:rPr>
              <w:t>Figure 1</w:t>
            </w:r>
          </w:p>
        </w:tc>
        <w:tc>
          <w:tcPr>
            <w:tcW w:w="2160" w:type="dxa"/>
          </w:tcPr>
          <w:p w14:paraId="417057BD">
            <w:pPr>
              <w:spacing w:after="0" w:line="240" w:lineRule="auto"/>
            </w:pPr>
            <w:r>
              <w:rPr>
                <w:sz w:val="16"/>
              </w:rPr>
              <w:t>Exclusion reasons listed in flowchart (baseline MetS, missing components, missing UA, missing covariates)</w:t>
            </w:r>
          </w:p>
        </w:tc>
      </w:tr>
      <w:tr w14:paraId="774DC708">
        <w:tc>
          <w:tcPr>
            <w:tcW w:w="2160" w:type="dxa"/>
          </w:tcPr>
          <w:p w14:paraId="539407FD">
            <w:pPr>
              <w:spacing w:after="0" w:line="240" w:lineRule="auto"/>
            </w:pPr>
          </w:p>
        </w:tc>
        <w:tc>
          <w:tcPr>
            <w:tcW w:w="2160" w:type="dxa"/>
          </w:tcPr>
          <w:p w14:paraId="01784452">
            <w:pPr>
              <w:spacing w:after="0" w:line="240" w:lineRule="auto"/>
            </w:pPr>
            <w:r>
              <w:rPr>
                <w:sz w:val="16"/>
              </w:rPr>
              <w:t>(c) Consider use of a flow diagram</w:t>
            </w:r>
          </w:p>
        </w:tc>
        <w:tc>
          <w:tcPr>
            <w:tcW w:w="2160" w:type="dxa"/>
          </w:tcPr>
          <w:p w14:paraId="2DE8986B">
            <w:pPr>
              <w:spacing w:after="0" w:line="240" w:lineRule="auto"/>
            </w:pPr>
            <w:r>
              <w:rPr>
                <w:sz w:val="16"/>
              </w:rPr>
              <w:t>Figure 1</w:t>
            </w:r>
          </w:p>
        </w:tc>
        <w:tc>
          <w:tcPr>
            <w:tcW w:w="2160" w:type="dxa"/>
          </w:tcPr>
          <w:p w14:paraId="07CA2507">
            <w:pPr>
              <w:spacing w:after="0" w:line="240" w:lineRule="auto"/>
            </w:pPr>
            <w:r>
              <w:rPr>
                <w:sz w:val="16"/>
              </w:rPr>
              <w:t>Study flowchart included (Figure 1)</w:t>
            </w:r>
          </w:p>
        </w:tc>
      </w:tr>
      <w:tr w14:paraId="228DB9BF">
        <w:tc>
          <w:tcPr>
            <w:tcW w:w="2160" w:type="dxa"/>
          </w:tcPr>
          <w:p w14:paraId="6CAD934C">
            <w:pPr>
              <w:spacing w:after="0" w:line="240" w:lineRule="auto"/>
            </w:pPr>
            <w:r>
              <w:rPr>
                <w:sz w:val="16"/>
              </w:rPr>
              <w:t>14</w:t>
            </w:r>
          </w:p>
        </w:tc>
        <w:tc>
          <w:tcPr>
            <w:tcW w:w="2160" w:type="dxa"/>
          </w:tcPr>
          <w:p w14:paraId="2DA833F8">
            <w:pPr>
              <w:spacing w:after="0" w:line="240" w:lineRule="auto"/>
            </w:pPr>
            <w:r>
              <w:rPr>
                <w:sz w:val="16"/>
              </w:rPr>
              <w:t>(a) Give characteristics of study participants</w:t>
            </w:r>
          </w:p>
        </w:tc>
        <w:tc>
          <w:tcPr>
            <w:tcW w:w="2160" w:type="dxa"/>
          </w:tcPr>
          <w:p w14:paraId="53CC67B1">
            <w:pPr>
              <w:spacing w:after="0" w:line="240" w:lineRule="auto"/>
            </w:pPr>
            <w:r>
              <w:rPr>
                <w:sz w:val="16"/>
              </w:rPr>
              <w:t>Results – Baseline Characteristics; Table 1</w:t>
            </w:r>
          </w:p>
        </w:tc>
        <w:tc>
          <w:tcPr>
            <w:tcW w:w="2160" w:type="dxa"/>
          </w:tcPr>
          <w:p w14:paraId="2B842FA1">
            <w:pPr>
              <w:spacing w:after="0" w:line="240" w:lineRule="auto"/>
            </w:pPr>
            <w:r>
              <w:rPr>
                <w:sz w:val="16"/>
              </w:rPr>
              <w:t>Demographics, anthropometrics, blood pressure, laboratory parameters, exposure indices, baseline MetS components (by four-group cross-classification)</w:t>
            </w:r>
          </w:p>
        </w:tc>
      </w:tr>
      <w:tr w14:paraId="5BEE9997">
        <w:tc>
          <w:tcPr>
            <w:tcW w:w="2160" w:type="dxa"/>
          </w:tcPr>
          <w:p w14:paraId="44D492C7">
            <w:pPr>
              <w:spacing w:after="0" w:line="240" w:lineRule="auto"/>
            </w:pPr>
          </w:p>
        </w:tc>
        <w:tc>
          <w:tcPr>
            <w:tcW w:w="2160" w:type="dxa"/>
          </w:tcPr>
          <w:p w14:paraId="1521F4C7">
            <w:pPr>
              <w:spacing w:after="0" w:line="240" w:lineRule="auto"/>
            </w:pPr>
            <w:r>
              <w:rPr>
                <w:sz w:val="16"/>
              </w:rPr>
              <w:t>(b) Indicate number of participants with missing data for each variable</w:t>
            </w:r>
          </w:p>
        </w:tc>
        <w:tc>
          <w:tcPr>
            <w:tcW w:w="2160" w:type="dxa"/>
          </w:tcPr>
          <w:p w14:paraId="659A951A">
            <w:pPr>
              <w:spacing w:after="0" w:line="240" w:lineRule="auto"/>
            </w:pPr>
            <w:r>
              <w:rPr>
                <w:sz w:val="16"/>
              </w:rPr>
              <w:t>Table 1 footnote</w:t>
            </w:r>
          </w:p>
        </w:tc>
        <w:tc>
          <w:tcPr>
            <w:tcW w:w="2160" w:type="dxa"/>
          </w:tcPr>
          <w:p w14:paraId="0F821325">
            <w:pPr>
              <w:spacing w:after="0" w:line="240" w:lineRule="auto"/>
            </w:pPr>
            <w:r>
              <w:rPr>
                <w:sz w:val="16"/>
              </w:rPr>
              <w:t>Smoking (53% missing; N available = 1,654), drinking (62% missing; N available = 1,328)</w:t>
            </w:r>
          </w:p>
        </w:tc>
      </w:tr>
      <w:tr w14:paraId="0C15CE2A">
        <w:tc>
          <w:tcPr>
            <w:tcW w:w="2160" w:type="dxa"/>
          </w:tcPr>
          <w:p w14:paraId="658499FB">
            <w:pPr>
              <w:spacing w:after="0" w:line="240" w:lineRule="auto"/>
            </w:pPr>
          </w:p>
        </w:tc>
        <w:tc>
          <w:tcPr>
            <w:tcW w:w="2160" w:type="dxa"/>
          </w:tcPr>
          <w:p w14:paraId="3725522A">
            <w:pPr>
              <w:spacing w:after="0" w:line="240" w:lineRule="auto"/>
            </w:pPr>
            <w:r>
              <w:rPr>
                <w:sz w:val="16"/>
              </w:rPr>
              <w:t>(c) Summarise follow-up time</w:t>
            </w:r>
          </w:p>
        </w:tc>
        <w:tc>
          <w:tcPr>
            <w:tcW w:w="2160" w:type="dxa"/>
          </w:tcPr>
          <w:p w14:paraId="6ADD91D6">
            <w:pPr>
              <w:spacing w:after="0" w:line="240" w:lineRule="auto"/>
            </w:pPr>
            <w:r>
              <w:rPr>
                <w:sz w:val="16"/>
              </w:rPr>
              <w:t>Table 1 – Outcomes</w:t>
            </w:r>
          </w:p>
        </w:tc>
        <w:tc>
          <w:tcPr>
            <w:tcW w:w="2160" w:type="dxa"/>
          </w:tcPr>
          <w:p w14:paraId="0342FEF4">
            <w:pPr>
              <w:spacing w:after="0" w:line="240" w:lineRule="auto"/>
            </w:pPr>
            <w:r>
              <w:rPr>
                <w:sz w:val="16"/>
              </w:rPr>
              <w:t>4.0 years (fixed interval)</w:t>
            </w:r>
          </w:p>
        </w:tc>
      </w:tr>
      <w:tr w14:paraId="62699F79">
        <w:tc>
          <w:tcPr>
            <w:tcW w:w="2160" w:type="dxa"/>
          </w:tcPr>
          <w:p w14:paraId="6FAB685F">
            <w:pPr>
              <w:spacing w:after="0" w:line="240" w:lineRule="auto"/>
            </w:pPr>
            <w:r>
              <w:rPr>
                <w:sz w:val="16"/>
              </w:rPr>
              <w:t>15</w:t>
            </w:r>
          </w:p>
        </w:tc>
        <w:tc>
          <w:tcPr>
            <w:tcW w:w="2160" w:type="dxa"/>
          </w:tcPr>
          <w:p w14:paraId="62914738">
            <w:pPr>
              <w:spacing w:after="0" w:line="240" w:lineRule="auto"/>
            </w:pPr>
            <w:r>
              <w:rPr>
                <w:sz w:val="16"/>
              </w:rPr>
              <w:t>Outcome data: report numbers of outcome events or summary measures over time</w:t>
            </w:r>
          </w:p>
        </w:tc>
        <w:tc>
          <w:tcPr>
            <w:tcW w:w="2160" w:type="dxa"/>
          </w:tcPr>
          <w:p w14:paraId="02B8AFA6">
            <w:pPr>
              <w:spacing w:after="0" w:line="240" w:lineRule="auto"/>
            </w:pPr>
            <w:r>
              <w:rPr>
                <w:sz w:val="16"/>
              </w:rPr>
              <w:t>Results – Baseline Characteristics; Table 1</w:t>
            </w:r>
          </w:p>
        </w:tc>
        <w:tc>
          <w:tcPr>
            <w:tcW w:w="2160" w:type="dxa"/>
          </w:tcPr>
          <w:p w14:paraId="4FD9B389">
            <w:pPr>
              <w:spacing w:after="0" w:line="240" w:lineRule="auto"/>
            </w:pPr>
            <w:r>
              <w:rPr>
                <w:sz w:val="16"/>
              </w:rPr>
              <w:t>636 incident MetS (17.9%); cumulative incidence: 11.7% / 11.3% / 23.6% / 24.7% across the four groups</w:t>
            </w:r>
          </w:p>
        </w:tc>
      </w:tr>
      <w:tr w14:paraId="26AEB51B">
        <w:tc>
          <w:tcPr>
            <w:tcW w:w="2160" w:type="dxa"/>
          </w:tcPr>
          <w:p w14:paraId="4B73E385">
            <w:pPr>
              <w:spacing w:after="0" w:line="240" w:lineRule="auto"/>
            </w:pPr>
            <w:r>
              <w:rPr>
                <w:sz w:val="16"/>
              </w:rPr>
              <w:t>16</w:t>
            </w:r>
          </w:p>
        </w:tc>
        <w:tc>
          <w:tcPr>
            <w:tcW w:w="2160" w:type="dxa"/>
          </w:tcPr>
          <w:p w14:paraId="5AF7485F">
            <w:pPr>
              <w:spacing w:after="0" w:line="240" w:lineRule="auto"/>
            </w:pPr>
            <w:r>
              <w:rPr>
                <w:sz w:val="16"/>
              </w:rPr>
              <w:t>(a) Give unadjusted estimates and, if applicable, confounder-adjusted estimates and their precision</w:t>
            </w:r>
          </w:p>
        </w:tc>
        <w:tc>
          <w:tcPr>
            <w:tcW w:w="2160" w:type="dxa"/>
          </w:tcPr>
          <w:p w14:paraId="26691388">
            <w:pPr>
              <w:spacing w:after="0" w:line="240" w:lineRule="auto"/>
            </w:pPr>
            <w:r>
              <w:rPr>
                <w:sz w:val="16"/>
              </w:rPr>
              <w:t>Results – UHR and TyG and New-Onset MetS; Table 2</w:t>
            </w:r>
          </w:p>
        </w:tc>
        <w:tc>
          <w:tcPr>
            <w:tcW w:w="2160" w:type="dxa"/>
          </w:tcPr>
          <w:p w14:paraId="5D85660D">
            <w:pPr>
              <w:spacing w:after="0" w:line="240" w:lineRule="auto"/>
            </w:pPr>
            <w:r>
              <w:rPr>
                <w:sz w:val="16"/>
              </w:rPr>
              <w:t>Model 1 (unadjusted), Model 2 (+age, sex), Model 3 (fully adjusted) with 95% CIs; P for trend</w:t>
            </w:r>
          </w:p>
        </w:tc>
      </w:tr>
      <w:tr w14:paraId="77C2B7C5">
        <w:tc>
          <w:tcPr>
            <w:tcW w:w="2160" w:type="dxa"/>
          </w:tcPr>
          <w:p w14:paraId="2A3B627E">
            <w:pPr>
              <w:spacing w:after="0" w:line="240" w:lineRule="auto"/>
            </w:pPr>
          </w:p>
        </w:tc>
        <w:tc>
          <w:tcPr>
            <w:tcW w:w="2160" w:type="dxa"/>
          </w:tcPr>
          <w:p w14:paraId="6101D43A">
            <w:pPr>
              <w:spacing w:after="0" w:line="240" w:lineRule="auto"/>
            </w:pPr>
            <w:r>
              <w:rPr>
                <w:sz w:val="16"/>
              </w:rPr>
              <w:t>(b) Report category boundaries when continuous variables were categorized</w:t>
            </w:r>
          </w:p>
        </w:tc>
        <w:tc>
          <w:tcPr>
            <w:tcW w:w="2160" w:type="dxa"/>
          </w:tcPr>
          <w:p w14:paraId="7C3932F9">
            <w:pPr>
              <w:spacing w:after="0" w:line="240" w:lineRule="auto"/>
            </w:pPr>
            <w:r>
              <w:rPr>
                <w:sz w:val="16"/>
              </w:rPr>
              <w:t>Methods – Exposure Assessment</w:t>
            </w:r>
          </w:p>
        </w:tc>
        <w:tc>
          <w:tcPr>
            <w:tcW w:w="2160" w:type="dxa"/>
          </w:tcPr>
          <w:p w14:paraId="7BAAB25E">
            <w:pPr>
              <w:spacing w:after="0" w:line="240" w:lineRule="auto"/>
            </w:pPr>
            <w:r>
              <w:rPr>
                <w:sz w:val="16"/>
              </w:rPr>
              <w:t>Overall median split: UHR = 0.075, TyG = 0.997</w:t>
            </w:r>
          </w:p>
        </w:tc>
      </w:tr>
      <w:tr w14:paraId="71C12781">
        <w:tc>
          <w:tcPr>
            <w:tcW w:w="2160" w:type="dxa"/>
          </w:tcPr>
          <w:p w14:paraId="7DB520DF">
            <w:pPr>
              <w:spacing w:after="0" w:line="240" w:lineRule="auto"/>
            </w:pPr>
          </w:p>
        </w:tc>
        <w:tc>
          <w:tcPr>
            <w:tcW w:w="2160" w:type="dxa"/>
          </w:tcPr>
          <w:p w14:paraId="01329525">
            <w:pPr>
              <w:spacing w:after="0" w:line="240" w:lineRule="auto"/>
            </w:pPr>
            <w:r>
              <w:rPr>
                <w:sz w:val="16"/>
              </w:rPr>
              <w:t>(c) If relevant, consider translating estimates of relative risk into absolute risk for a meaningful time period</w:t>
            </w:r>
          </w:p>
        </w:tc>
        <w:tc>
          <w:tcPr>
            <w:tcW w:w="2160" w:type="dxa"/>
          </w:tcPr>
          <w:p w14:paraId="00915479">
            <w:pPr>
              <w:spacing w:after="0" w:line="240" w:lineRule="auto"/>
            </w:pPr>
            <w:r>
              <w:rPr>
                <w:sz w:val="16"/>
              </w:rPr>
              <w:t>Results – Baseline Characteristics</w:t>
            </w:r>
          </w:p>
        </w:tc>
        <w:tc>
          <w:tcPr>
            <w:tcW w:w="2160" w:type="dxa"/>
          </w:tcPr>
          <w:p w14:paraId="4F0CC69B">
            <w:pPr>
              <w:spacing w:after="0" w:line="240" w:lineRule="auto"/>
            </w:pPr>
            <w:r>
              <w:rPr>
                <w:sz w:val="16"/>
              </w:rPr>
              <w:t>4-year cumulative incidence per group (11.7%–24.7%)</w:t>
            </w:r>
          </w:p>
        </w:tc>
      </w:tr>
      <w:tr w14:paraId="5194A409">
        <w:tc>
          <w:tcPr>
            <w:tcW w:w="2160" w:type="dxa"/>
          </w:tcPr>
          <w:p w14:paraId="24C438C4">
            <w:pPr>
              <w:spacing w:after="0" w:line="240" w:lineRule="auto"/>
            </w:pPr>
            <w:r>
              <w:rPr>
                <w:sz w:val="16"/>
              </w:rPr>
              <w:t>17</w:t>
            </w:r>
          </w:p>
        </w:tc>
        <w:tc>
          <w:tcPr>
            <w:tcW w:w="2160" w:type="dxa"/>
          </w:tcPr>
          <w:p w14:paraId="17D7A1AA">
            <w:pPr>
              <w:spacing w:after="0" w:line="240" w:lineRule="auto"/>
            </w:pPr>
            <w:r>
              <w:rPr>
                <w:sz w:val="16"/>
              </w:rPr>
              <w:t>Other analyses done: report other analyses done</w:t>
            </w:r>
          </w:p>
        </w:tc>
        <w:tc>
          <w:tcPr>
            <w:tcW w:w="2160" w:type="dxa"/>
          </w:tcPr>
          <w:p w14:paraId="488AA5DA">
            <w:pPr>
              <w:spacing w:after="0" w:line="240" w:lineRule="auto"/>
            </w:pPr>
            <w:r>
              <w:rPr>
                <w:sz w:val="16"/>
              </w:rPr>
              <w:t>Results</w:t>
            </w:r>
          </w:p>
        </w:tc>
        <w:tc>
          <w:tcPr>
            <w:tcW w:w="2160" w:type="dxa"/>
          </w:tcPr>
          <w:p w14:paraId="35847295">
            <w:pPr>
              <w:spacing w:after="0" w:line="240" w:lineRule="auto"/>
            </w:pPr>
            <w:r>
              <w:t>multiplicative interaction (per-SD product P = 0.72; four-group categorical P = 0.57); additive interaction (RERI = 0.692, 95% CI 0.008–1.479; AP = 0.215; SI = 1.454); RCS dose-response (UHR non-linearity P = 0.209; TyG non-linearity P &lt; 0.001); subgroup forest plot (all subgroup interaction P &gt; 0.05 (no sex interaction)); C-statistic (0.743); E-value (4.55/3.63); WC sensitivity analysis (aOR = 2.74)</w:t>
            </w:r>
          </w:p>
        </w:tc>
      </w:tr>
      <w:tr w14:paraId="3497EB3E">
        <w:tc>
          <w:tcPr>
            <w:tcW w:w="2160" w:type="dxa"/>
          </w:tcPr>
          <w:p w14:paraId="3433F064">
            <w:pPr>
              <w:spacing w:after="0" w:line="240" w:lineRule="auto"/>
            </w:pPr>
            <w:r>
              <w:rPr>
                <w:sz w:val="16"/>
              </w:rPr>
              <w:t>**Discussion**</w:t>
            </w:r>
          </w:p>
        </w:tc>
        <w:tc>
          <w:tcPr>
            <w:tcW w:w="2160" w:type="dxa"/>
          </w:tcPr>
          <w:p w14:paraId="6497EB6E">
            <w:pPr>
              <w:spacing w:after="0" w:line="240" w:lineRule="auto"/>
            </w:pPr>
          </w:p>
        </w:tc>
        <w:tc>
          <w:tcPr>
            <w:tcW w:w="2160" w:type="dxa"/>
          </w:tcPr>
          <w:p w14:paraId="7F9EA344">
            <w:pPr>
              <w:spacing w:after="0" w:line="240" w:lineRule="auto"/>
            </w:pPr>
          </w:p>
        </w:tc>
        <w:tc>
          <w:tcPr>
            <w:tcW w:w="2160" w:type="dxa"/>
          </w:tcPr>
          <w:p w14:paraId="0C903643">
            <w:pPr>
              <w:spacing w:after="0" w:line="240" w:lineRule="auto"/>
            </w:pPr>
          </w:p>
        </w:tc>
      </w:tr>
      <w:tr w14:paraId="4060E464">
        <w:tc>
          <w:tcPr>
            <w:tcW w:w="2160" w:type="dxa"/>
          </w:tcPr>
          <w:p w14:paraId="7CF0CC60">
            <w:pPr>
              <w:spacing w:after="0" w:line="240" w:lineRule="auto"/>
            </w:pPr>
            <w:r>
              <w:rPr>
                <w:sz w:val="16"/>
              </w:rPr>
              <w:t>18</w:t>
            </w:r>
          </w:p>
        </w:tc>
        <w:tc>
          <w:tcPr>
            <w:tcW w:w="2160" w:type="dxa"/>
          </w:tcPr>
          <w:p w14:paraId="5CC0BD79">
            <w:pPr>
              <w:spacing w:after="0" w:line="240" w:lineRule="auto"/>
            </w:pPr>
            <w:r>
              <w:rPr>
                <w:sz w:val="16"/>
              </w:rPr>
              <w:t>Key results: summarise key results with reference to study objectives</w:t>
            </w:r>
          </w:p>
        </w:tc>
        <w:tc>
          <w:tcPr>
            <w:tcW w:w="2160" w:type="dxa"/>
          </w:tcPr>
          <w:p w14:paraId="2D261071">
            <w:pPr>
              <w:spacing w:after="0" w:line="240" w:lineRule="auto"/>
            </w:pPr>
            <w:r>
              <w:rPr>
                <w:sz w:val="16"/>
              </w:rPr>
              <w:t>Discussion – Main Findings</w:t>
            </w:r>
          </w:p>
        </w:tc>
        <w:tc>
          <w:tcPr>
            <w:tcW w:w="2160" w:type="dxa"/>
          </w:tcPr>
          <w:p w14:paraId="09DFCC08">
            <w:pPr>
              <w:spacing w:after="0" w:line="240" w:lineRule="auto"/>
            </w:pPr>
            <w:r>
              <w:rPr>
                <w:sz w:val="16"/>
              </w:rPr>
              <w:t>Four findings enumerated: joint aOR = 3.22, TyG &gt; UHR dominance, additive pattern (RERI non-significant), sex interaction</w:t>
            </w:r>
          </w:p>
        </w:tc>
      </w:tr>
      <w:tr w14:paraId="546891B8">
        <w:tc>
          <w:tcPr>
            <w:tcW w:w="2160" w:type="dxa"/>
          </w:tcPr>
          <w:p w14:paraId="29077062">
            <w:pPr>
              <w:spacing w:after="0" w:line="240" w:lineRule="auto"/>
            </w:pPr>
            <w:r>
              <w:rPr>
                <w:sz w:val="16"/>
              </w:rPr>
              <w:t>19</w:t>
            </w:r>
          </w:p>
        </w:tc>
        <w:tc>
          <w:tcPr>
            <w:tcW w:w="2160" w:type="dxa"/>
          </w:tcPr>
          <w:p w14:paraId="5750F3B7">
            <w:pPr>
              <w:spacing w:after="0" w:line="240" w:lineRule="auto"/>
            </w:pPr>
            <w:r>
              <w:rPr>
                <w:sz w:val="16"/>
              </w:rPr>
              <w:t>Limitations: discuss limitations of the study, taking into account sources of potential bias or imprecision</w:t>
            </w:r>
          </w:p>
        </w:tc>
        <w:tc>
          <w:tcPr>
            <w:tcW w:w="2160" w:type="dxa"/>
          </w:tcPr>
          <w:p w14:paraId="4059B88D">
            <w:pPr>
              <w:spacing w:after="0" w:line="240" w:lineRule="auto"/>
            </w:pPr>
            <w:r>
              <w:rPr>
                <w:sz w:val="16"/>
              </w:rPr>
              <w:t>Discussion – Study Limitations</w:t>
            </w:r>
          </w:p>
        </w:tc>
        <w:tc>
          <w:tcPr>
            <w:tcW w:w="2160" w:type="dxa"/>
          </w:tcPr>
          <w:p w14:paraId="67F14BA6">
            <w:pPr>
              <w:spacing w:after="0" w:line="240" w:lineRule="auto"/>
            </w:pPr>
            <w:r>
              <w:rPr>
                <w:sz w:val="16"/>
              </w:rPr>
              <w:t>Six limitations: (1) fixed 4-year follow-up with single baseline exposure; (2) smoking/drinking excluded (54%–64% missing); (3) limited to Chinese adults ≥45 years, and UHR definition (UA/HDL-C) differs from prior UA/creatinine ratio; (4) exploratory subgroups; (5) RERI non-significant—limited power (N = 3,550, 636 events); (6) component overlap between UHR/TyG and MetS diagnostic criteria</w:t>
            </w:r>
          </w:p>
        </w:tc>
      </w:tr>
      <w:tr w14:paraId="32F6382C">
        <w:tc>
          <w:tcPr>
            <w:tcW w:w="2160" w:type="dxa"/>
          </w:tcPr>
          <w:p w14:paraId="78B236A8">
            <w:pPr>
              <w:spacing w:after="0" w:line="240" w:lineRule="auto"/>
            </w:pPr>
            <w:r>
              <w:rPr>
                <w:sz w:val="16"/>
              </w:rPr>
              <w:t>20</w:t>
            </w:r>
          </w:p>
        </w:tc>
        <w:tc>
          <w:tcPr>
            <w:tcW w:w="2160" w:type="dxa"/>
          </w:tcPr>
          <w:p w14:paraId="0CB8DED5">
            <w:pPr>
              <w:spacing w:after="0" w:line="240" w:lineRule="auto"/>
            </w:pPr>
            <w:r>
              <w:rPr>
                <w:sz w:val="16"/>
              </w:rPr>
              <w:t>Interpretation: 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160" w:type="dxa"/>
          </w:tcPr>
          <w:p w14:paraId="5DC6E94C">
            <w:pPr>
              <w:spacing w:after="0" w:line="240" w:lineRule="auto"/>
            </w:pPr>
            <w:r>
              <w:rPr>
                <w:sz w:val="16"/>
              </w:rPr>
              <w:t>Discussion – Main Findings, Dual-Pathway Joint Effects, Clinical Implications</w:t>
            </w:r>
          </w:p>
        </w:tc>
        <w:tc>
          <w:tcPr>
            <w:tcW w:w="2160" w:type="dxa"/>
          </w:tcPr>
          <w:p w14:paraId="429F5BF7">
            <w:pPr>
              <w:spacing w:after="0" w:line="240" w:lineRule="auto"/>
            </w:pPr>
            <w:r>
              <w:rPr>
                <w:sz w:val="16"/>
              </w:rPr>
              <w:t>Conservative interpretation: additive rather than supra-additive pattern; dual assessment retains clinical value (24.7% incidence in high-risk group) regardless of interaction significance; compared with prior single-pathway studies</w:t>
            </w:r>
          </w:p>
        </w:tc>
      </w:tr>
      <w:tr w14:paraId="2788E990">
        <w:tc>
          <w:tcPr>
            <w:tcW w:w="2160" w:type="dxa"/>
          </w:tcPr>
          <w:p w14:paraId="00A301BC">
            <w:pPr>
              <w:spacing w:after="0" w:line="240" w:lineRule="auto"/>
            </w:pPr>
            <w:r>
              <w:rPr>
                <w:sz w:val="16"/>
              </w:rPr>
              <w:t>21</w:t>
            </w:r>
          </w:p>
        </w:tc>
        <w:tc>
          <w:tcPr>
            <w:tcW w:w="2160" w:type="dxa"/>
          </w:tcPr>
          <w:p w14:paraId="25FB4330">
            <w:pPr>
              <w:spacing w:after="0" w:line="240" w:lineRule="auto"/>
            </w:pPr>
            <w:r>
              <w:rPr>
                <w:sz w:val="16"/>
              </w:rPr>
              <w:t>Generalisability: discuss the generalisability (external validity) of the study results</w:t>
            </w:r>
          </w:p>
        </w:tc>
        <w:tc>
          <w:tcPr>
            <w:tcW w:w="2160" w:type="dxa"/>
          </w:tcPr>
          <w:p w14:paraId="2360B9A8">
            <w:pPr>
              <w:spacing w:after="0" w:line="240" w:lineRule="auto"/>
            </w:pPr>
            <w:r>
              <w:rPr>
                <w:sz w:val="16"/>
              </w:rPr>
              <w:t>Discussion – Study Limitations</w:t>
            </w:r>
          </w:p>
        </w:tc>
        <w:tc>
          <w:tcPr>
            <w:tcW w:w="2160" w:type="dxa"/>
          </w:tcPr>
          <w:p w14:paraId="328CCA51">
            <w:pPr>
              <w:spacing w:after="0" w:line="240" w:lineRule="auto"/>
            </w:pPr>
            <w:r>
              <w:rPr>
                <w:sz w:val="16"/>
              </w:rPr>
              <w:t>Limited to Chinese adults ≥45 years; requires validation in younger and multi-ethnic cohorts</w:t>
            </w:r>
          </w:p>
        </w:tc>
      </w:tr>
      <w:tr w14:paraId="3D857273">
        <w:tc>
          <w:tcPr>
            <w:tcW w:w="2160" w:type="dxa"/>
          </w:tcPr>
          <w:p w14:paraId="4CDB0A1C">
            <w:pPr>
              <w:spacing w:after="0" w:line="240" w:lineRule="auto"/>
            </w:pPr>
            <w:r>
              <w:rPr>
                <w:sz w:val="16"/>
              </w:rPr>
              <w:t>**Other information**</w:t>
            </w:r>
          </w:p>
        </w:tc>
        <w:tc>
          <w:tcPr>
            <w:tcW w:w="2160" w:type="dxa"/>
          </w:tcPr>
          <w:p w14:paraId="0C9D7DE4">
            <w:pPr>
              <w:spacing w:after="0" w:line="240" w:lineRule="auto"/>
            </w:pPr>
          </w:p>
        </w:tc>
        <w:tc>
          <w:tcPr>
            <w:tcW w:w="2160" w:type="dxa"/>
          </w:tcPr>
          <w:p w14:paraId="014BC03C">
            <w:pPr>
              <w:spacing w:after="0" w:line="240" w:lineRule="auto"/>
            </w:pPr>
          </w:p>
        </w:tc>
        <w:tc>
          <w:tcPr>
            <w:tcW w:w="2160" w:type="dxa"/>
          </w:tcPr>
          <w:p w14:paraId="4562FACC">
            <w:pPr>
              <w:spacing w:after="0" w:line="240" w:lineRule="auto"/>
            </w:pPr>
          </w:p>
        </w:tc>
      </w:tr>
      <w:tr w14:paraId="357C3AA7">
        <w:tc>
          <w:tcPr>
            <w:tcW w:w="2160" w:type="dxa"/>
          </w:tcPr>
          <w:p w14:paraId="162E9AB6">
            <w:pPr>
              <w:spacing w:after="0" w:line="240" w:lineRule="auto"/>
            </w:pPr>
            <w:r>
              <w:rPr>
                <w:sz w:val="16"/>
              </w:rPr>
              <w:t>22</w:t>
            </w:r>
          </w:p>
        </w:tc>
        <w:tc>
          <w:tcPr>
            <w:tcW w:w="2160" w:type="dxa"/>
          </w:tcPr>
          <w:p w14:paraId="5FA784BA">
            <w:pPr>
              <w:spacing w:after="0" w:line="240" w:lineRule="auto"/>
            </w:pPr>
            <w:r>
              <w:rPr>
                <w:sz w:val="16"/>
              </w:rPr>
              <w:t>Funding: give the source of funding and the role of the funders for the present study</w:t>
            </w:r>
          </w:p>
        </w:tc>
        <w:tc>
          <w:tcPr>
            <w:tcW w:w="2160" w:type="dxa"/>
          </w:tcPr>
          <w:p w14:paraId="3EEC4E91">
            <w:pPr>
              <w:spacing w:after="0" w:line="240" w:lineRule="auto"/>
            </w:pPr>
            <w:r>
              <w:t>Declarations – Funding</w:t>
            </w:r>
          </w:p>
        </w:tc>
        <w:tc>
          <w:tcPr>
            <w:tcW w:w="2160" w:type="dxa"/>
          </w:tcPr>
          <w:p w14:paraId="27402643">
            <w:pPr>
              <w:spacing w:after="0" w:line="240" w:lineRule="auto"/>
            </w:pPr>
            <w:r>
              <w:t>Funding sources are declared in the manuscript's Declarations – Funding section; specific funder name and grant number to be completed by the authors prior to submission.</w:t>
            </w:r>
          </w:p>
        </w:tc>
      </w:tr>
      <w:tr w14:paraId="44C20B85">
        <w:tc>
          <w:tcPr>
            <w:tcW w:w="2160" w:type="dxa"/>
          </w:tcPr>
          <w:p w14:paraId="65C4DAB8">
            <w:pPr>
              <w:spacing w:after="0" w:line="240" w:lineRule="auto"/>
            </w:pPr>
            <w:r>
              <w:rPr>
                <w:sz w:val="16"/>
              </w:rPr>
              <w:t>Status</w:t>
            </w:r>
          </w:p>
        </w:tc>
        <w:tc>
          <w:tcPr>
            <w:tcW w:w="2160" w:type="dxa"/>
          </w:tcPr>
          <w:p w14:paraId="1434ED6E">
            <w:pPr>
              <w:spacing w:after="0" w:line="240" w:lineRule="auto"/>
            </w:pPr>
            <w:r>
              <w:rPr>
                <w:sz w:val="16"/>
              </w:rPr>
              <w:t>Items</w:t>
            </w:r>
          </w:p>
        </w:tc>
        <w:tc>
          <w:tcPr>
            <w:tcW w:w="2160" w:type="dxa"/>
          </w:tcPr>
          <w:p w14:paraId="2C6490BF">
            <w:pPr>
              <w:spacing w:after="0" w:line="240" w:lineRule="auto"/>
            </w:pPr>
          </w:p>
        </w:tc>
        <w:tc>
          <w:tcPr>
            <w:tcW w:w="2160" w:type="dxa"/>
          </w:tcPr>
          <w:p w14:paraId="05BA873A">
            <w:pPr>
              <w:spacing w:after="0" w:line="240" w:lineRule="auto"/>
            </w:pPr>
          </w:p>
        </w:tc>
      </w:tr>
      <w:tr w14:paraId="2AE82A86">
        <w:tc>
          <w:tcPr>
            <w:tcW w:w="2160" w:type="dxa"/>
          </w:tcPr>
          <w:p w14:paraId="64100A22">
            <w:pPr>
              <w:spacing w:after="0" w:line="240" w:lineRule="auto"/>
            </w:pPr>
            <w:r>
              <w:rPr>
                <w:sz w:val="16"/>
              </w:rPr>
              <w:t>Fully reported</w:t>
            </w:r>
          </w:p>
        </w:tc>
        <w:tc>
          <w:tcPr>
            <w:tcW w:w="2160" w:type="dxa"/>
          </w:tcPr>
          <w:p w14:paraId="25E6F5C5">
            <w:pPr>
              <w:spacing w:after="0" w:line="240" w:lineRule="auto"/>
            </w:pPr>
            <w:r>
              <w:rPr>
                <w:sz w:val="16"/>
              </w:rPr>
              <w:t>1–18, 19–21</w:t>
            </w:r>
          </w:p>
        </w:tc>
        <w:tc>
          <w:tcPr>
            <w:tcW w:w="2160" w:type="dxa"/>
          </w:tcPr>
          <w:p w14:paraId="6A6475A5">
            <w:pPr>
              <w:spacing w:after="0" w:line="240" w:lineRule="auto"/>
            </w:pPr>
          </w:p>
        </w:tc>
        <w:tc>
          <w:tcPr>
            <w:tcW w:w="2160" w:type="dxa"/>
          </w:tcPr>
          <w:p w14:paraId="6FFA6469">
            <w:pPr>
              <w:spacing w:after="0" w:line="240" w:lineRule="auto"/>
            </w:pPr>
          </w:p>
        </w:tc>
      </w:tr>
      <w:tr w14:paraId="6E3B2885">
        <w:tc>
          <w:tcPr>
            <w:tcW w:w="2160" w:type="dxa"/>
          </w:tcPr>
          <w:p w14:paraId="68B1B04B">
            <w:pPr>
              <w:spacing w:after="0" w:line="240" w:lineRule="auto"/>
            </w:pPr>
            <w:r>
              <w:rPr>
                <w:sz w:val="16"/>
              </w:rPr>
              <w:t>Partially reported</w:t>
            </w:r>
          </w:p>
        </w:tc>
        <w:tc>
          <w:tcPr>
            <w:tcW w:w="2160" w:type="dxa"/>
          </w:tcPr>
          <w:p w14:paraId="60F810A1">
            <w:pPr>
              <w:spacing w:after="0" w:line="240" w:lineRule="auto"/>
            </w:pPr>
            <w:r>
              <w:rPr>
                <w:sz w:val="16"/>
              </w:rPr>
              <w:t>6(b) — no formal loss-to-follow-up analysis, mitigated by fixed 4-year design</w:t>
            </w:r>
          </w:p>
        </w:tc>
        <w:tc>
          <w:tcPr>
            <w:tcW w:w="2160" w:type="dxa"/>
          </w:tcPr>
          <w:p w14:paraId="51DBF823">
            <w:pPr>
              <w:spacing w:after="0" w:line="240" w:lineRule="auto"/>
            </w:pPr>
          </w:p>
        </w:tc>
        <w:tc>
          <w:tcPr>
            <w:tcW w:w="2160" w:type="dxa"/>
          </w:tcPr>
          <w:p w14:paraId="4C84F933">
            <w:pPr>
              <w:spacing w:after="0" w:line="240" w:lineRule="auto"/>
            </w:pPr>
          </w:p>
        </w:tc>
      </w:tr>
      <w:tr w14:paraId="19055AC9">
        <w:tc>
          <w:tcPr>
            <w:tcW w:w="2160" w:type="dxa"/>
          </w:tcPr>
          <w:p w14:paraId="731D7461">
            <w:pPr>
              <w:spacing w:after="0" w:line="240" w:lineRule="auto"/>
            </w:pPr>
            <w:r>
              <w:rPr>
                <w:sz w:val="16"/>
              </w:rPr>
              <w:t>Missing</w:t>
            </w:r>
          </w:p>
        </w:tc>
        <w:tc>
          <w:tcPr>
            <w:tcW w:w="2160" w:type="dxa"/>
          </w:tcPr>
          <w:p w14:paraId="50368D7E">
            <w:pPr>
              <w:spacing w:after="0" w:line="240" w:lineRule="auto"/>
            </w:pPr>
            <w:r>
              <w:t>22 — Funding section present in Declarations; funder details to be completed prior to submission.</w:t>
            </w:r>
          </w:p>
        </w:tc>
        <w:tc>
          <w:tcPr>
            <w:tcW w:w="2160" w:type="dxa"/>
          </w:tcPr>
          <w:p w14:paraId="2019A1EE">
            <w:pPr>
              <w:spacing w:after="0" w:line="240" w:lineRule="auto"/>
            </w:pPr>
          </w:p>
        </w:tc>
        <w:tc>
          <w:tcPr>
            <w:tcW w:w="2160" w:type="dxa"/>
          </w:tcPr>
          <w:p w14:paraId="423A1BF0">
            <w:pPr>
              <w:spacing w:after="0" w:line="240" w:lineRule="auto"/>
            </w:pPr>
          </w:p>
        </w:tc>
      </w:tr>
      <w:tr w14:paraId="075230BE">
        <w:tc>
          <w:tcPr>
            <w:tcW w:w="2160" w:type="dxa"/>
          </w:tcPr>
          <w:p w14:paraId="2EA9CB0F">
            <w:pPr>
              <w:spacing w:after="0" w:line="240" w:lineRule="auto"/>
            </w:pPr>
            <w:r>
              <w:rPr>
                <w:sz w:val="16"/>
              </w:rPr>
              <w:t>Change</w:t>
            </w:r>
          </w:p>
        </w:tc>
        <w:tc>
          <w:tcPr>
            <w:tcW w:w="2160" w:type="dxa"/>
          </w:tcPr>
          <w:p w14:paraId="7AE184C3">
            <w:pPr>
              <w:spacing w:after="0" w:line="240" w:lineRule="auto"/>
            </w:pPr>
            <w:r>
              <w:rPr>
                <w:sz w:val="16"/>
              </w:rPr>
              <w:t>STROBE Item(s)</w:t>
            </w:r>
          </w:p>
        </w:tc>
        <w:tc>
          <w:tcPr>
            <w:tcW w:w="2160" w:type="dxa"/>
          </w:tcPr>
          <w:p w14:paraId="37F50C54">
            <w:pPr>
              <w:spacing w:after="0" w:line="240" w:lineRule="auto"/>
            </w:pPr>
          </w:p>
        </w:tc>
        <w:tc>
          <w:tcPr>
            <w:tcW w:w="2160" w:type="dxa"/>
          </w:tcPr>
          <w:p w14:paraId="032A5644">
            <w:pPr>
              <w:spacing w:after="0" w:line="240" w:lineRule="auto"/>
            </w:pPr>
          </w:p>
        </w:tc>
      </w:tr>
      <w:tr w14:paraId="3FAF781F">
        <w:tc>
          <w:tcPr>
            <w:tcW w:w="2160" w:type="dxa"/>
          </w:tcPr>
          <w:p w14:paraId="45352B53">
            <w:pPr>
              <w:spacing w:after="0" w:line="240" w:lineRule="auto"/>
            </w:pPr>
            <w:r>
              <w:rPr>
                <w:sz w:val="16"/>
              </w:rPr>
              <w:t>Schoenfeld PH test with real results (all models P &gt; 0.05)</w:t>
            </w:r>
          </w:p>
        </w:tc>
        <w:tc>
          <w:tcPr>
            <w:tcW w:w="2160" w:type="dxa"/>
          </w:tcPr>
          <w:p w14:paraId="5529A4CA">
            <w:pPr>
              <w:spacing w:after="0" w:line="240" w:lineRule="auto"/>
            </w:pPr>
            <w:r>
              <w:rPr>
                <w:sz w:val="16"/>
              </w:rPr>
              <w:t>9, 12(a)</w:t>
            </w:r>
          </w:p>
        </w:tc>
        <w:tc>
          <w:tcPr>
            <w:tcW w:w="2160" w:type="dxa"/>
          </w:tcPr>
          <w:p w14:paraId="7D1792B6">
            <w:pPr>
              <w:spacing w:after="0" w:line="240" w:lineRule="auto"/>
            </w:pPr>
          </w:p>
        </w:tc>
        <w:tc>
          <w:tcPr>
            <w:tcW w:w="2160" w:type="dxa"/>
          </w:tcPr>
          <w:p w14:paraId="53698DDA">
            <w:pPr>
              <w:spacing w:after="0" w:line="240" w:lineRule="auto"/>
            </w:pPr>
          </w:p>
        </w:tc>
      </w:tr>
      <w:tr w14:paraId="042D7A65">
        <w:tc>
          <w:tcPr>
            <w:tcW w:w="2160" w:type="dxa"/>
          </w:tcPr>
          <w:p w14:paraId="2532EA76">
            <w:pPr>
              <w:spacing w:after="0" w:line="240" w:lineRule="auto"/>
            </w:pPr>
            <w:r>
              <w:rPr>
                <w:sz w:val="16"/>
              </w:rPr>
              <w:t>Follow-up: "4.0 (fixed interval)" (replaces "4.0 ± 0.0")</w:t>
            </w:r>
          </w:p>
        </w:tc>
        <w:tc>
          <w:tcPr>
            <w:tcW w:w="2160" w:type="dxa"/>
          </w:tcPr>
          <w:p w14:paraId="193EF90C">
            <w:pPr>
              <w:spacing w:after="0" w:line="240" w:lineRule="auto"/>
            </w:pPr>
            <w:r>
              <w:rPr>
                <w:sz w:val="16"/>
              </w:rPr>
              <w:t>6(b), 14(c)</w:t>
            </w:r>
          </w:p>
        </w:tc>
        <w:tc>
          <w:tcPr>
            <w:tcW w:w="2160" w:type="dxa"/>
          </w:tcPr>
          <w:p w14:paraId="71C053A7">
            <w:pPr>
              <w:spacing w:after="0" w:line="240" w:lineRule="auto"/>
            </w:pPr>
          </w:p>
        </w:tc>
        <w:tc>
          <w:tcPr>
            <w:tcW w:w="2160" w:type="dxa"/>
          </w:tcPr>
          <w:p w14:paraId="1535F6F1">
            <w:pPr>
              <w:spacing w:after="0" w:line="240" w:lineRule="auto"/>
            </w:pPr>
          </w:p>
        </w:tc>
      </w:tr>
      <w:tr w14:paraId="3B2687B6">
        <w:tc>
          <w:tcPr>
            <w:tcW w:w="2160" w:type="dxa"/>
          </w:tcPr>
          <w:p w14:paraId="77BF4789">
            <w:pPr>
              <w:spacing w:after="0" w:line="240" w:lineRule="auto"/>
            </w:pPr>
            <w:r>
              <w:rPr>
                <w:sz w:val="16"/>
              </w:rPr>
              <w:t>Component overlap bias discussion added as Sixth limitation</w:t>
            </w:r>
          </w:p>
        </w:tc>
        <w:tc>
          <w:tcPr>
            <w:tcW w:w="2160" w:type="dxa"/>
          </w:tcPr>
          <w:p w14:paraId="7FED4B3A">
            <w:pPr>
              <w:spacing w:after="0" w:line="240" w:lineRule="auto"/>
            </w:pPr>
            <w:r>
              <w:rPr>
                <w:sz w:val="16"/>
              </w:rPr>
              <w:t>9, 19</w:t>
            </w:r>
          </w:p>
        </w:tc>
        <w:tc>
          <w:tcPr>
            <w:tcW w:w="2160" w:type="dxa"/>
          </w:tcPr>
          <w:p w14:paraId="0E028593">
            <w:pPr>
              <w:spacing w:after="0" w:line="240" w:lineRule="auto"/>
            </w:pPr>
          </w:p>
        </w:tc>
        <w:tc>
          <w:tcPr>
            <w:tcW w:w="2160" w:type="dxa"/>
          </w:tcPr>
          <w:p w14:paraId="671D0D81">
            <w:pPr>
              <w:spacing w:after="0" w:line="240" w:lineRule="auto"/>
            </w:pPr>
          </w:p>
        </w:tc>
      </w:tr>
      <w:tr w14:paraId="620E639A">
        <w:tc>
          <w:tcPr>
            <w:tcW w:w="2160" w:type="dxa"/>
          </w:tcPr>
          <w:p w14:paraId="71967EA7">
            <w:pPr>
              <w:spacing w:after="0" w:line="240" w:lineRule="auto"/>
            </w:pPr>
            <w:r>
              <w:rPr>
                <w:sz w:val="16"/>
              </w:rPr>
              <w:t>References expanded to 30 (added TyG meta [26], UHR meta [27], additive interaction tutorial [28], Chinese MetS prevalence [29], Korean UA longitudinal [30])</w:t>
            </w:r>
          </w:p>
        </w:tc>
        <w:tc>
          <w:tcPr>
            <w:tcW w:w="2160" w:type="dxa"/>
          </w:tcPr>
          <w:p w14:paraId="577DC849">
            <w:pPr>
              <w:spacing w:after="0" w:line="240" w:lineRule="auto"/>
            </w:pPr>
            <w:r>
              <w:rPr>
                <w:sz w:val="16"/>
              </w:rPr>
              <w:t>7, 12(b)</w:t>
            </w:r>
          </w:p>
        </w:tc>
        <w:tc>
          <w:tcPr>
            <w:tcW w:w="2160" w:type="dxa"/>
          </w:tcPr>
          <w:p w14:paraId="2068220E">
            <w:pPr>
              <w:spacing w:after="0" w:line="240" w:lineRule="auto"/>
            </w:pPr>
          </w:p>
        </w:tc>
        <w:tc>
          <w:tcPr>
            <w:tcW w:w="2160" w:type="dxa"/>
          </w:tcPr>
          <w:p w14:paraId="23B442F9">
            <w:pPr>
              <w:spacing w:after="0" w:line="240" w:lineRule="auto"/>
            </w:pPr>
          </w:p>
        </w:tc>
      </w:tr>
      <w:tr w14:paraId="11FB7995">
        <w:tc>
          <w:tcPr>
            <w:tcW w:w="2160" w:type="dxa"/>
          </w:tcPr>
          <w:p w14:paraId="5886BFB1">
            <w:pPr>
              <w:spacing w:after="0" w:line="240" w:lineRule="auto"/>
            </w:pPr>
            <w:r>
              <w:rPr>
                <w:sz w:val="16"/>
              </w:rPr>
              <w:t>Conservative additive interaction interpretation throughout (RERI narrative downgrade)</w:t>
            </w:r>
          </w:p>
        </w:tc>
        <w:tc>
          <w:tcPr>
            <w:tcW w:w="2160" w:type="dxa"/>
          </w:tcPr>
          <w:p w14:paraId="79B35631">
            <w:pPr>
              <w:spacing w:after="0" w:line="240" w:lineRule="auto"/>
            </w:pPr>
            <w:r>
              <w:rPr>
                <w:sz w:val="16"/>
              </w:rPr>
              <w:t>18, 20</w:t>
            </w:r>
          </w:p>
        </w:tc>
        <w:tc>
          <w:tcPr>
            <w:tcW w:w="2160" w:type="dxa"/>
          </w:tcPr>
          <w:p w14:paraId="0894ED4D">
            <w:pPr>
              <w:spacing w:after="0" w:line="240" w:lineRule="auto"/>
            </w:pPr>
          </w:p>
        </w:tc>
        <w:tc>
          <w:tcPr>
            <w:tcW w:w="2160" w:type="dxa"/>
          </w:tcPr>
          <w:p w14:paraId="63E559E3">
            <w:pPr>
              <w:spacing w:after="0" w:line="240" w:lineRule="auto"/>
            </w:pPr>
          </w:p>
        </w:tc>
      </w:tr>
      <w:tr w14:paraId="11D93692">
        <w:tc>
          <w:tcPr>
            <w:tcW w:w="2160" w:type="dxa"/>
          </w:tcPr>
          <w:p w14:paraId="689FAC61">
            <w:pPr>
              <w:spacing w:after="0" w:line="240" w:lineRule="auto"/>
            </w:pPr>
            <w:r>
              <w:rPr>
                <w:sz w:val="16"/>
              </w:rPr>
              <w:t>Humanizer: promotional language and AI writing patterns removed</w:t>
            </w:r>
          </w:p>
        </w:tc>
        <w:tc>
          <w:tcPr>
            <w:tcW w:w="2160" w:type="dxa"/>
          </w:tcPr>
          <w:p w14:paraId="28B983BE">
            <w:pPr>
              <w:spacing w:after="0" w:line="240" w:lineRule="auto"/>
            </w:pPr>
            <w:r>
              <w:rPr>
                <w:sz w:val="16"/>
              </w:rPr>
              <w:t>2, 18, 20</w:t>
            </w:r>
          </w:p>
        </w:tc>
        <w:tc>
          <w:tcPr>
            <w:tcW w:w="2160" w:type="dxa"/>
          </w:tcPr>
          <w:p w14:paraId="0345BA11">
            <w:pPr>
              <w:spacing w:after="0" w:line="240" w:lineRule="auto"/>
            </w:pPr>
          </w:p>
        </w:tc>
        <w:tc>
          <w:tcPr>
            <w:tcW w:w="2160" w:type="dxa"/>
          </w:tcPr>
          <w:p w14:paraId="05496CBE">
            <w:pPr>
              <w:spacing w:after="0" w:line="240" w:lineRule="auto"/>
            </w:pPr>
          </w:p>
        </w:tc>
      </w:tr>
      <w:tr w14:paraId="1BF0422A">
        <w:tc>
          <w:tcPr>
            <w:tcW w:w="2160" w:type="dxa"/>
          </w:tcPr>
          <w:p w14:paraId="4E23C8C3">
            <w:pPr>
              <w:spacing w:after="0" w:line="240" w:lineRule="auto"/>
            </w:pPr>
            <w:r>
              <w:rPr>
                <w:sz w:val="16"/>
              </w:rPr>
              <w:t>TyG dual-unit formula (mmol/L equivalent)</w:t>
            </w:r>
          </w:p>
        </w:tc>
        <w:tc>
          <w:tcPr>
            <w:tcW w:w="2160" w:type="dxa"/>
          </w:tcPr>
          <w:p w14:paraId="39C2A99F">
            <w:pPr>
              <w:spacing w:after="0" w:line="240" w:lineRule="auto"/>
            </w:pPr>
            <w:r>
              <w:rPr>
                <w:sz w:val="16"/>
              </w:rPr>
              <w:t>7</w:t>
            </w:r>
          </w:p>
        </w:tc>
        <w:tc>
          <w:tcPr>
            <w:tcW w:w="2160" w:type="dxa"/>
          </w:tcPr>
          <w:p w14:paraId="01A2F53C">
            <w:pPr>
              <w:spacing w:after="0" w:line="240" w:lineRule="auto"/>
            </w:pPr>
          </w:p>
        </w:tc>
        <w:tc>
          <w:tcPr>
            <w:tcW w:w="2160" w:type="dxa"/>
          </w:tcPr>
          <w:p w14:paraId="2E79F339">
            <w:pPr>
              <w:spacing w:after="0" w:line="240" w:lineRule="auto"/>
            </w:pPr>
          </w:p>
        </w:tc>
      </w:tr>
      <w:tr w14:paraId="1200DD32">
        <w:tc>
          <w:tcPr>
            <w:tcW w:w="2160" w:type="dxa"/>
          </w:tcPr>
          <w:p w14:paraId="1F58F587">
            <w:pPr>
              <w:spacing w:after="0" w:line="240" w:lineRule="auto"/>
            </w:pPr>
            <w:r>
              <w:rPr>
                <w:sz w:val="16"/>
              </w:rPr>
              <w:t>Additive interaction guidance citation [28]</w:t>
            </w:r>
          </w:p>
        </w:tc>
        <w:tc>
          <w:tcPr>
            <w:tcW w:w="2160" w:type="dxa"/>
          </w:tcPr>
          <w:p w14:paraId="5EB403E2">
            <w:pPr>
              <w:spacing w:after="0" w:line="240" w:lineRule="auto"/>
            </w:pPr>
            <w:r>
              <w:rPr>
                <w:sz w:val="16"/>
              </w:rPr>
              <w:t>12(b)</w:t>
            </w:r>
          </w:p>
        </w:tc>
        <w:tc>
          <w:tcPr>
            <w:tcW w:w="2160" w:type="dxa"/>
          </w:tcPr>
          <w:p w14:paraId="16577159">
            <w:pPr>
              <w:spacing w:after="0" w:line="240" w:lineRule="auto"/>
            </w:pPr>
          </w:p>
        </w:tc>
        <w:tc>
          <w:tcPr>
            <w:tcW w:w="2160" w:type="dxa"/>
          </w:tcPr>
          <w:p w14:paraId="46E360A3">
            <w:pPr>
              <w:spacing w:after="0" w:line="240" w:lineRule="auto"/>
            </w:pPr>
          </w:p>
        </w:tc>
      </w:tr>
    </w:tbl>
    <w:p w14:paraId="195731BF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D9B1821"/>
    <w:rsid w:val="ABD5A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Mosby</cp:lastModifiedBy>
  <dcterms:modified xsi:type="dcterms:W3CDTF">2026-07-21T11:20:34Z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40B003E27415C34E82E55E6A7B64C61C_43</vt:lpwstr>
  </property>
</Properties>
</file>