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9C6F7" w14:textId="77777777" w:rsidR="005C725F" w:rsidRDefault="005C725F" w:rsidP="005C725F">
      <w:pPr>
        <w:keepNext/>
      </w:pPr>
      <w:r>
        <w:rPr>
          <w:noProof/>
        </w:rPr>
        <w:drawing>
          <wp:inline distT="0" distB="0" distL="0" distR="0" wp14:anchorId="3AE0AFEA" wp14:editId="25860E62">
            <wp:extent cx="8863330" cy="4999990"/>
            <wp:effectExtent l="0" t="0" r="0" b="0"/>
            <wp:docPr id="1454659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659134" name="Picture 14546591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8A85C" w14:textId="0F9A87D4" w:rsidR="00F47571" w:rsidRDefault="005C725F" w:rsidP="005C725F">
      <w:pPr>
        <w:pStyle w:val="Caption"/>
        <w:jc w:val="both"/>
      </w:pPr>
      <w:r>
        <w:t xml:space="preserve">Supplementary figure </w:t>
      </w:r>
      <w:fldSimple w:instr=" SEQ Supplementary_figure \* ARABIC ">
        <w:r>
          <w:rPr>
            <w:noProof/>
          </w:rPr>
          <w:t>1</w:t>
        </w:r>
      </w:fldSimple>
      <w:r>
        <w:t xml:space="preserve">. </w:t>
      </w:r>
      <w:r>
        <w:t xml:space="preserve">Retinal ganglion cell dendritic morphology according to age, and genotype. Sholl analysis of </w:t>
      </w:r>
      <w:proofErr w:type="spellStart"/>
      <w:r>
        <w:t>Diolistically</w:t>
      </w:r>
      <w:proofErr w:type="spellEnd"/>
      <w:r>
        <w:t xml:space="preserve"> labelled RGCs with corresponding Sholl AUC </w:t>
      </w:r>
      <w:r>
        <w:t>for each age point.</w:t>
      </w:r>
      <w:r>
        <w:t xml:space="preserve"> For Sholl curves, bars </w:t>
      </w:r>
      <w:r>
        <w:rPr>
          <w:rFonts w:cstheme="minorHAnsi"/>
        </w:rPr>
        <w:t>±</w:t>
      </w:r>
      <w:r>
        <w:t xml:space="preserve"> SEM. For Sholl AUCs, bars </w:t>
      </w:r>
      <w:r>
        <w:rPr>
          <w:rFonts w:cstheme="minorHAnsi"/>
        </w:rPr>
        <w:t>±</w:t>
      </w:r>
      <w:r>
        <w:t xml:space="preserve"> SEM. To compare two groups Mann-Whitney U test was used. To compare three or more groups </w:t>
      </w:r>
      <w:r w:rsidRPr="00684F81">
        <w:t>Kruskal-Wallis one-way ANOVA</w:t>
      </w:r>
      <w:r>
        <w:t xml:space="preserve"> followed by Dunn’s test was performed. Representative images: scale bar 30 </w:t>
      </w:r>
      <w:r>
        <w:rPr>
          <w:rFonts w:cstheme="minorHAnsi"/>
        </w:rPr>
        <w:t>µ</w:t>
      </w:r>
      <w:r>
        <w:t>m, image pixel size 2048 x 2048. Sample size N=6 for each group (sex, age, and genotype).</w:t>
      </w:r>
    </w:p>
    <w:sectPr w:rsidR="00F47571" w:rsidSect="005C725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rQ0MzY0MTQ2NLAwNzZT0lEKTi0uzszPAykwrAUAxN45hiwAAAA="/>
  </w:docVars>
  <w:rsids>
    <w:rsidRoot w:val="005C725F"/>
    <w:rsid w:val="0001757F"/>
    <w:rsid w:val="00042494"/>
    <w:rsid w:val="000E2B1D"/>
    <w:rsid w:val="00183827"/>
    <w:rsid w:val="001D52D0"/>
    <w:rsid w:val="00236616"/>
    <w:rsid w:val="00290B7D"/>
    <w:rsid w:val="0032518F"/>
    <w:rsid w:val="0052554C"/>
    <w:rsid w:val="005C725F"/>
    <w:rsid w:val="006831E8"/>
    <w:rsid w:val="006A013B"/>
    <w:rsid w:val="006D7568"/>
    <w:rsid w:val="00802B20"/>
    <w:rsid w:val="008A5289"/>
    <w:rsid w:val="00B062EE"/>
    <w:rsid w:val="00C113CB"/>
    <w:rsid w:val="00CE4910"/>
    <w:rsid w:val="00F30B6D"/>
    <w:rsid w:val="00F47571"/>
    <w:rsid w:val="00F6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0EFEA"/>
  <w15:chartTrackingRefBased/>
  <w15:docId w15:val="{924ECAF9-5536-47D1-AB6A-C4CCDB0B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2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2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2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2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2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2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2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2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2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2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25F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5C725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Cimaglia</dc:creator>
  <cp:keywords/>
  <dc:description/>
  <cp:lastModifiedBy>Gloria Cimaglia</cp:lastModifiedBy>
  <cp:revision>1</cp:revision>
  <dcterms:created xsi:type="dcterms:W3CDTF">2026-07-31T09:19:00Z</dcterms:created>
  <dcterms:modified xsi:type="dcterms:W3CDTF">2026-07-31T09:24:00Z</dcterms:modified>
</cp:coreProperties>
</file>