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664BED" w14:textId="77777777" w:rsidR="00236CE4" w:rsidRDefault="00236CE4" w:rsidP="00236CE4">
      <w:pPr>
        <w:pStyle w:val="NormalWeb"/>
        <w:rPr>
          <w:sz w:val="22"/>
          <w:szCs w:val="22"/>
          <w:lang w:val="en-US"/>
        </w:rPr>
      </w:pPr>
    </w:p>
    <w:p w14:paraId="747BA3E7" w14:textId="77777777" w:rsidR="00236CE4" w:rsidRDefault="00236CE4" w:rsidP="00236CE4">
      <w:pPr>
        <w:pStyle w:val="NormalWeb"/>
        <w:rPr>
          <w:sz w:val="22"/>
          <w:szCs w:val="22"/>
          <w:lang w:val="en-US"/>
        </w:rPr>
      </w:pPr>
    </w:p>
    <w:p w14:paraId="464BC8D5" w14:textId="77777777" w:rsidR="00236CE4" w:rsidRPr="00CC3FD3" w:rsidRDefault="00236CE4" w:rsidP="00236CE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EB0AE1">
        <w:rPr>
          <w:rFonts w:ascii="Times New Roman" w:hAnsi="Times New Roman" w:cs="Times New Roman"/>
          <w:b/>
          <w:bCs/>
          <w:sz w:val="22"/>
          <w:szCs w:val="22"/>
          <w:lang w:val="en-US"/>
        </w:rPr>
        <w:t>Supplementary Table S1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. </w:t>
      </w:r>
      <w:r w:rsidRPr="00CC3FD3">
        <w:rPr>
          <w:rFonts w:ascii="Times New Roman" w:hAnsi="Times New Roman" w:cs="Times New Roman"/>
          <w:b/>
          <w:bCs/>
          <w:sz w:val="22"/>
          <w:szCs w:val="22"/>
          <w:lang w:val="en-US"/>
        </w:rPr>
        <w:t>Clinical Outcomes According to Polypharmacy Status Among Geriatric Patients</w:t>
      </w:r>
    </w:p>
    <w:p w14:paraId="64646D37" w14:textId="77777777" w:rsidR="00236CE4" w:rsidRPr="00CC3FD3" w:rsidRDefault="00236CE4" w:rsidP="00236CE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2637"/>
        <w:gridCol w:w="2284"/>
        <w:gridCol w:w="816"/>
      </w:tblGrid>
      <w:tr w:rsidR="00236CE4" w:rsidRPr="00CC3FD3" w14:paraId="70E09BBD" w14:textId="77777777" w:rsidTr="009C62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BBECF03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6218A5D7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No Polypharmacy (n=59)</w:t>
            </w:r>
          </w:p>
        </w:tc>
        <w:tc>
          <w:tcPr>
            <w:tcW w:w="0" w:type="auto"/>
            <w:vAlign w:val="center"/>
            <w:hideMark/>
          </w:tcPr>
          <w:p w14:paraId="669F1DC4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Polypharmacy (n=92)</w:t>
            </w:r>
          </w:p>
        </w:tc>
        <w:tc>
          <w:tcPr>
            <w:tcW w:w="0" w:type="auto"/>
            <w:vAlign w:val="center"/>
            <w:hideMark/>
          </w:tcPr>
          <w:p w14:paraId="0145E14B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p value</w:t>
            </w:r>
          </w:p>
        </w:tc>
      </w:tr>
      <w:tr w:rsidR="00236CE4" w:rsidRPr="00CC3FD3" w14:paraId="73FE94D8" w14:textId="77777777" w:rsidTr="009C62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C382EA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Clinical outcomes</w:t>
            </w:r>
          </w:p>
        </w:tc>
        <w:tc>
          <w:tcPr>
            <w:tcW w:w="0" w:type="auto"/>
            <w:vAlign w:val="center"/>
            <w:hideMark/>
          </w:tcPr>
          <w:p w14:paraId="2E824DE9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F3A3B5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DC3C35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</w:tr>
      <w:tr w:rsidR="00236CE4" w:rsidRPr="00CC3FD3" w14:paraId="0D7CC4F6" w14:textId="77777777" w:rsidTr="009C62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A10946" w14:textId="77777777" w:rsidR="00236CE4" w:rsidRDefault="00236CE4" w:rsidP="009C62E6">
            <w:pPr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Length of hospital stay, days</w:t>
            </w:r>
            <w:r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 xml:space="preserve"> </w:t>
            </w:r>
          </w:p>
          <w:p w14:paraId="24ED7E00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(mean rank)</w:t>
            </w:r>
          </w:p>
        </w:tc>
        <w:tc>
          <w:tcPr>
            <w:tcW w:w="0" w:type="auto"/>
            <w:vAlign w:val="center"/>
            <w:hideMark/>
          </w:tcPr>
          <w:p w14:paraId="460788FC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61.98</w:t>
            </w:r>
          </w:p>
        </w:tc>
        <w:tc>
          <w:tcPr>
            <w:tcW w:w="0" w:type="auto"/>
            <w:vAlign w:val="center"/>
            <w:hideMark/>
          </w:tcPr>
          <w:p w14:paraId="2A1F1439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84.99</w:t>
            </w:r>
          </w:p>
        </w:tc>
        <w:tc>
          <w:tcPr>
            <w:tcW w:w="0" w:type="auto"/>
            <w:vAlign w:val="center"/>
            <w:hideMark/>
          </w:tcPr>
          <w:p w14:paraId="05579F09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0.002</w:t>
            </w:r>
          </w:p>
        </w:tc>
      </w:tr>
      <w:tr w:rsidR="00236CE4" w:rsidRPr="00CC3FD3" w14:paraId="4C604B87" w14:textId="77777777" w:rsidTr="009C62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CB6AF" w14:textId="77777777" w:rsidR="00236CE4" w:rsidRDefault="00236CE4" w:rsidP="009C62E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proofErr w:type="gramStart"/>
            <w:r w:rsidRPr="00CC3FD3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Overall</w:t>
            </w:r>
            <w:proofErr w:type="gramEnd"/>
            <w:r w:rsidRPr="00CC3FD3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 xml:space="preserve"> 28-day outcome </w:t>
            </w:r>
          </w:p>
          <w:p w14:paraId="45191C95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(overall p=0.535)</w:t>
            </w:r>
          </w:p>
        </w:tc>
        <w:tc>
          <w:tcPr>
            <w:tcW w:w="0" w:type="auto"/>
            <w:vAlign w:val="center"/>
            <w:hideMark/>
          </w:tcPr>
          <w:p w14:paraId="6F6A6521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B69D7F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C4EA5F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</w:tr>
      <w:tr w:rsidR="00236CE4" w:rsidRPr="00CC3FD3" w14:paraId="3435196D" w14:textId="77777777" w:rsidTr="009C62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E4E0A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Discharged</w:t>
            </w:r>
          </w:p>
        </w:tc>
        <w:tc>
          <w:tcPr>
            <w:tcW w:w="0" w:type="auto"/>
            <w:vAlign w:val="center"/>
            <w:hideMark/>
          </w:tcPr>
          <w:p w14:paraId="6244A0DC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54 (91.5)</w:t>
            </w:r>
          </w:p>
        </w:tc>
        <w:tc>
          <w:tcPr>
            <w:tcW w:w="0" w:type="auto"/>
            <w:vAlign w:val="center"/>
            <w:hideMark/>
          </w:tcPr>
          <w:p w14:paraId="7DDBFFD8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79 (85.9)</w:t>
            </w:r>
          </w:p>
        </w:tc>
        <w:tc>
          <w:tcPr>
            <w:tcW w:w="0" w:type="auto"/>
            <w:vAlign w:val="center"/>
            <w:hideMark/>
          </w:tcPr>
          <w:p w14:paraId="7BF2FF32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0.295</w:t>
            </w:r>
          </w:p>
        </w:tc>
      </w:tr>
      <w:tr w:rsidR="00236CE4" w:rsidRPr="00CC3FD3" w14:paraId="4F3A0450" w14:textId="77777777" w:rsidTr="009C62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1D329A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ICU transfer</w:t>
            </w:r>
          </w:p>
        </w:tc>
        <w:tc>
          <w:tcPr>
            <w:tcW w:w="0" w:type="auto"/>
            <w:vAlign w:val="center"/>
            <w:hideMark/>
          </w:tcPr>
          <w:p w14:paraId="1F2B2D24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1 (1.7)</w:t>
            </w:r>
          </w:p>
        </w:tc>
        <w:tc>
          <w:tcPr>
            <w:tcW w:w="0" w:type="auto"/>
            <w:vAlign w:val="center"/>
            <w:hideMark/>
          </w:tcPr>
          <w:p w14:paraId="566F86D5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5 (5.4)</w:t>
            </w:r>
          </w:p>
        </w:tc>
        <w:tc>
          <w:tcPr>
            <w:tcW w:w="0" w:type="auto"/>
            <w:vAlign w:val="center"/>
            <w:hideMark/>
          </w:tcPr>
          <w:p w14:paraId="0F948188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</w:tr>
      <w:tr w:rsidR="00236CE4" w:rsidRPr="00CC3FD3" w14:paraId="0DC9901C" w14:textId="77777777" w:rsidTr="009C62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45CF5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Ongoing hospitalization</w:t>
            </w:r>
          </w:p>
        </w:tc>
        <w:tc>
          <w:tcPr>
            <w:tcW w:w="0" w:type="auto"/>
            <w:vAlign w:val="center"/>
            <w:hideMark/>
          </w:tcPr>
          <w:p w14:paraId="2B2F126D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2 (3.4)</w:t>
            </w:r>
          </w:p>
        </w:tc>
        <w:tc>
          <w:tcPr>
            <w:tcW w:w="0" w:type="auto"/>
            <w:vAlign w:val="center"/>
            <w:hideMark/>
          </w:tcPr>
          <w:p w14:paraId="47E296F8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3 (3.3)</w:t>
            </w:r>
          </w:p>
        </w:tc>
        <w:tc>
          <w:tcPr>
            <w:tcW w:w="0" w:type="auto"/>
            <w:vAlign w:val="center"/>
            <w:hideMark/>
          </w:tcPr>
          <w:p w14:paraId="5AC68AD9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</w:tr>
      <w:tr w:rsidR="00236CE4" w:rsidRPr="00CC3FD3" w14:paraId="7E983AF6" w14:textId="77777777" w:rsidTr="009C62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AA3D85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Death</w:t>
            </w:r>
          </w:p>
        </w:tc>
        <w:tc>
          <w:tcPr>
            <w:tcW w:w="0" w:type="auto"/>
            <w:vAlign w:val="center"/>
            <w:hideMark/>
          </w:tcPr>
          <w:p w14:paraId="0606C567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2 (3.4)</w:t>
            </w:r>
          </w:p>
        </w:tc>
        <w:tc>
          <w:tcPr>
            <w:tcW w:w="0" w:type="auto"/>
            <w:vAlign w:val="center"/>
            <w:hideMark/>
          </w:tcPr>
          <w:p w14:paraId="4CCFA8BB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5 (5.4)</w:t>
            </w:r>
          </w:p>
        </w:tc>
        <w:tc>
          <w:tcPr>
            <w:tcW w:w="0" w:type="auto"/>
            <w:vAlign w:val="center"/>
            <w:hideMark/>
          </w:tcPr>
          <w:p w14:paraId="5588DD22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0.705</w:t>
            </w:r>
          </w:p>
        </w:tc>
      </w:tr>
    </w:tbl>
    <w:p w14:paraId="311AF8DD" w14:textId="77777777" w:rsidR="00236CE4" w:rsidRPr="00CC3FD3" w:rsidRDefault="00236CE4" w:rsidP="00236CE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72C9F5BF" w14:textId="77777777" w:rsidR="00236CE4" w:rsidRPr="00CC3FD3" w:rsidRDefault="00236CE4" w:rsidP="00236CE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48E59AD2" w14:textId="77777777" w:rsidR="00236CE4" w:rsidRDefault="00236CE4" w:rsidP="00236CE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2B713C7D" w14:textId="77777777" w:rsidR="00236CE4" w:rsidRDefault="00236CE4" w:rsidP="00236CE4">
      <w:pPr>
        <w:pStyle w:val="NormalWeb"/>
        <w:rPr>
          <w:sz w:val="22"/>
          <w:szCs w:val="22"/>
          <w:lang w:val="en-US"/>
        </w:rPr>
      </w:pPr>
    </w:p>
    <w:p w14:paraId="322A44DA" w14:textId="77777777" w:rsidR="00236CE4" w:rsidRDefault="00236CE4" w:rsidP="00236CE4">
      <w:pPr>
        <w:pStyle w:val="NormalWeb"/>
        <w:rPr>
          <w:sz w:val="22"/>
          <w:szCs w:val="22"/>
          <w:lang w:val="en-US"/>
        </w:rPr>
      </w:pPr>
    </w:p>
    <w:p w14:paraId="1AA036F0" w14:textId="77777777" w:rsidR="00236CE4" w:rsidRDefault="00236CE4" w:rsidP="00236CE4">
      <w:pPr>
        <w:pStyle w:val="NormalWeb"/>
        <w:rPr>
          <w:sz w:val="22"/>
          <w:szCs w:val="22"/>
          <w:lang w:val="en-US"/>
        </w:rPr>
      </w:pPr>
    </w:p>
    <w:p w14:paraId="0F686391" w14:textId="77777777" w:rsidR="00236CE4" w:rsidRDefault="00236CE4" w:rsidP="00236CE4">
      <w:pPr>
        <w:pStyle w:val="NormalWeb"/>
        <w:rPr>
          <w:sz w:val="22"/>
          <w:szCs w:val="22"/>
          <w:lang w:val="en-US"/>
        </w:rPr>
      </w:pPr>
    </w:p>
    <w:p w14:paraId="32C06501" w14:textId="77777777" w:rsidR="00236CE4" w:rsidRPr="00CC3FD3" w:rsidRDefault="00236CE4" w:rsidP="00236CE4">
      <w:pPr>
        <w:pStyle w:val="NormalWeb"/>
        <w:rPr>
          <w:sz w:val="22"/>
          <w:szCs w:val="22"/>
          <w:lang w:val="en-US"/>
        </w:rPr>
      </w:pPr>
    </w:p>
    <w:p w14:paraId="19EF9B1A" w14:textId="77777777" w:rsidR="00236CE4" w:rsidRPr="00CC3FD3" w:rsidRDefault="00236CE4" w:rsidP="00236CE4">
      <w:pPr>
        <w:pStyle w:val="NormalWeb"/>
        <w:rPr>
          <w:sz w:val="22"/>
          <w:szCs w:val="22"/>
          <w:lang w:val="en-US"/>
        </w:rPr>
      </w:pPr>
    </w:p>
    <w:p w14:paraId="181DEFB7" w14:textId="77777777" w:rsidR="00236CE4" w:rsidRPr="00CC3FD3" w:rsidRDefault="00236CE4" w:rsidP="00236CE4">
      <w:pPr>
        <w:pStyle w:val="NormalWeb"/>
        <w:rPr>
          <w:sz w:val="22"/>
          <w:szCs w:val="22"/>
          <w:lang w:val="en-US"/>
        </w:rPr>
      </w:pPr>
    </w:p>
    <w:p w14:paraId="4F820CF5" w14:textId="77777777" w:rsidR="00236CE4" w:rsidRPr="00CC3FD3" w:rsidRDefault="00236CE4" w:rsidP="00236CE4">
      <w:pPr>
        <w:pStyle w:val="NormalWeb"/>
        <w:rPr>
          <w:b/>
          <w:bCs/>
          <w:sz w:val="22"/>
          <w:szCs w:val="22"/>
          <w:lang w:val="en-US"/>
        </w:rPr>
      </w:pPr>
      <w:r w:rsidRPr="00EB0AE1">
        <w:rPr>
          <w:b/>
          <w:bCs/>
          <w:sz w:val="22"/>
          <w:szCs w:val="22"/>
          <w:lang w:val="en-US"/>
        </w:rPr>
        <w:t>Supplementary Table S</w:t>
      </w:r>
      <w:r>
        <w:rPr>
          <w:b/>
          <w:bCs/>
          <w:sz w:val="22"/>
          <w:szCs w:val="22"/>
          <w:lang w:val="en-US"/>
        </w:rPr>
        <w:t xml:space="preserve">2. </w:t>
      </w:r>
      <w:r w:rsidRPr="00CC3FD3">
        <w:rPr>
          <w:b/>
          <w:bCs/>
          <w:sz w:val="22"/>
          <w:szCs w:val="22"/>
          <w:lang w:val="en-US"/>
        </w:rPr>
        <w:t>ROC Analysis of Frailty Instruments for Prediction of Poor 28-Day Outcome Among Geriatric Patients</w:t>
      </w:r>
    </w:p>
    <w:tbl>
      <w:tblPr>
        <w:tblW w:w="96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0"/>
        <w:gridCol w:w="1195"/>
        <w:gridCol w:w="2537"/>
        <w:gridCol w:w="1658"/>
      </w:tblGrid>
      <w:tr w:rsidR="00236CE4" w:rsidRPr="00CC3FD3" w14:paraId="61387E5B" w14:textId="77777777" w:rsidTr="009C62E6">
        <w:trPr>
          <w:trHeight w:val="967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37E5CD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tr-TR"/>
                <w14:ligatures w14:val="none"/>
              </w:rPr>
              <w:t>Frailty Instrument</w:t>
            </w:r>
          </w:p>
        </w:tc>
        <w:tc>
          <w:tcPr>
            <w:tcW w:w="0" w:type="auto"/>
            <w:vAlign w:val="center"/>
            <w:hideMark/>
          </w:tcPr>
          <w:p w14:paraId="3A77B84C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tr-TR"/>
                <w14:ligatures w14:val="none"/>
              </w:rPr>
              <w:t>AUC</w:t>
            </w:r>
          </w:p>
        </w:tc>
        <w:tc>
          <w:tcPr>
            <w:tcW w:w="0" w:type="auto"/>
            <w:vAlign w:val="center"/>
            <w:hideMark/>
          </w:tcPr>
          <w:p w14:paraId="1DE618BF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tr-TR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1F5028C3" w14:textId="77777777" w:rsidR="00236CE4" w:rsidRPr="00CC3FD3" w:rsidRDefault="00236CE4" w:rsidP="009C62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tr-TR"/>
                <w14:ligatures w14:val="none"/>
              </w:rPr>
              <w:t>p-value</w:t>
            </w:r>
          </w:p>
        </w:tc>
      </w:tr>
      <w:tr w:rsidR="00236CE4" w:rsidRPr="00CC3FD3" w14:paraId="59A02574" w14:textId="77777777" w:rsidTr="009C62E6">
        <w:trPr>
          <w:trHeight w:val="967"/>
          <w:tblCellSpacing w:w="15" w:type="dxa"/>
        </w:trPr>
        <w:tc>
          <w:tcPr>
            <w:tcW w:w="0" w:type="auto"/>
            <w:vAlign w:val="center"/>
            <w:hideMark/>
          </w:tcPr>
          <w:p w14:paraId="4F5447C4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  <w:t>FRAIL Score</w:t>
            </w:r>
          </w:p>
        </w:tc>
        <w:tc>
          <w:tcPr>
            <w:tcW w:w="0" w:type="auto"/>
            <w:vAlign w:val="center"/>
            <w:hideMark/>
          </w:tcPr>
          <w:p w14:paraId="6F521AD1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  <w:t>0.696</w:t>
            </w:r>
          </w:p>
        </w:tc>
        <w:tc>
          <w:tcPr>
            <w:tcW w:w="0" w:type="auto"/>
            <w:vAlign w:val="center"/>
            <w:hideMark/>
          </w:tcPr>
          <w:p w14:paraId="3BDBC45A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  <w:t>0.579–0.813</w:t>
            </w:r>
          </w:p>
        </w:tc>
        <w:tc>
          <w:tcPr>
            <w:tcW w:w="0" w:type="auto"/>
            <w:vAlign w:val="center"/>
            <w:hideMark/>
          </w:tcPr>
          <w:p w14:paraId="79089745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  <w:t>0.007</w:t>
            </w:r>
          </w:p>
        </w:tc>
      </w:tr>
      <w:tr w:rsidR="00236CE4" w:rsidRPr="00CC3FD3" w14:paraId="4F2C79E2" w14:textId="77777777" w:rsidTr="009C62E6">
        <w:trPr>
          <w:trHeight w:val="967"/>
          <w:tblCellSpacing w:w="15" w:type="dxa"/>
        </w:trPr>
        <w:tc>
          <w:tcPr>
            <w:tcW w:w="0" w:type="auto"/>
            <w:vAlign w:val="center"/>
            <w:hideMark/>
          </w:tcPr>
          <w:p w14:paraId="6FC9C8DA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  <w:t>Clinical Frailty Scale</w:t>
            </w:r>
          </w:p>
        </w:tc>
        <w:tc>
          <w:tcPr>
            <w:tcW w:w="0" w:type="auto"/>
            <w:vAlign w:val="center"/>
            <w:hideMark/>
          </w:tcPr>
          <w:p w14:paraId="2B2B3ABF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  <w:t>0.823</w:t>
            </w:r>
          </w:p>
        </w:tc>
        <w:tc>
          <w:tcPr>
            <w:tcW w:w="0" w:type="auto"/>
            <w:vAlign w:val="center"/>
            <w:hideMark/>
          </w:tcPr>
          <w:p w14:paraId="34798C47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  <w:t>0.702–0.944</w:t>
            </w:r>
          </w:p>
        </w:tc>
        <w:tc>
          <w:tcPr>
            <w:tcW w:w="0" w:type="auto"/>
            <w:vAlign w:val="center"/>
            <w:hideMark/>
          </w:tcPr>
          <w:p w14:paraId="36073FEF" w14:textId="77777777" w:rsidR="00236CE4" w:rsidRPr="00CC3FD3" w:rsidRDefault="00236CE4" w:rsidP="009C62E6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</w:pPr>
            <w:r w:rsidRPr="00CC3FD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tr-TR"/>
                <w14:ligatures w14:val="none"/>
              </w:rPr>
              <w:t>&lt;0.001</w:t>
            </w:r>
          </w:p>
        </w:tc>
      </w:tr>
    </w:tbl>
    <w:p w14:paraId="784CA692" w14:textId="24ECCD8A" w:rsidR="00236CE4" w:rsidRPr="00CC3FD3" w:rsidRDefault="00236CE4" w:rsidP="00236CE4">
      <w:pPr>
        <w:pStyle w:val="NormalWeb"/>
        <w:rPr>
          <w:sz w:val="22"/>
          <w:szCs w:val="22"/>
          <w:lang w:val="en-US"/>
        </w:rPr>
      </w:pPr>
      <w:r w:rsidRPr="00CC3FD3">
        <w:rPr>
          <w:noProof/>
          <w:sz w:val="22"/>
          <w:szCs w:val="22"/>
          <w:lang w:val="en-US"/>
        </w:rPr>
        <w:lastRenderedPageBreak/>
        <w:drawing>
          <wp:inline distT="0" distB="0" distL="0" distR="0" wp14:anchorId="2B95DF8E" wp14:editId="44756A3A">
            <wp:extent cx="5760720" cy="3122930"/>
            <wp:effectExtent l="0" t="0" r="5080" b="1270"/>
            <wp:docPr id="106053617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536176" name="Resim 106053617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056DE" w14:textId="77777777" w:rsidR="00236CE4" w:rsidRPr="00CC3FD3" w:rsidRDefault="00236CE4" w:rsidP="00236CE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0B11566C" w14:textId="77777777" w:rsidR="00236CE4" w:rsidRPr="00CC3FD3" w:rsidRDefault="00236CE4" w:rsidP="00236CE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EB0AE1">
        <w:rPr>
          <w:rFonts w:ascii="Times New Roman" w:hAnsi="Times New Roman" w:cs="Times New Roman"/>
          <w:b/>
          <w:bCs/>
          <w:sz w:val="22"/>
          <w:szCs w:val="22"/>
          <w:lang w:val="en-US"/>
        </w:rPr>
        <w:t>Supplementary Figure S1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. </w:t>
      </w:r>
      <w:r w:rsidRPr="00CC3FD3">
        <w:rPr>
          <w:rFonts w:ascii="Times New Roman" w:hAnsi="Times New Roman" w:cs="Times New Roman"/>
          <w:b/>
          <w:bCs/>
          <w:sz w:val="22"/>
          <w:szCs w:val="22"/>
          <w:lang w:val="en-US"/>
        </w:rPr>
        <w:t>Comparison of antimicrobial resistance rates between geriatric and non-geriatric patients.</w:t>
      </w:r>
    </w:p>
    <w:p w14:paraId="332D238F" w14:textId="77777777" w:rsidR="00236CE4" w:rsidRPr="00CC3FD3" w:rsidRDefault="00236CE4" w:rsidP="00236CE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65B9F2DF" w14:textId="77777777" w:rsidR="00236CE4" w:rsidRPr="00CC3FD3" w:rsidRDefault="00236CE4" w:rsidP="00236CE4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71FE7C4B" w14:textId="77777777" w:rsidR="00D97BA0" w:rsidRDefault="00D97BA0"/>
    <w:sectPr w:rsidR="00D97B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CE4"/>
    <w:rsid w:val="001231D9"/>
    <w:rsid w:val="001C5C99"/>
    <w:rsid w:val="00236CE4"/>
    <w:rsid w:val="00D226E9"/>
    <w:rsid w:val="00D9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42C13E"/>
  <w15:chartTrackingRefBased/>
  <w15:docId w15:val="{A999ACD7-F7EF-8541-AF3A-B43D37547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CE4"/>
  </w:style>
  <w:style w:type="paragraph" w:styleId="Balk1">
    <w:name w:val="heading 1"/>
    <w:basedOn w:val="Normal"/>
    <w:next w:val="Normal"/>
    <w:link w:val="Balk1Char"/>
    <w:uiPriority w:val="9"/>
    <w:qFormat/>
    <w:rsid w:val="00236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36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36C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36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36C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36C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36C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36C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36C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36C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36C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36C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36CE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36CE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36CE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36CE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36CE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36CE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36C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36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36C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36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36C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36CE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36CE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36CE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36C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36CE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36CE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36CE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Hilal Ekici</dc:creator>
  <cp:keywords/>
  <dc:description/>
  <cp:lastModifiedBy>Hilal Ekici</cp:lastModifiedBy>
  <cp:revision>1</cp:revision>
  <dcterms:created xsi:type="dcterms:W3CDTF">2026-07-28T06:43:00Z</dcterms:created>
  <dcterms:modified xsi:type="dcterms:W3CDTF">2026-07-28T06:44:00Z</dcterms:modified>
</cp:coreProperties>
</file>