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AB0A5">
      <w:r>
        <w:rPr>
          <w:rFonts w:ascii="Times New Roman" w:hAnsi="Times New Roman"/>
          <w:b/>
        </w:rPr>
        <w:t xml:space="preserve">Table 5 </w:t>
      </w:r>
      <w:r>
        <w:rPr>
          <w:rFonts w:ascii="Times New Roman" w:hAnsi="Times New Roman"/>
        </w:rPr>
        <w:t>Multiple linear regression analysis of clinicopathological variables predicting the recurrence score (Model 1)</w:t>
      </w:r>
    </w:p>
    <w:tbl>
      <w:tblPr>
        <w:tblStyle w:val="2"/>
        <w:tblW w:w="864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1"/>
        <w:gridCol w:w="922"/>
        <w:gridCol w:w="1308"/>
        <w:gridCol w:w="922"/>
        <w:gridCol w:w="922"/>
        <w:gridCol w:w="1011"/>
        <w:gridCol w:w="856"/>
      </w:tblGrid>
      <w:tr w14:paraId="7E15B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7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1161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Variable</w:t>
            </w:r>
          </w:p>
        </w:tc>
        <w:tc>
          <w:tcPr>
            <w:tcW w:w="92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A1F1FE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B</w:t>
            </w:r>
          </w:p>
        </w:tc>
        <w:tc>
          <w:tcPr>
            <w:tcW w:w="130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95B22D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Std. Error</w:t>
            </w:r>
          </w:p>
        </w:tc>
        <w:tc>
          <w:tcPr>
            <w:tcW w:w="92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00DA03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β</w:t>
            </w:r>
          </w:p>
        </w:tc>
        <w:tc>
          <w:tcPr>
            <w:tcW w:w="92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AEEFB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t</w:t>
            </w:r>
          </w:p>
        </w:tc>
        <w:tc>
          <w:tcPr>
            <w:tcW w:w="101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83A7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P value</w:t>
            </w:r>
          </w:p>
        </w:tc>
        <w:tc>
          <w:tcPr>
            <w:tcW w:w="85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F3CB4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VIF</w:t>
            </w:r>
          </w:p>
        </w:tc>
      </w:tr>
      <w:tr w14:paraId="0A87D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0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78C821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(Constant)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705078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1.231</w:t>
            </w:r>
          </w:p>
        </w:tc>
        <w:tc>
          <w:tcPr>
            <w:tcW w:w="130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4FE977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0.444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96BAB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—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524CE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2.772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ADB24C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.009</w:t>
            </w: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30718A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—</w:t>
            </w:r>
          </w:p>
        </w:tc>
      </w:tr>
      <w:tr w14:paraId="4EBA4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CC63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Maximum tumor diameter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69B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0.107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933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0.125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923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0.129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92C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.854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9DB5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.399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EC6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1.025</w:t>
            </w:r>
          </w:p>
        </w:tc>
      </w:tr>
      <w:tr w14:paraId="0E085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B69D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Histological grade (G)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2C80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0.350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07B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0.154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BEC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0.342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0601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2.273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FE8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.029*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BA5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1.019</w:t>
            </w:r>
          </w:p>
        </w:tc>
      </w:tr>
      <w:tr w14:paraId="569AC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0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146DC9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Age (≤50 vs &gt;50 years)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162F0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-0.251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5DDC1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0.165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C6EB77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-0.230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3E4354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-1.522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5D8ACD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.137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999E7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1.027</w:t>
            </w:r>
          </w:p>
        </w:tc>
      </w:tr>
    </w:tbl>
    <w:p w14:paraId="50EBB9E7">
      <w:r>
        <w:rPr>
          <w:rFonts w:ascii="Times New Roman" w:hAnsi="Times New Roman"/>
          <w:i/>
          <w:sz w:val="18"/>
        </w:rPr>
        <w:t>B, unstandardized regression coefficient; β, standardized regression coefficient; Std. Error, standard error of B; VIF, variance inflation factor; t, t-statistic. Dependent variable: recurrence score (RS). Variables entered simultaneously (enter method). Overall model: F = 3.299, df = 3/35, P = 0.032, R² = 0.220, adjusted R² = 0.154. Maximum condition index = 12.454. *P &lt; 0.05.</w:t>
      </w:r>
    </w:p>
    <w:p w14:paraId="33D4993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0B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2026-08-02T02:43:54Z</dcterms:created>
  <dc:creator>13810</dc:creator>
  <cp:lastModifiedBy>康宁</cp:lastModifiedBy>
  <dcterms:modified xsi:type="dcterms:W3CDTF">2026-08-02T02:43:57Z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eyJoZGlkIjoiY2QxMTViNDA0ZjRiNmFmNWZmNDBjYTgyOTExMGJhZjYiLCJ1c2VySWQiOiIzMDkxNzUzODcifQ==</vt:lpwstr>
  </property>
  <property fmtid="{D5CDD505-2E9C-101B-9397-08002B2CF9AE}" pid="4" name="ICV">
    <vt:lpwstr>D22A1BC873D945E1BB660EE5CF995930_12</vt:lpwstr>
  </property>
</Properties>
</file>