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89291">
      <w:r>
        <w:rPr>
          <w:rFonts w:ascii="Times New Roman" w:hAnsi="Times New Roman"/>
          <w:b/>
        </w:rPr>
        <w:t xml:space="preserve">Table 3 </w:t>
      </w:r>
      <w:r>
        <w:rPr>
          <w:rFonts w:ascii="Times New Roman" w:hAnsi="Times New Roman"/>
        </w:rPr>
        <w:t>Comparison of gene pathway scores between low-risk and non-low-risk groups [median (IQR)]</w:t>
      </w:r>
    </w:p>
    <w:tbl>
      <w:tblPr>
        <w:tblStyle w:val="2"/>
        <w:tblW w:w="863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1"/>
        <w:gridCol w:w="1853"/>
        <w:gridCol w:w="2155"/>
        <w:gridCol w:w="1014"/>
        <w:gridCol w:w="1026"/>
      </w:tblGrid>
      <w:tr w14:paraId="1E18F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9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1C04F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Variable</w:t>
            </w:r>
          </w:p>
        </w:tc>
        <w:tc>
          <w:tcPr>
            <w:tcW w:w="185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8EA4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Low-risk group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</w:p>
          <w:p w14:paraId="7FC7ECC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(RS ≤ 10)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  <w:r>
              <w:rPr>
                <w:rFonts w:ascii="Times New Roman" w:hAnsi="Times New Roman" w:eastAsia="ＭＳ 明朝"/>
                <w:b/>
                <w:sz w:val="20"/>
              </w:rPr>
              <w:t>n = 17</w:t>
            </w:r>
          </w:p>
        </w:tc>
        <w:tc>
          <w:tcPr>
            <w:tcW w:w="21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80DE8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Non-low-risk group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</w:p>
          <w:p w14:paraId="7AF30D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(RS &gt; 10)</w:t>
            </w:r>
            <w:r>
              <w:rPr>
                <w:rFonts w:ascii="Times New Roman" w:hAnsi="Times New Roman" w:eastAsia="ＭＳ 明朝"/>
                <w:b/>
                <w:sz w:val="20"/>
              </w:rPr>
              <w:br w:type="textWrapping"/>
            </w:r>
            <w:r>
              <w:rPr>
                <w:rFonts w:ascii="Times New Roman" w:hAnsi="Times New Roman" w:eastAsia="ＭＳ 明朝"/>
                <w:b/>
                <w:sz w:val="20"/>
              </w:rPr>
              <w:t>n = 22</w:t>
            </w:r>
          </w:p>
        </w:tc>
        <w:tc>
          <w:tcPr>
            <w:tcW w:w="101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8F080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Z value</w:t>
            </w:r>
          </w:p>
        </w:tc>
        <w:tc>
          <w:tcPr>
            <w:tcW w:w="102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D0CB4C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20"/>
              </w:rPr>
            </w:pPr>
            <w:r>
              <w:rPr>
                <w:rFonts w:ascii="Times New Roman" w:hAnsi="Times New Roman" w:eastAsia="ＭＳ 明朝"/>
                <w:b/>
                <w:sz w:val="20"/>
              </w:rPr>
              <w:t>P value</w:t>
            </w:r>
          </w:p>
        </w:tc>
      </w:tr>
      <w:tr w14:paraId="77625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4A51B6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Estrogen group score</w:t>
            </w:r>
          </w:p>
        </w:tc>
        <w:tc>
          <w:tcPr>
            <w:tcW w:w="185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14F7B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35.8 (32.1, 37.9)</w:t>
            </w:r>
          </w:p>
        </w:tc>
        <w:tc>
          <w:tcPr>
            <w:tcW w:w="215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58CEA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33.4 (30.2, 36.0)</w:t>
            </w:r>
          </w:p>
        </w:tc>
        <w:tc>
          <w:tcPr>
            <w:tcW w:w="10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3A4728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-1.745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F133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0.081</w:t>
            </w:r>
          </w:p>
        </w:tc>
      </w:tr>
      <w:tr w14:paraId="21663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19E1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Proliferation group score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BF25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18.5 (14.0, 22.2)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759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21.8 (18.3, 29.5)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A68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-2.743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9DE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0.006**</w:t>
            </w:r>
          </w:p>
        </w:tc>
      </w:tr>
      <w:tr w14:paraId="5F0F2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4003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HER2 group score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4A3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14.8 (13.7, 16.7)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6A3B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14.2 (13.0, 16.4)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055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-0.512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B970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0.609</w:t>
            </w:r>
          </w:p>
        </w:tc>
      </w:tr>
      <w:tr w14:paraId="6D004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425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Invasion group score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412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11.1 (9.8, 12.7)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47EE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11.7 (10.2, 13.8)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067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-1.087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872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0.277</w:t>
            </w:r>
          </w:p>
        </w:tc>
      </w:tr>
      <w:tr w14:paraId="3F7F2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0BFC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CD68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7F4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7.5 (7.0, 8.3)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D74F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7.5 (7.0, 8.2)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B0B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-0.201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E57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0.841</w:t>
            </w:r>
          </w:p>
        </w:tc>
      </w:tr>
      <w:tr w14:paraId="3BF7E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0B0C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GSTM1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5C1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7.5 (6.8, 8.2)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74DE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7.2 (6.1, 8.1)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32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-0.769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ED9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0.442</w:t>
            </w:r>
          </w:p>
        </w:tc>
      </w:tr>
      <w:tr w14:paraId="3061E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42C767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BAG1</w:t>
            </w:r>
          </w:p>
        </w:tc>
        <w:tc>
          <w:tcPr>
            <w:tcW w:w="185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1E44D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7.2 (6.8, 7.9)</w:t>
            </w:r>
          </w:p>
        </w:tc>
        <w:tc>
          <w:tcPr>
            <w:tcW w:w="215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5A982B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7.0 (5.9, 7.6)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E95C33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-0.821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7FC93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20"/>
              </w:rPr>
            </w:pPr>
            <w:r>
              <w:rPr>
                <w:rFonts w:ascii="Times New Roman" w:hAnsi="Times New Roman" w:eastAsia="ＭＳ 明朝"/>
                <w:sz w:val="20"/>
              </w:rPr>
              <w:t>0.412</w:t>
            </w:r>
          </w:p>
        </w:tc>
      </w:tr>
    </w:tbl>
    <w:p w14:paraId="786E7136">
      <w:r>
        <w:rPr>
          <w:rFonts w:ascii="Times New Roman" w:hAnsi="Times New Roman"/>
          <w:i/>
          <w:sz w:val="18"/>
        </w:rPr>
        <w:t>**P &lt; 0.01 (Mann-Whitney U test). The non-low-risk group combines intermediate-risk (RS 11–25, n = 20) and high-risk (RS ≥ 26, n = 2) patients due to the limited sample size in the high-risk category.</w:t>
      </w:r>
    </w:p>
    <w:p w14:paraId="2B8C46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</w:pPr>
      <w:bookmarkStart w:id="0" w:name="_GoBack"/>
      <w:bookmarkEnd w:id="0"/>
    </w:p>
    <w:p w14:paraId="401AE4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F11BB"/>
    <w:rsid w:val="44DF11BB"/>
    <w:rsid w:val="7F90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594</Characters>
  <Lines>0</Lines>
  <Paragraphs>0</Paragraphs>
  <TotalTime>0</TotalTime>
  <ScaleCrop>false</ScaleCrop>
  <LinksUpToDate>false</LinksUpToDate>
  <CharactersWithSpaces>619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2026-06-05T10:38:00Z</dcterms:created>
  <dc:creator>康宁</dc:creator>
  <cp:lastModifiedBy>康宁</cp:lastModifiedBy>
  <dcterms:modified xsi:type="dcterms:W3CDTF">2026-08-02T02:42:37Z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ED804D8E99AE4E5E98DC961E928BBF7C_11</vt:lpwstr>
  </property>
  <property fmtid="{D5CDD505-2E9C-101B-9397-08002B2CF9AE}" pid="4" name="KSOTemplateDocerSaveRecord">
    <vt:lpwstr>eyJoZGlkIjoiY2QxMTViNDA0ZjRiNmFmNWZmNDBjYTgyOTExMGJhZjYiLCJ1c2VySWQiOiIzMDkxNzUzODcifQ==</vt:lpwstr>
  </property>
</Properties>
</file>