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CFA91">
      <w:r>
        <w:rPr>
          <w:rFonts w:ascii="Times New Roman" w:hAnsi="Times New Roman"/>
          <w:b/>
        </w:rPr>
        <w:t xml:space="preserve">Table 1 </w:t>
      </w:r>
      <w:r>
        <w:rPr>
          <w:rFonts w:ascii="Times New Roman" w:hAnsi="Times New Roman"/>
        </w:rPr>
        <w:t>Comparison of clinicopathological characteristics between low-risk and medium-high risk breast cancer patients [n (%)]</w:t>
      </w:r>
    </w:p>
    <w:tbl>
      <w:tblPr>
        <w:tblStyle w:val="4"/>
        <w:tblW w:w="86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1949"/>
        <w:gridCol w:w="2327"/>
        <w:gridCol w:w="844"/>
        <w:gridCol w:w="965"/>
      </w:tblGrid>
      <w:tr w14:paraId="1C701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DF82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Characteristic</w:t>
            </w:r>
          </w:p>
        </w:tc>
        <w:tc>
          <w:tcPr>
            <w:tcW w:w="194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A94B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Low-risk group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(RS ≤ 10)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 xml:space="preserve">n </w:t>
            </w:r>
          </w:p>
          <w:p w14:paraId="059913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(%)</w:t>
            </w:r>
          </w:p>
        </w:tc>
        <w:tc>
          <w:tcPr>
            <w:tcW w:w="23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0E80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Medium-high risk group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(RS &gt; 10)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 xml:space="preserve">n </w:t>
            </w:r>
          </w:p>
          <w:p w14:paraId="524F6C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(%)</w:t>
            </w:r>
          </w:p>
        </w:tc>
        <w:tc>
          <w:tcPr>
            <w:tcW w:w="84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6550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χ²</w:t>
            </w:r>
          </w:p>
        </w:tc>
        <w:tc>
          <w:tcPr>
            <w:tcW w:w="96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FD34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</w:tr>
      <w:tr w14:paraId="5C45F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D55B8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Age</w:t>
            </w:r>
          </w:p>
        </w:tc>
        <w:tc>
          <w:tcPr>
            <w:tcW w:w="194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EAB2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1ED7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3C05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2.464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4D94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0.117</w:t>
            </w:r>
          </w:p>
        </w:tc>
      </w:tr>
      <w:tr w14:paraId="573F0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2DE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≤50 years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AA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(29.4)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110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12 (54.5)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12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0E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3ECFA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3EDC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&gt;50 years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BD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12 (70.6)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2AA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10 (45.5)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6B0A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0C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40885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7D7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Maximum tumor diameter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1DC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A6E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CBB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3.501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041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0.174</w:t>
            </w:r>
          </w:p>
        </w:tc>
      </w:tr>
      <w:tr w14:paraId="0001F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2336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≤1 cm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72E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10 (58.8)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5E4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 (31.8)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A05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554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28122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0FA3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1–2 cm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E4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(29.4)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AF3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13 (59.1)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290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9E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27C6C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234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&gt;2 cm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DAD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 (11.8)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20E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 (9.1)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1C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17B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43EC5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64F4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Histological grade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30B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E58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5DF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5.640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D292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0.060</w:t>
            </w:r>
          </w:p>
        </w:tc>
      </w:tr>
      <w:tr w14:paraId="43624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D936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76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10 (58.8)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82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(22.7)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262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073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629A2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4890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II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EE6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 (41.2)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1BC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16 (72.7)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41C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111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3F4BA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664D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III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54C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 (0)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3B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 (4.5)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21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ED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7AE0F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91EC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Ki-67 index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BCC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F9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06F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59A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0.883</w:t>
            </w:r>
          </w:p>
        </w:tc>
      </w:tr>
      <w:tr w14:paraId="31E18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6D9D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≤14%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9C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(29.4)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8C9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6 (27.3)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771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8B1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2FEE7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49C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&gt;14%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365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12 (70.6)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3A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16 (72.7)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3DB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4F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70441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EA23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HER2 expression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96E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1CE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371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0.560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F5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0.756</w:t>
            </w:r>
          </w:p>
        </w:tc>
      </w:tr>
      <w:tr w14:paraId="3AC52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6F82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869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3 (17.6)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30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(22.7)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BD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46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67ECB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3BCF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1+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C87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9 (52.9)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60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9 (40.9)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DDB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A3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  <w:tr w14:paraId="129BE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FD48C3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2+</w:t>
            </w:r>
          </w:p>
        </w:tc>
        <w:tc>
          <w:tcPr>
            <w:tcW w:w="194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7B4E3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5 (29.4)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951FF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8 (36.4)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0815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789A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</w:p>
        </w:tc>
      </w:tr>
    </w:tbl>
    <w:p w14:paraId="0363CE6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84440"/>
    <w:rsid w:val="63C84440"/>
    <w:rsid w:val="7928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523</Characters>
  <Lines>0</Lines>
  <Paragraphs>0</Paragraphs>
  <TotalTime>0</TotalTime>
  <ScaleCrop>false</ScaleCrop>
  <LinksUpToDate>false</LinksUpToDate>
  <CharactersWithSpaces>544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2026-06-05T10:35:00Z</dcterms:created>
  <dc:creator>康宁</dc:creator>
  <cp:lastModifiedBy>康宁</cp:lastModifiedBy>
  <dcterms:modified xsi:type="dcterms:W3CDTF">2026-08-02T02:41:50Z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49A26CB405C24F2CB3085426832AB642_11</vt:lpwstr>
  </property>
  <property fmtid="{D5CDD505-2E9C-101B-9397-08002B2CF9AE}" pid="4" name="KSOTemplateDocerSaveRecord">
    <vt:lpwstr>eyJoZGlkIjoiY2QxMTViNDA0ZjRiNmFmNWZmNDBjYTgyOTExMGJhZjYiLCJ1c2VySWQiOiIzMDkxNzUzODcifQ==</vt:lpwstr>
  </property>
</Properties>
</file>