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9B79CA" w14:textId="77777777" w:rsidR="0044169B" w:rsidRPr="002D4A65" w:rsidRDefault="0044169B" w:rsidP="0044169B">
      <w:pPr>
        <w:pStyle w:val="Caption"/>
        <w:rPr>
          <w:i w:val="0"/>
          <w:iCs w:val="0"/>
          <w:noProof/>
          <w:color w:val="000000" w:themeColor="text1"/>
          <w:szCs w:val="24"/>
        </w:rPr>
      </w:pPr>
    </w:p>
    <w:p w14:paraId="469C321E" w14:textId="77777777" w:rsidR="0044169B" w:rsidRPr="002D4A65" w:rsidRDefault="0044169B" w:rsidP="0044169B">
      <w:pPr>
        <w:pStyle w:val="Caption"/>
        <w:rPr>
          <w:noProof/>
          <w:color w:val="000000" w:themeColor="text1"/>
          <w:szCs w:val="24"/>
        </w:rPr>
      </w:pPr>
      <w:r w:rsidRPr="002D4A65">
        <w:rPr>
          <w:noProof/>
          <w:color w:val="000000" w:themeColor="text1"/>
          <w:szCs w:val="24"/>
        </w:rPr>
        <w:drawing>
          <wp:inline distT="0" distB="0" distL="0" distR="0" wp14:anchorId="3D7AC938" wp14:editId="2A863061">
            <wp:extent cx="5970736" cy="3333750"/>
            <wp:effectExtent l="0" t="0" r="0" b="0"/>
            <wp:docPr id="19" name="圖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圖片 19"/>
                    <pic:cNvPicPr/>
                  </pic:nvPicPr>
                  <pic:blipFill>
                    <a:blip r:embed="rId5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6529" cy="3336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D1CC9B" w14:textId="3840C560" w:rsidR="0044169B" w:rsidRPr="002D4A65" w:rsidRDefault="0044169B" w:rsidP="0044169B">
      <w:pPr>
        <w:jc w:val="both"/>
        <w:rPr>
          <w:color w:val="000000" w:themeColor="text1"/>
          <w:szCs w:val="24"/>
        </w:rPr>
      </w:pPr>
      <w:r w:rsidRPr="002D4A65">
        <w:rPr>
          <w:color w:val="000000" w:themeColor="text1"/>
          <w:szCs w:val="24"/>
        </w:rPr>
        <w:t>SI 1</w:t>
      </w:r>
      <w:r w:rsidRPr="002D4A65">
        <w:rPr>
          <w:rFonts w:hint="eastAsia"/>
          <w:color w:val="000000" w:themeColor="text1"/>
          <w:szCs w:val="24"/>
        </w:rPr>
        <w:t>.</w:t>
      </w:r>
      <w:r w:rsidRPr="002D4A65">
        <w:rPr>
          <w:color w:val="000000" w:themeColor="text1"/>
          <w:szCs w:val="24"/>
        </w:rPr>
        <w:t xml:space="preserve"> The RNA analysis of lung tissues of normal control and COPD patients (GSE47460). (A) MMP-28 expression in normal control and COPD group, showed positive correlation with lung function and negative correlation with the severity of emphysema. In contrast, MMP-1, 9, and 25 showed negative correlation with lung functions and positive correlation with emphysema severity.  (B) MMP-28 expression in only COPD group, showed the same expression pattern which was positive correlation with lung function and negative with emphysema severity. </w:t>
      </w:r>
    </w:p>
    <w:p w14:paraId="53A3541D" w14:textId="77777777" w:rsidR="0044169B" w:rsidRPr="002D4A65" w:rsidRDefault="0044169B" w:rsidP="0044169B">
      <w:pPr>
        <w:pStyle w:val="Caption"/>
        <w:rPr>
          <w:color w:val="000000" w:themeColor="text1"/>
        </w:rPr>
      </w:pPr>
      <w:r w:rsidRPr="002D4A65">
        <w:rPr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59264" behindDoc="0" locked="0" layoutInCell="1" allowOverlap="1" wp14:anchorId="6733A0C6" wp14:editId="42ABA731">
            <wp:simplePos x="0" y="0"/>
            <wp:positionH relativeFrom="column">
              <wp:posOffset>128905</wp:posOffset>
            </wp:positionH>
            <wp:positionV relativeFrom="paragraph">
              <wp:posOffset>344381</wp:posOffset>
            </wp:positionV>
            <wp:extent cx="4287520" cy="4742180"/>
            <wp:effectExtent l="0" t="0" r="5080" b="0"/>
            <wp:wrapTopAndBottom/>
            <wp:docPr id="206060277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0602779" name="Picture 1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0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7520" cy="47421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BDEB567" w14:textId="77777777" w:rsidR="0044169B" w:rsidRPr="002D4A65" w:rsidRDefault="0044169B" w:rsidP="0044169B">
      <w:pPr>
        <w:pStyle w:val="Caption"/>
        <w:rPr>
          <w:i w:val="0"/>
          <w:iCs w:val="0"/>
          <w:color w:val="000000" w:themeColor="text1"/>
          <w:sz w:val="24"/>
          <w:szCs w:val="24"/>
        </w:rPr>
      </w:pPr>
      <w:r w:rsidRPr="002D4A65">
        <w:rPr>
          <w:i w:val="0"/>
          <w:iCs w:val="0"/>
          <w:color w:val="000000" w:themeColor="text1"/>
          <w:sz w:val="24"/>
          <w:szCs w:val="24"/>
        </w:rPr>
        <w:t>SI 2. RNA analysis of peripheral blood mononuclear cell (PBMC) from COPD patients (GSE76705). MMP-28 showed positive correlation with FEV1%, FEV/FVC, and negative correlation with emphysema, age, smoking and Gastrap.</w:t>
      </w:r>
    </w:p>
    <w:p w14:paraId="69E1F43A" w14:textId="77777777" w:rsidR="0044169B" w:rsidRPr="002D4A65" w:rsidRDefault="0044169B" w:rsidP="0044169B">
      <w:pPr>
        <w:jc w:val="both"/>
        <w:rPr>
          <w:color w:val="000000" w:themeColor="text1"/>
        </w:rPr>
      </w:pPr>
    </w:p>
    <w:p w14:paraId="1C633DAC" w14:textId="77777777" w:rsidR="0044169B" w:rsidRPr="002D4A65" w:rsidRDefault="0044169B" w:rsidP="0044169B">
      <w:pPr>
        <w:keepNext/>
        <w:jc w:val="both"/>
        <w:rPr>
          <w:color w:val="000000" w:themeColor="text1"/>
          <w:szCs w:val="24"/>
        </w:rPr>
      </w:pPr>
      <w:r w:rsidRPr="002D4A65">
        <w:rPr>
          <w:noProof/>
          <w:color w:val="000000" w:themeColor="text1"/>
          <w:szCs w:val="24"/>
        </w:rPr>
        <w:lastRenderedPageBreak/>
        <w:drawing>
          <wp:inline distT="0" distB="0" distL="0" distR="0" wp14:anchorId="4E39E5C8" wp14:editId="1E310179">
            <wp:extent cx="1906411" cy="743803"/>
            <wp:effectExtent l="0" t="0" r="0" b="0"/>
            <wp:docPr id="25" name="圖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5297"/>
                    <a:stretch/>
                  </pic:blipFill>
                  <pic:spPr bwMode="auto">
                    <a:xfrm>
                      <a:off x="0" y="0"/>
                      <a:ext cx="1919444" cy="7488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641B8D7" w14:textId="77777777" w:rsidR="0044169B" w:rsidRPr="002D4A65" w:rsidRDefault="0044169B" w:rsidP="0044169B">
      <w:pPr>
        <w:keepNext/>
        <w:jc w:val="both"/>
        <w:rPr>
          <w:noProof/>
          <w:color w:val="000000" w:themeColor="text1"/>
        </w:rPr>
      </w:pPr>
      <w:r w:rsidRPr="002D4A65">
        <w:rPr>
          <w:noProof/>
          <w:color w:val="000000" w:themeColor="text1"/>
        </w:rPr>
        <w:t>A</w:t>
      </w:r>
      <w:r w:rsidRPr="002D4A65">
        <w:rPr>
          <w:noProof/>
          <w:color w:val="000000" w:themeColor="text1"/>
          <w:szCs w:val="24"/>
        </w:rPr>
        <w:drawing>
          <wp:inline distT="0" distB="0" distL="0" distR="0" wp14:anchorId="5912544D" wp14:editId="2F38E38B">
            <wp:extent cx="1913175" cy="1458296"/>
            <wp:effectExtent l="0" t="0" r="0" b="0"/>
            <wp:docPr id="34" name="圖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457"/>
                    <a:stretch/>
                  </pic:blipFill>
                  <pic:spPr bwMode="auto">
                    <a:xfrm>
                      <a:off x="0" y="0"/>
                      <a:ext cx="1939483" cy="14783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D4A65">
        <w:rPr>
          <w:noProof/>
          <w:color w:val="000000" w:themeColor="text1"/>
        </w:rPr>
        <w:t xml:space="preserve">                      B</w:t>
      </w:r>
      <w:r w:rsidRPr="002D4A65">
        <w:rPr>
          <w:noProof/>
          <w:color w:val="000000" w:themeColor="text1"/>
        </w:rPr>
        <w:drawing>
          <wp:inline distT="0" distB="0" distL="0" distR="0" wp14:anchorId="347E0F9B" wp14:editId="63298B6B">
            <wp:extent cx="2494280" cy="1799590"/>
            <wp:effectExtent l="0" t="0" r="1270" b="0"/>
            <wp:docPr id="1" name="圖表 1">
              <a:extLst xmlns:a="http://schemas.openxmlformats.org/drawingml/2006/main">
                <a:ext uri="{FF2B5EF4-FFF2-40B4-BE49-F238E27FC236}">
                  <a16:creationId xmlns:a16="http://schemas.microsoft.com/office/drawing/2014/main" id="{F20ABD10-7045-403D-A8B4-07B1BFACC8BA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425CE347" w14:textId="77777777" w:rsidR="0044169B" w:rsidRPr="002D4A65" w:rsidRDefault="0044169B" w:rsidP="0044169B">
      <w:pPr>
        <w:keepNext/>
        <w:jc w:val="both"/>
        <w:rPr>
          <w:noProof/>
          <w:color w:val="000000" w:themeColor="text1"/>
        </w:rPr>
      </w:pPr>
      <w:r w:rsidRPr="002D4A65">
        <w:rPr>
          <w:noProof/>
          <w:color w:val="000000" w:themeColor="text1"/>
        </w:rPr>
        <w:t>C</w:t>
      </w:r>
      <w:r w:rsidRPr="002D4A65">
        <w:rPr>
          <w:noProof/>
          <w:color w:val="000000" w:themeColor="text1"/>
        </w:rPr>
        <w:drawing>
          <wp:inline distT="0" distB="0" distL="0" distR="0" wp14:anchorId="4BD6671B" wp14:editId="7B3E4B79">
            <wp:extent cx="2613546" cy="1743236"/>
            <wp:effectExtent l="0" t="0" r="0" b="0"/>
            <wp:docPr id="39" name="圖表 39">
              <a:extLst xmlns:a="http://schemas.openxmlformats.org/drawingml/2006/main">
                <a:ext uri="{FF2B5EF4-FFF2-40B4-BE49-F238E27FC236}">
                  <a16:creationId xmlns:a16="http://schemas.microsoft.com/office/drawing/2014/main" id="{30F00493-F512-4403-B684-D9F577F2A6AB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  <w:r w:rsidRPr="002D4A65">
        <w:rPr>
          <w:noProof/>
          <w:color w:val="000000" w:themeColor="text1"/>
        </w:rPr>
        <w:t xml:space="preserve"> D</w:t>
      </w:r>
      <w:r w:rsidRPr="002D4A65">
        <w:rPr>
          <w:noProof/>
          <w:color w:val="000000" w:themeColor="text1"/>
        </w:rPr>
        <w:drawing>
          <wp:inline distT="0" distB="0" distL="0" distR="0" wp14:anchorId="1FE26AE7" wp14:editId="4C2BE2D4">
            <wp:extent cx="2497455" cy="1705970"/>
            <wp:effectExtent l="0" t="0" r="0" b="8890"/>
            <wp:docPr id="36" name="圖表 36">
              <a:extLst xmlns:a="http://schemas.openxmlformats.org/drawingml/2006/main">
                <a:ext uri="{FF2B5EF4-FFF2-40B4-BE49-F238E27FC236}">
                  <a16:creationId xmlns:a16="http://schemas.microsoft.com/office/drawing/2014/main" id="{87D740D1-0B72-48FB-AC10-A2D513FF027D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0087E61A" w14:textId="77777777" w:rsidR="0044169B" w:rsidRPr="002D4A65" w:rsidRDefault="0044169B" w:rsidP="0044169B">
      <w:pPr>
        <w:keepNext/>
        <w:jc w:val="both"/>
        <w:rPr>
          <w:noProof/>
          <w:color w:val="000000" w:themeColor="text1"/>
        </w:rPr>
      </w:pPr>
      <w:r w:rsidRPr="002D4A65">
        <w:rPr>
          <w:noProof/>
          <w:color w:val="000000" w:themeColor="text1"/>
        </w:rPr>
        <w:t>E</w:t>
      </w:r>
      <w:r w:rsidRPr="002D4A65">
        <w:rPr>
          <w:noProof/>
          <w:color w:val="000000" w:themeColor="text1"/>
        </w:rPr>
        <w:drawing>
          <wp:inline distT="0" distB="0" distL="0" distR="0" wp14:anchorId="4AA9C0B9" wp14:editId="6D534DA6">
            <wp:extent cx="2497455" cy="1849272"/>
            <wp:effectExtent l="0" t="0" r="0" b="0"/>
            <wp:docPr id="37" name="圖表 37">
              <a:extLst xmlns:a="http://schemas.openxmlformats.org/drawingml/2006/main">
                <a:ext uri="{FF2B5EF4-FFF2-40B4-BE49-F238E27FC236}">
                  <a16:creationId xmlns:a16="http://schemas.microsoft.com/office/drawing/2014/main" id="{1F5981F4-7D94-4B49-BB37-B5D39CBBBC7A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  <w:r w:rsidRPr="002D4A65">
        <w:rPr>
          <w:noProof/>
          <w:color w:val="000000" w:themeColor="text1"/>
        </w:rPr>
        <w:t>F</w:t>
      </w:r>
      <w:r w:rsidRPr="002D4A65">
        <w:rPr>
          <w:noProof/>
          <w:color w:val="000000" w:themeColor="text1"/>
        </w:rPr>
        <w:drawing>
          <wp:inline distT="0" distB="0" distL="0" distR="0" wp14:anchorId="2FD6CE58" wp14:editId="5EB6D551">
            <wp:extent cx="2627723" cy="1874795"/>
            <wp:effectExtent l="0" t="0" r="1270" b="0"/>
            <wp:docPr id="41" name="圖表 41">
              <a:extLst xmlns:a="http://schemas.openxmlformats.org/drawingml/2006/main">
                <a:ext uri="{FF2B5EF4-FFF2-40B4-BE49-F238E27FC236}">
                  <a16:creationId xmlns:a16="http://schemas.microsoft.com/office/drawing/2014/main" id="{F8731081-845E-49CA-822D-C4CB01266CB6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14:paraId="7893159C" w14:textId="77777777" w:rsidR="0044169B" w:rsidRPr="002D4A65" w:rsidRDefault="0044169B" w:rsidP="0044169B">
      <w:pPr>
        <w:spacing w:after="0" w:line="240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2D4A65">
        <w:rPr>
          <w:rFonts w:cstheme="minorHAnsi"/>
          <w:color w:val="000000" w:themeColor="text1"/>
          <w:sz w:val="24"/>
          <w:szCs w:val="24"/>
        </w:rPr>
        <w:t>SI 3. The cytokine expression during the polarization of THP-1 cells into M0, M1, and M2 macrophage phenotypes. (A) MMP-9 expression increased during macrophage polarization, whereas MMP-28 expression was highest in M2 macrophages. The expression level was summarized as fold changes. (B) MMP-9 was prominent in M1 and M2 phenotypes. (C) MMP-28 was associated with M1 and M2. (D) TNF-α was more prominent with M1. (E) IL-1</w:t>
      </w:r>
      <w:r w:rsidRPr="002D4A65">
        <w:rPr>
          <w:rFonts w:eastAsia="DFKai-SB" w:cstheme="minorHAnsi"/>
          <w:color w:val="000000" w:themeColor="text1"/>
          <w:sz w:val="24"/>
          <w:szCs w:val="24"/>
        </w:rPr>
        <w:t>b</w:t>
      </w:r>
      <w:r w:rsidRPr="002D4A65">
        <w:rPr>
          <w:rFonts w:cstheme="minorHAnsi"/>
          <w:color w:val="000000" w:themeColor="text1"/>
          <w:sz w:val="24"/>
          <w:szCs w:val="24"/>
        </w:rPr>
        <w:t xml:space="preserve"> was more prominent with M1 too. (F) TGF-</w:t>
      </w:r>
      <w:r w:rsidRPr="002D4A65">
        <w:rPr>
          <w:rFonts w:eastAsia="DFKai-SB" w:cstheme="minorHAnsi"/>
          <w:color w:val="000000" w:themeColor="text1"/>
          <w:sz w:val="24"/>
          <w:szCs w:val="24"/>
        </w:rPr>
        <w:t>b</w:t>
      </w:r>
      <w:r w:rsidRPr="002D4A65">
        <w:rPr>
          <w:rFonts w:cstheme="minorHAnsi"/>
          <w:color w:val="000000" w:themeColor="text1"/>
          <w:sz w:val="24"/>
          <w:szCs w:val="24"/>
        </w:rPr>
        <w:t xml:space="preserve"> was more in M2 but in general it’s the same level in all phenotypes. </w:t>
      </w:r>
    </w:p>
    <w:p w14:paraId="3DB0FB48" w14:textId="77777777" w:rsidR="0044169B" w:rsidRPr="002D4A65" w:rsidRDefault="0044169B" w:rsidP="0044169B">
      <w:pPr>
        <w:pStyle w:val="Caption"/>
        <w:jc w:val="both"/>
        <w:rPr>
          <w:noProof/>
          <w:color w:val="000000" w:themeColor="text1"/>
        </w:rPr>
      </w:pPr>
      <w:r w:rsidRPr="002D4A65">
        <w:rPr>
          <w:noProof/>
          <w:color w:val="000000" w:themeColor="text1"/>
        </w:rPr>
        <w:lastRenderedPageBreak/>
        <w:drawing>
          <wp:inline distT="0" distB="0" distL="0" distR="0" wp14:anchorId="27226BFB" wp14:editId="6E9530B5">
            <wp:extent cx="3782695" cy="3682004"/>
            <wp:effectExtent l="0" t="0" r="8255" b="0"/>
            <wp:docPr id="4" name="圖片 1">
              <a:extLst xmlns:a="http://schemas.openxmlformats.org/drawingml/2006/main">
                <a:ext uri="{FF2B5EF4-FFF2-40B4-BE49-F238E27FC236}">
                  <a16:creationId xmlns:a16="http://schemas.microsoft.com/office/drawing/2014/main" id="{34C2CAF1-11A0-7FE6-D1E3-312DBCA1039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圖片 1">
                      <a:extLst>
                        <a:ext uri="{FF2B5EF4-FFF2-40B4-BE49-F238E27FC236}">
                          <a16:creationId xmlns:a16="http://schemas.microsoft.com/office/drawing/2014/main" id="{34C2CAF1-11A0-7FE6-D1E3-312DBCA1039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5"/>
                    <a:srcRect t="22340" b="101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6669" cy="37053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D4A65">
        <w:rPr>
          <w:noProof/>
          <w:color w:val="000000" w:themeColor="text1"/>
        </w:rPr>
        <w:t xml:space="preserve"> </w:t>
      </w:r>
      <w:r w:rsidRPr="002D4A65">
        <w:rPr>
          <w:noProof/>
          <w:color w:val="000000" w:themeColor="text1"/>
        </w:rPr>
        <w:drawing>
          <wp:inline distT="0" distB="0" distL="0" distR="0" wp14:anchorId="6C7A7641" wp14:editId="31178809">
            <wp:extent cx="3792086" cy="2912219"/>
            <wp:effectExtent l="0" t="0" r="0" b="2540"/>
            <wp:docPr id="7" name="圖片 1">
              <a:extLst xmlns:a="http://schemas.openxmlformats.org/drawingml/2006/main">
                <a:ext uri="{FF2B5EF4-FFF2-40B4-BE49-F238E27FC236}">
                  <a16:creationId xmlns:a16="http://schemas.microsoft.com/office/drawing/2014/main" id="{467AF91A-0E11-27BB-F7C5-AAB5DA244D69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圖片 1">
                      <a:extLst>
                        <a:ext uri="{FF2B5EF4-FFF2-40B4-BE49-F238E27FC236}">
                          <a16:creationId xmlns:a16="http://schemas.microsoft.com/office/drawing/2014/main" id="{467AF91A-0E11-27BB-F7C5-AAB5DA244D69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5" r="1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2086" cy="29122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D4A65">
        <w:rPr>
          <w:noProof/>
          <w:color w:val="000000" w:themeColor="text1"/>
        </w:rPr>
        <w:t xml:space="preserve"> </w:t>
      </w:r>
    </w:p>
    <w:p w14:paraId="49A4D70B" w14:textId="77777777" w:rsidR="0044169B" w:rsidRPr="002D4A65" w:rsidRDefault="0044169B" w:rsidP="0044169B">
      <w:pPr>
        <w:pStyle w:val="Caption"/>
        <w:jc w:val="both"/>
        <w:rPr>
          <w:i w:val="0"/>
          <w:iCs w:val="0"/>
          <w:color w:val="000000" w:themeColor="text1"/>
          <w:sz w:val="24"/>
          <w:szCs w:val="24"/>
        </w:rPr>
      </w:pPr>
      <w:r w:rsidRPr="002D4A65">
        <w:rPr>
          <w:i w:val="0"/>
          <w:iCs w:val="0"/>
          <w:color w:val="000000" w:themeColor="text1"/>
          <w:sz w:val="24"/>
          <w:szCs w:val="24"/>
        </w:rPr>
        <w:t>SI</w:t>
      </w:r>
      <w:r w:rsidRPr="002D4A65">
        <w:rPr>
          <w:rFonts w:hint="eastAsia"/>
          <w:i w:val="0"/>
          <w:iCs w:val="0"/>
          <w:color w:val="000000" w:themeColor="text1"/>
          <w:sz w:val="24"/>
          <w:szCs w:val="24"/>
        </w:rPr>
        <w:t xml:space="preserve"> </w:t>
      </w:r>
      <w:r w:rsidRPr="002D4A65">
        <w:rPr>
          <w:i w:val="0"/>
          <w:iCs w:val="0"/>
          <w:color w:val="000000" w:themeColor="text1"/>
          <w:sz w:val="24"/>
          <w:szCs w:val="24"/>
        </w:rPr>
        <w:t xml:space="preserve">4. Cigarette smoke extract (CSE) induces MMP-28 and extracellular matrix–related remodeling factors in THP-1–derived macrophages. (A) concentrations of CSE between 0.25%–2.00% exhibited low cytotoxicity (cell viability is above 90%), indicating a safe range for subsequent experiments. (B) The expression of mRNA of MMP-28 from THP-1 derived macrophages were induced by CSE. (C) Consistently, protein expression level showed a corresponding expression of MMP-28 protein with CSE exposure. (D) Moreover, as CSE exposure increased, the expression of tissue remodeling proteins, MMP-9, MMP-12, and TGF-β, which were produced by THP-1 macrophages, were markedly elevated. This suggests </w:t>
      </w:r>
      <w:r w:rsidRPr="002D4A65">
        <w:rPr>
          <w:i w:val="0"/>
          <w:iCs w:val="0"/>
          <w:color w:val="000000" w:themeColor="text1"/>
          <w:sz w:val="24"/>
          <w:szCs w:val="24"/>
        </w:rPr>
        <w:lastRenderedPageBreak/>
        <w:t>that CSE promotes macrophage-mediated extracellular matrix remodeling, which may contribute to tissue damage or pathological changes.</w:t>
      </w:r>
    </w:p>
    <w:p w14:paraId="53DA8B53" w14:textId="77777777" w:rsidR="0044169B" w:rsidRPr="002D4A65" w:rsidRDefault="0044169B" w:rsidP="0044169B">
      <w:pPr>
        <w:rPr>
          <w:color w:val="000000" w:themeColor="text1"/>
          <w:sz w:val="24"/>
          <w:szCs w:val="24"/>
        </w:rPr>
      </w:pPr>
    </w:p>
    <w:p w14:paraId="021FD030" w14:textId="77777777" w:rsidR="0044169B" w:rsidRPr="002D4A65" w:rsidRDefault="0044169B" w:rsidP="0044169B">
      <w:pPr>
        <w:rPr>
          <w:noProof/>
          <w:color w:val="000000" w:themeColor="text1"/>
        </w:rPr>
      </w:pPr>
      <w:r w:rsidRPr="002D4A65">
        <w:rPr>
          <w:noProof/>
          <w:color w:val="000000" w:themeColor="text1"/>
        </w:rPr>
        <w:drawing>
          <wp:inline distT="0" distB="0" distL="0" distR="0" wp14:anchorId="6ECA94D0" wp14:editId="6CBBDDB4">
            <wp:extent cx="3790950" cy="5208971"/>
            <wp:effectExtent l="0" t="0" r="0" b="0"/>
            <wp:docPr id="9" name="圖片 1">
              <a:extLst xmlns:a="http://schemas.openxmlformats.org/drawingml/2006/main">
                <a:ext uri="{FF2B5EF4-FFF2-40B4-BE49-F238E27FC236}">
                  <a16:creationId xmlns:a16="http://schemas.microsoft.com/office/drawing/2014/main" id="{B0B1840C-20E7-9FF4-7B38-CE3A7BE06025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圖片 1">
                      <a:extLst>
                        <a:ext uri="{FF2B5EF4-FFF2-40B4-BE49-F238E27FC236}">
                          <a16:creationId xmlns:a16="http://schemas.microsoft.com/office/drawing/2014/main" id="{B0B1840C-20E7-9FF4-7B38-CE3A7BE06025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 rotWithShape="1">
                    <a:blip r:embed="rId17"/>
                    <a:srcRect b="47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7260" cy="52313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D4A65">
        <w:rPr>
          <w:noProof/>
          <w:color w:val="000000" w:themeColor="text1"/>
        </w:rPr>
        <w:t xml:space="preserve"> </w:t>
      </w:r>
    </w:p>
    <w:p w14:paraId="12B365C3" w14:textId="5EDAE32E" w:rsidR="0044169B" w:rsidRPr="002D4A65" w:rsidRDefault="0044169B" w:rsidP="0044169B">
      <w:pPr>
        <w:jc w:val="both"/>
        <w:rPr>
          <w:i/>
          <w:iCs/>
          <w:color w:val="000000" w:themeColor="text1"/>
          <w:sz w:val="24"/>
          <w:szCs w:val="24"/>
        </w:rPr>
      </w:pPr>
      <w:r w:rsidRPr="002D4A65">
        <w:rPr>
          <w:noProof/>
          <w:color w:val="000000" w:themeColor="text1"/>
        </w:rPr>
        <w:t xml:space="preserve">SI 5. CSE enhanced </w:t>
      </w:r>
      <w:bookmarkStart w:id="0" w:name="_Hlk215744600"/>
      <w:r w:rsidRPr="002D4A65">
        <w:rPr>
          <w:noProof/>
          <w:color w:val="000000" w:themeColor="text1"/>
        </w:rPr>
        <w:t>the expression of M1- and M2-associated cytokines. (A)-(D) Gene expression of M1-related cytokines: TNF-a, IL-1b, IL-6 and IL-8 was assessed in THP-1-derived macrophages</w:t>
      </w:r>
      <w:bookmarkEnd w:id="0"/>
      <w:r w:rsidRPr="002D4A65">
        <w:rPr>
          <w:noProof/>
          <w:color w:val="000000" w:themeColor="text1"/>
        </w:rPr>
        <w:t xml:space="preserve"> after 72-hour stimulation with or without CSE (n = 3), to evaluate </w:t>
      </w:r>
      <w:bookmarkStart w:id="1" w:name="_Hlk215743966"/>
      <w:r w:rsidRPr="002D4A65">
        <w:rPr>
          <w:noProof/>
          <w:color w:val="000000" w:themeColor="text1"/>
        </w:rPr>
        <w:t>the effect of CSE on macrophage polarization</w:t>
      </w:r>
      <w:bookmarkEnd w:id="1"/>
      <w:r w:rsidRPr="002D4A65">
        <w:rPr>
          <w:noProof/>
          <w:color w:val="000000" w:themeColor="text1"/>
        </w:rPr>
        <w:t>. (E) Gene expression of M2-related cytokine: TGF-b was assessed under the same conditions (n = 3). This indicates that CSE does not drive macrophages toward a single polarization state, but rather induces a mixed M1/M2 phenotype, suggesting a complex inflammatory and remodeling response that may contribute to chronic tissue damage and dysregulated immune processes. The data was expressed as the mean ± SD and statistically analyzed by one-way ANOVA: *P &lt; 0.05</w:t>
      </w:r>
    </w:p>
    <w:p w14:paraId="07539501" w14:textId="77777777" w:rsidR="0044169B" w:rsidRPr="002D4A65" w:rsidRDefault="0044169B" w:rsidP="0044169B">
      <w:pPr>
        <w:rPr>
          <w:color w:val="000000" w:themeColor="text1"/>
        </w:rPr>
      </w:pPr>
      <w:r w:rsidRPr="002D4A65">
        <w:rPr>
          <w:noProof/>
          <w:color w:val="000000" w:themeColor="text1"/>
        </w:rPr>
        <w:lastRenderedPageBreak/>
        <w:drawing>
          <wp:inline distT="0" distB="0" distL="0" distR="0" wp14:anchorId="1F2BA069" wp14:editId="67B5AB7E">
            <wp:extent cx="3343275" cy="1700246"/>
            <wp:effectExtent l="0" t="0" r="0" b="0"/>
            <wp:docPr id="15" name="圖片 1">
              <a:extLst xmlns:a="http://schemas.openxmlformats.org/drawingml/2006/main">
                <a:ext uri="{FF2B5EF4-FFF2-40B4-BE49-F238E27FC236}">
                  <a16:creationId xmlns:a16="http://schemas.microsoft.com/office/drawing/2014/main" id="{307FEC8E-4F35-63E1-83AE-DF58952C92A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圖片 1">
                      <a:extLst>
                        <a:ext uri="{FF2B5EF4-FFF2-40B4-BE49-F238E27FC236}">
                          <a16:creationId xmlns:a16="http://schemas.microsoft.com/office/drawing/2014/main" id="{307FEC8E-4F35-63E1-83AE-DF58952C92A7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8"/>
                    <a:srcRect b="647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7902" cy="17178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D4A65">
        <w:rPr>
          <w:color w:val="000000" w:themeColor="text1"/>
        </w:rPr>
        <w:t xml:space="preserve"> </w:t>
      </w:r>
      <w:r w:rsidRPr="002D4A65">
        <w:rPr>
          <w:noProof/>
          <w:color w:val="000000" w:themeColor="text1"/>
        </w:rPr>
        <w:drawing>
          <wp:inline distT="0" distB="0" distL="0" distR="0" wp14:anchorId="3F80E853" wp14:editId="4F5D930A">
            <wp:extent cx="1790700" cy="1612251"/>
            <wp:effectExtent l="0" t="0" r="0" b="7620"/>
            <wp:docPr id="14" name="圖片 1">
              <a:extLst xmlns:a="http://schemas.openxmlformats.org/drawingml/2006/main">
                <a:ext uri="{FF2B5EF4-FFF2-40B4-BE49-F238E27FC236}">
                  <a16:creationId xmlns:a16="http://schemas.microsoft.com/office/drawing/2014/main" id="{0D507170-E828-C813-4336-1F73AC78264A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圖片 1">
                      <a:extLst>
                        <a:ext uri="{FF2B5EF4-FFF2-40B4-BE49-F238E27FC236}">
                          <a16:creationId xmlns:a16="http://schemas.microsoft.com/office/drawing/2014/main" id="{0D507170-E828-C813-4336-1F73AC78264A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 rotWithShape="1">
                    <a:blip r:embed="rId19"/>
                    <a:srcRect l="30561" t="40856" r="30363" b="34814"/>
                    <a:stretch/>
                  </pic:blipFill>
                  <pic:spPr bwMode="auto">
                    <a:xfrm>
                      <a:off x="0" y="0"/>
                      <a:ext cx="1832633" cy="16500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CDF402E" w14:textId="5DE2BF89" w:rsidR="0044169B" w:rsidRPr="002D4A65" w:rsidRDefault="0044169B" w:rsidP="0044169B">
      <w:pPr>
        <w:rPr>
          <w:color w:val="000000" w:themeColor="text1"/>
          <w:sz w:val="24"/>
          <w:szCs w:val="24"/>
        </w:rPr>
      </w:pPr>
      <w:r w:rsidRPr="002D4A65">
        <w:rPr>
          <w:color w:val="000000" w:themeColor="text1"/>
        </w:rPr>
        <w:t xml:space="preserve">SI 6. Protein expression level showed that </w:t>
      </w:r>
      <w:r w:rsidRPr="002D4A65">
        <w:rPr>
          <w:rFonts w:hint="eastAsia"/>
          <w:color w:val="000000" w:themeColor="text1"/>
        </w:rPr>
        <w:t>M</w:t>
      </w:r>
      <w:r w:rsidRPr="002D4A65">
        <w:rPr>
          <w:color w:val="000000" w:themeColor="text1"/>
        </w:rPr>
        <w:t xml:space="preserve">2 expression was elevated by stimulation of </w:t>
      </w:r>
      <w:r w:rsidRPr="002D4A65">
        <w:rPr>
          <w:color w:val="000000" w:themeColor="text1"/>
          <w:sz w:val="24"/>
          <w:szCs w:val="24"/>
        </w:rPr>
        <w:t>IL-4 + IL-13. The expression level was quantified in the bar chart, and the expression was significant elevated. The functional marker, CD206 expression was elevated significant too.</w:t>
      </w:r>
    </w:p>
    <w:p w14:paraId="439341B5" w14:textId="77777777" w:rsidR="00EB4A2D" w:rsidRDefault="00EB4A2D"/>
    <w:sectPr w:rsidR="00EB4A2D" w:rsidSect="0044169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FKai-SB">
    <w:altName w:val="Microsoft JhengHei"/>
    <w:charset w:val="88"/>
    <w:family w:val="script"/>
    <w:pitch w:val="fixed"/>
    <w:sig w:usb0="00002A87" w:usb1="080E0000" w:usb2="00000016" w:usb3="00000000" w:csb0="001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0601C"/>
    <w:multiLevelType w:val="hybridMultilevel"/>
    <w:tmpl w:val="CD082E3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9983391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169B"/>
    <w:rsid w:val="00151BE9"/>
    <w:rsid w:val="001D3053"/>
    <w:rsid w:val="001E3A92"/>
    <w:rsid w:val="00217E67"/>
    <w:rsid w:val="002C7D54"/>
    <w:rsid w:val="0033371E"/>
    <w:rsid w:val="0044169B"/>
    <w:rsid w:val="005C0D39"/>
    <w:rsid w:val="0070406C"/>
    <w:rsid w:val="00724754"/>
    <w:rsid w:val="007B36B1"/>
    <w:rsid w:val="00C321FA"/>
    <w:rsid w:val="00C97210"/>
    <w:rsid w:val="00EB4A2D"/>
    <w:rsid w:val="00EE513F"/>
    <w:rsid w:val="00FC5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7A811F"/>
  <w15:chartTrackingRefBased/>
  <w15:docId w15:val="{DDF9DD57-35D8-4770-8A2A-77C05129D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N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169B"/>
    <w:pPr>
      <w:spacing w:line="259" w:lineRule="auto"/>
    </w:pPr>
    <w:rPr>
      <w:rFonts w:eastAsiaTheme="minorEastAsia"/>
      <w:sz w:val="22"/>
      <w:szCs w:val="22"/>
      <w:lang w:val="en-US" w:eastAsia="zh-TW"/>
    </w:rPr>
  </w:style>
  <w:style w:type="paragraph" w:styleId="Heading1">
    <w:name w:val="heading 1"/>
    <w:basedOn w:val="Normal"/>
    <w:next w:val="Normal"/>
    <w:link w:val="Heading1Char"/>
    <w:uiPriority w:val="9"/>
    <w:qFormat/>
    <w:rsid w:val="0044169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4169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4169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4169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4169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4169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4169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4169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4169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4169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4169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4169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4169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4169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4169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4169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4169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4169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4169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4169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4169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4169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4169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4169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4169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4169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4169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4169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4169B"/>
    <w:rPr>
      <w:b/>
      <w:bCs/>
      <w:smallCaps/>
      <w:color w:val="0F4761" w:themeColor="accent1" w:themeShade="BF"/>
      <w:spacing w:val="5"/>
    </w:rPr>
  </w:style>
  <w:style w:type="paragraph" w:styleId="Caption">
    <w:name w:val="caption"/>
    <w:basedOn w:val="Normal"/>
    <w:next w:val="Normal"/>
    <w:uiPriority w:val="35"/>
    <w:unhideWhenUsed/>
    <w:qFormat/>
    <w:rsid w:val="0044169B"/>
    <w:pPr>
      <w:spacing w:after="200" w:line="240" w:lineRule="auto"/>
    </w:pPr>
    <w:rPr>
      <w:i/>
      <w:iCs/>
      <w:color w:val="0E2841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chart" Target="charts/chart4.xml"/><Relationship Id="rId18" Type="http://schemas.openxmlformats.org/officeDocument/2006/relationships/image" Target="media/image8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chart" Target="charts/chart3.xml"/><Relationship Id="rId17" Type="http://schemas.openxmlformats.org/officeDocument/2006/relationships/image" Target="media/image7.png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11" Type="http://schemas.openxmlformats.org/officeDocument/2006/relationships/chart" Target="charts/chart2.xml"/><Relationship Id="rId5" Type="http://schemas.openxmlformats.org/officeDocument/2006/relationships/image" Target="media/image1.png"/><Relationship Id="rId15" Type="http://schemas.openxmlformats.org/officeDocument/2006/relationships/image" Target="media/image5.png"/><Relationship Id="rId10" Type="http://schemas.openxmlformats.org/officeDocument/2006/relationships/chart" Target="charts/chart1.xml"/><Relationship Id="rId19" Type="http://schemas.openxmlformats.org/officeDocument/2006/relationships/image" Target="media/image9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chart" Target="charts/chart5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\\Users\jimmyair\Desktop\&#21271;&#37291;%20THP-1%20data\WB&#23450;&#37327;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\\Users\jimmyair\Desktop\&#21271;&#37291;%20THP-1%20data\WB&#23450;&#37327;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file:///\\Users\jimmyair\Desktop\&#21271;&#37291;%20THP-1%20data\WB&#23450;&#37327;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oleObject" Target="file:///\\Users\jimmyair\Desktop\&#21271;&#37291;%20THP-1%20data\WB&#23450;&#37327;.xlsx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oleObject" Target="file:///\\Users\jimmyair\Desktop\&#21271;&#37291;%20THP-1%20data\WB&#23450;&#37327;.xlsx" TargetMode="External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 altLang="zh-TW" b="1"/>
              <a:t>MMP-9</a:t>
            </a:r>
            <a:endParaRPr lang="zh-TW" altLang="en-US" b="1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1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 alt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tx1"/>
            </a:solidFill>
            <a:ln>
              <a:noFill/>
            </a:ln>
            <a:effectLst/>
          </c:spPr>
          <c:invertIfNegative val="0"/>
          <c:errBars>
            <c:errBarType val="plus"/>
            <c:errValType val="cust"/>
            <c:noEndCap val="0"/>
            <c:plus>
              <c:numRef>
                <c:f>工作表1!$O$52:$O$56</c:f>
                <c:numCache>
                  <c:formatCode>General</c:formatCode>
                  <c:ptCount val="5"/>
                  <c:pt idx="0">
                    <c:v>0</c:v>
                  </c:pt>
                  <c:pt idx="1">
                    <c:v>8.8022014592245457E-2</c:v>
                  </c:pt>
                  <c:pt idx="2">
                    <c:v>0.35836622869312279</c:v>
                  </c:pt>
                  <c:pt idx="3">
                    <c:v>0.51149469324284591</c:v>
                  </c:pt>
                </c:numCache>
              </c:numRef>
            </c:plus>
            <c:minus>
              <c:numLit>
                <c:formatCode>General</c:formatCode>
                <c:ptCount val="1"/>
                <c:pt idx="0">
                  <c:v>1</c:v>
                </c:pt>
              </c:numLit>
            </c:minus>
            <c:spPr>
              <a:noFill/>
              <a:ln w="9525" cap="flat" cmpd="sng" algn="ctr">
                <a:solidFill>
                  <a:schemeClr val="tx1">
                    <a:lumMod val="65000"/>
                    <a:lumOff val="35000"/>
                  </a:schemeClr>
                </a:solidFill>
                <a:round/>
              </a:ln>
              <a:effectLst/>
            </c:spPr>
          </c:errBars>
          <c:cat>
            <c:strRef>
              <c:f>工作表1!$I$52:$I$55</c:f>
              <c:strCache>
                <c:ptCount val="4"/>
                <c:pt idx="0">
                  <c:v>Con</c:v>
                </c:pt>
                <c:pt idx="1">
                  <c:v>M0</c:v>
                </c:pt>
                <c:pt idx="2">
                  <c:v>M1</c:v>
                </c:pt>
                <c:pt idx="3">
                  <c:v>M2</c:v>
                </c:pt>
              </c:strCache>
            </c:strRef>
          </c:cat>
          <c:val>
            <c:numRef>
              <c:f>工作表1!$N$52:$N$55</c:f>
              <c:numCache>
                <c:formatCode>General</c:formatCode>
                <c:ptCount val="4"/>
                <c:pt idx="0">
                  <c:v>1</c:v>
                </c:pt>
                <c:pt idx="1">
                  <c:v>2.1184264513369766</c:v>
                </c:pt>
                <c:pt idx="2">
                  <c:v>3.4997002823276966</c:v>
                </c:pt>
                <c:pt idx="3">
                  <c:v>3.3663799038563518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D0E1-46C8-B4DB-B6BF19577BC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7"/>
        <c:axId val="1971616127"/>
        <c:axId val="1971497135"/>
      </c:barChart>
      <c:catAx>
        <c:axId val="1971616127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/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1971497135"/>
        <c:crosses val="autoZero"/>
        <c:auto val="1"/>
        <c:lblAlgn val="ctr"/>
        <c:lblOffset val="100"/>
        <c:noMultiLvlLbl val="0"/>
      </c:catAx>
      <c:valAx>
        <c:axId val="1971497135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>
            <a:solidFill>
              <a:schemeClr val="tx1"/>
            </a:solidFill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1971616127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zh-TW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 altLang="zh-TW" b="1"/>
              <a:t>MMP-28</a:t>
            </a:r>
            <a:endParaRPr lang="zh-TW" altLang="en-US" b="1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1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 alt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tx1"/>
            </a:solidFill>
            <a:ln>
              <a:noFill/>
            </a:ln>
            <a:effectLst/>
          </c:spPr>
          <c:invertIfNegative val="0"/>
          <c:errBars>
            <c:errBarType val="plus"/>
            <c:errValType val="cust"/>
            <c:noEndCap val="0"/>
            <c:plus>
              <c:numRef>
                <c:f>工作表1!$G$52:$G$55</c:f>
                <c:numCache>
                  <c:formatCode>General</c:formatCode>
                  <c:ptCount val="4"/>
                  <c:pt idx="0">
                    <c:v>0</c:v>
                  </c:pt>
                  <c:pt idx="1">
                    <c:v>0.19147400097497272</c:v>
                  </c:pt>
                  <c:pt idx="2">
                    <c:v>7.9063889089724601E-2</c:v>
                  </c:pt>
                  <c:pt idx="3">
                    <c:v>0.36232743199528078</c:v>
                  </c:pt>
                </c:numCache>
              </c:numRef>
            </c:plus>
            <c:minus>
              <c:numLit>
                <c:formatCode>General</c:formatCode>
                <c:ptCount val="1"/>
                <c:pt idx="0">
                  <c:v>1</c:v>
                </c:pt>
              </c:numLit>
            </c:minus>
            <c:spPr>
              <a:noFill/>
              <a:ln w="9525" cap="flat" cmpd="sng" algn="ctr">
                <a:solidFill>
                  <a:schemeClr val="tx1"/>
                </a:solidFill>
                <a:round/>
              </a:ln>
              <a:effectLst/>
            </c:spPr>
          </c:errBars>
          <c:cat>
            <c:strRef>
              <c:f>工作表1!$A$52:$A$55</c:f>
              <c:strCache>
                <c:ptCount val="4"/>
                <c:pt idx="0">
                  <c:v>Con</c:v>
                </c:pt>
                <c:pt idx="1">
                  <c:v>M0</c:v>
                </c:pt>
                <c:pt idx="2">
                  <c:v>M1</c:v>
                </c:pt>
                <c:pt idx="3">
                  <c:v>M2</c:v>
                </c:pt>
              </c:strCache>
            </c:strRef>
          </c:cat>
          <c:val>
            <c:numRef>
              <c:f>工作表1!$F$52:$F$55</c:f>
              <c:numCache>
                <c:formatCode>General</c:formatCode>
                <c:ptCount val="4"/>
                <c:pt idx="0">
                  <c:v>1</c:v>
                </c:pt>
                <c:pt idx="1">
                  <c:v>2.2833151037569692</c:v>
                </c:pt>
                <c:pt idx="2">
                  <c:v>3.5682883317590974</c:v>
                </c:pt>
                <c:pt idx="3">
                  <c:v>3.5687262208334807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7063-4978-A6BB-972F84F0049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7"/>
        <c:axId val="1972465279"/>
        <c:axId val="1972466975"/>
      </c:barChart>
      <c:catAx>
        <c:axId val="1972465279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/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1972466975"/>
        <c:crosses val="autoZero"/>
        <c:auto val="1"/>
        <c:lblAlgn val="ctr"/>
        <c:lblOffset val="100"/>
        <c:noMultiLvlLbl val="0"/>
      </c:catAx>
      <c:valAx>
        <c:axId val="1972466975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>
            <a:solidFill>
              <a:schemeClr val="tx1"/>
            </a:solidFill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1972465279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zh-TW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 altLang="zh-TW" sz="1400" b="1">
                <a:effectLst/>
              </a:rPr>
              <a:t>TNF-</a:t>
            </a:r>
            <a:r>
              <a:rPr lang="en-US" altLang="zh-TW" sz="1400" b="1" i="0">
                <a:effectLst/>
              </a:rPr>
              <a:t>𝜶</a:t>
            </a:r>
            <a:endParaRPr lang="zh-TW" altLang="zh-TW" sz="1400">
              <a:effectLst/>
            </a:endParaRP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 altLang="zh-TW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tx1"/>
            </a:solidFill>
            <a:ln>
              <a:noFill/>
            </a:ln>
            <a:effectLst/>
          </c:spPr>
          <c:invertIfNegative val="0"/>
          <c:errBars>
            <c:errBarType val="plus"/>
            <c:errValType val="cust"/>
            <c:noEndCap val="0"/>
            <c:plus>
              <c:numRef>
                <c:f>工作表1!$V$52:$V$55</c:f>
                <c:numCache>
                  <c:formatCode>General</c:formatCode>
                  <c:ptCount val="4"/>
                  <c:pt idx="0">
                    <c:v>0</c:v>
                  </c:pt>
                  <c:pt idx="1">
                    <c:v>0.35467719672325437</c:v>
                  </c:pt>
                  <c:pt idx="2">
                    <c:v>0.18808851738354168</c:v>
                  </c:pt>
                  <c:pt idx="3">
                    <c:v>0.47287670856379727</c:v>
                  </c:pt>
                </c:numCache>
              </c:numRef>
            </c:plus>
            <c:minus>
              <c:numLit>
                <c:formatCode>General</c:formatCode>
                <c:ptCount val="1"/>
                <c:pt idx="0">
                  <c:v>1</c:v>
                </c:pt>
              </c:numLit>
            </c:minus>
            <c:spPr>
              <a:noFill/>
              <a:ln w="9525" cap="flat" cmpd="sng" algn="ctr">
                <a:solidFill>
                  <a:schemeClr val="tx1">
                    <a:lumMod val="65000"/>
                    <a:lumOff val="35000"/>
                  </a:schemeClr>
                </a:solidFill>
                <a:round/>
              </a:ln>
              <a:effectLst/>
            </c:spPr>
          </c:errBars>
          <c:cat>
            <c:strRef>
              <c:f>工作表1!$I$52:$I$55</c:f>
              <c:strCache>
                <c:ptCount val="4"/>
                <c:pt idx="0">
                  <c:v>Con</c:v>
                </c:pt>
                <c:pt idx="1">
                  <c:v>M0</c:v>
                </c:pt>
                <c:pt idx="2">
                  <c:v>M1</c:v>
                </c:pt>
                <c:pt idx="3">
                  <c:v>M2</c:v>
                </c:pt>
              </c:strCache>
            </c:strRef>
          </c:cat>
          <c:val>
            <c:numRef>
              <c:f>工作表1!$U$52:$U$55</c:f>
              <c:numCache>
                <c:formatCode>General</c:formatCode>
                <c:ptCount val="4"/>
                <c:pt idx="0">
                  <c:v>1</c:v>
                </c:pt>
                <c:pt idx="1">
                  <c:v>2.8663432386830947</c:v>
                </c:pt>
                <c:pt idx="2">
                  <c:v>3.7630296412814013</c:v>
                </c:pt>
                <c:pt idx="3">
                  <c:v>2.9152468295563092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5FFD-42A6-AA6F-95445BB42FD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7"/>
        <c:axId val="1972676607"/>
        <c:axId val="1972678303"/>
      </c:barChart>
      <c:catAx>
        <c:axId val="1972676607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/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1972678303"/>
        <c:crosses val="autoZero"/>
        <c:auto val="1"/>
        <c:lblAlgn val="ctr"/>
        <c:lblOffset val="100"/>
        <c:noMultiLvlLbl val="0"/>
      </c:catAx>
      <c:valAx>
        <c:axId val="1972678303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>
            <a:solidFill>
              <a:schemeClr val="tx1"/>
            </a:solidFill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1972676607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zh-TW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 altLang="zh-TW" sz="1400" b="1">
                <a:effectLst/>
              </a:rPr>
              <a:t>IL-1</a:t>
            </a:r>
            <a:r>
              <a:rPr lang="en-US" altLang="zh-TW" sz="1400" b="1">
                <a:effectLst/>
                <a:sym typeface="Symbol" pitchFamily="2" charset="2"/>
              </a:rPr>
              <a:t></a:t>
            </a:r>
            <a:endParaRPr lang="zh-TW" altLang="zh-TW" sz="1400">
              <a:effectLst/>
            </a:endParaRP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 altLang="zh-TW"/>
        </a:p>
      </c:txPr>
    </c:title>
    <c:autoTitleDeleted val="0"/>
    <c:plotArea>
      <c:layout>
        <c:manualLayout>
          <c:layoutTarget val="inner"/>
          <c:xMode val="edge"/>
          <c:yMode val="edge"/>
          <c:x val="7.9731540877607601E-2"/>
          <c:y val="0.31462640712822743"/>
          <c:w val="0.86829542780557178"/>
          <c:h val="0.49246279524156245"/>
        </c:manualLayout>
      </c:layout>
      <c:barChart>
        <c:barDir val="col"/>
        <c:grouping val="clustered"/>
        <c:varyColors val="0"/>
        <c:ser>
          <c:idx val="0"/>
          <c:order val="0"/>
          <c:spPr>
            <a:solidFill>
              <a:schemeClr val="tx1"/>
            </a:solidFill>
            <a:ln>
              <a:noFill/>
            </a:ln>
            <a:effectLst/>
          </c:spPr>
          <c:invertIfNegative val="0"/>
          <c:errBars>
            <c:errBarType val="plus"/>
            <c:errValType val="cust"/>
            <c:noEndCap val="0"/>
            <c:plus>
              <c:numRef>
                <c:f>工作表1!$G$74:$G$77</c:f>
                <c:numCache>
                  <c:formatCode>General</c:formatCode>
                  <c:ptCount val="4"/>
                  <c:pt idx="0">
                    <c:v>0</c:v>
                  </c:pt>
                  <c:pt idx="1">
                    <c:v>0.1166579693292961</c:v>
                  </c:pt>
                  <c:pt idx="2">
                    <c:v>0.56152044495355502</c:v>
                  </c:pt>
                  <c:pt idx="3">
                    <c:v>0.90592154976670558</c:v>
                  </c:pt>
                </c:numCache>
              </c:numRef>
            </c:plus>
            <c:minus>
              <c:numLit>
                <c:formatCode>General</c:formatCode>
                <c:ptCount val="1"/>
                <c:pt idx="0">
                  <c:v>1</c:v>
                </c:pt>
              </c:numLit>
            </c:minus>
            <c:spPr>
              <a:noFill/>
              <a:ln w="9525" cap="flat" cmpd="sng" algn="ctr">
                <a:solidFill>
                  <a:schemeClr val="tx1"/>
                </a:solidFill>
                <a:round/>
              </a:ln>
              <a:effectLst/>
            </c:spPr>
          </c:errBars>
          <c:cat>
            <c:strRef>
              <c:f>工作表1!$A$74:$A$77</c:f>
              <c:strCache>
                <c:ptCount val="4"/>
                <c:pt idx="0">
                  <c:v>Con</c:v>
                </c:pt>
                <c:pt idx="1">
                  <c:v>M0</c:v>
                </c:pt>
                <c:pt idx="2">
                  <c:v>M1</c:v>
                </c:pt>
                <c:pt idx="3">
                  <c:v>M2</c:v>
                </c:pt>
              </c:strCache>
            </c:strRef>
          </c:cat>
          <c:val>
            <c:numRef>
              <c:f>工作表1!$F$74:$F$77</c:f>
              <c:numCache>
                <c:formatCode>General</c:formatCode>
                <c:ptCount val="4"/>
                <c:pt idx="0">
                  <c:v>1</c:v>
                </c:pt>
                <c:pt idx="1">
                  <c:v>2.2009521339632823</c:v>
                </c:pt>
                <c:pt idx="2">
                  <c:v>3.6165547030395615</c:v>
                </c:pt>
                <c:pt idx="3">
                  <c:v>2.9063205272267827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84E2-4CBF-9B18-C60BB13D898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7"/>
        <c:axId val="1974643983"/>
        <c:axId val="1974645999"/>
      </c:barChart>
      <c:catAx>
        <c:axId val="1974643983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/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1974645999"/>
        <c:crosses val="autoZero"/>
        <c:auto val="1"/>
        <c:lblAlgn val="ctr"/>
        <c:lblOffset val="100"/>
        <c:noMultiLvlLbl val="0"/>
      </c:catAx>
      <c:valAx>
        <c:axId val="1974645999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>
            <a:solidFill>
              <a:schemeClr val="tx1"/>
            </a:solidFill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1974643983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zh-TW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 altLang="zh-TW" sz="1400" b="1">
                <a:effectLst/>
              </a:rPr>
              <a:t>TGF-</a:t>
            </a:r>
            <a:r>
              <a:rPr lang="en-US" altLang="zh-TW" sz="1400" b="1">
                <a:effectLst/>
                <a:sym typeface="Symbol" pitchFamily="2" charset="2"/>
              </a:rPr>
              <a:t></a:t>
            </a:r>
            <a:endParaRPr lang="zh-TW" altLang="zh-TW" sz="1400">
              <a:effectLst/>
            </a:endParaRP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 altLang="zh-TW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tx1"/>
            </a:solidFill>
            <a:ln>
              <a:noFill/>
            </a:ln>
            <a:effectLst/>
          </c:spPr>
          <c:invertIfNegative val="0"/>
          <c:errBars>
            <c:errBarType val="plus"/>
            <c:errValType val="cust"/>
            <c:noEndCap val="0"/>
            <c:plus>
              <c:numRef>
                <c:f>工作表1!$O$74:$O$77</c:f>
                <c:numCache>
                  <c:formatCode>General</c:formatCode>
                  <c:ptCount val="4"/>
                  <c:pt idx="0">
                    <c:v>0</c:v>
                  </c:pt>
                  <c:pt idx="1">
                    <c:v>0.33366664130908957</c:v>
                  </c:pt>
                  <c:pt idx="2">
                    <c:v>0.45917141425384905</c:v>
                  </c:pt>
                  <c:pt idx="3">
                    <c:v>0.21628407388044063</c:v>
                  </c:pt>
                </c:numCache>
              </c:numRef>
            </c:plus>
            <c:minus>
              <c:numLit>
                <c:formatCode>General</c:formatCode>
                <c:ptCount val="1"/>
                <c:pt idx="0">
                  <c:v>1</c:v>
                </c:pt>
              </c:numLit>
            </c:minus>
            <c:spPr>
              <a:noFill/>
              <a:ln w="9525" cap="flat" cmpd="sng" algn="ctr">
                <a:solidFill>
                  <a:schemeClr val="tx1">
                    <a:lumMod val="65000"/>
                    <a:lumOff val="35000"/>
                  </a:schemeClr>
                </a:solidFill>
                <a:round/>
              </a:ln>
              <a:effectLst/>
            </c:spPr>
          </c:errBars>
          <c:cat>
            <c:strRef>
              <c:f>工作表1!$I$74:$I$77</c:f>
              <c:strCache>
                <c:ptCount val="4"/>
                <c:pt idx="0">
                  <c:v>Con</c:v>
                </c:pt>
                <c:pt idx="1">
                  <c:v>M0</c:v>
                </c:pt>
                <c:pt idx="2">
                  <c:v>M1</c:v>
                </c:pt>
                <c:pt idx="3">
                  <c:v>M2</c:v>
                </c:pt>
              </c:strCache>
            </c:strRef>
          </c:cat>
          <c:val>
            <c:numRef>
              <c:f>工作表1!$N$74:$N$77</c:f>
              <c:numCache>
                <c:formatCode>General</c:formatCode>
                <c:ptCount val="4"/>
                <c:pt idx="0">
                  <c:v>1</c:v>
                </c:pt>
                <c:pt idx="1">
                  <c:v>1.8175325336393453</c:v>
                </c:pt>
                <c:pt idx="2">
                  <c:v>2.2704873907626273</c:v>
                </c:pt>
                <c:pt idx="3">
                  <c:v>2.8011640729025538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98A5-45D1-A326-07EA94D1C81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7"/>
        <c:axId val="1973686783"/>
        <c:axId val="1973688479"/>
      </c:barChart>
      <c:catAx>
        <c:axId val="1973686783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/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1973688479"/>
        <c:crosses val="autoZero"/>
        <c:auto val="1"/>
        <c:lblAlgn val="ctr"/>
        <c:lblOffset val="100"/>
        <c:noMultiLvlLbl val="0"/>
      </c:catAx>
      <c:valAx>
        <c:axId val="1973688479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>
            <a:solidFill>
              <a:schemeClr val="tx1"/>
            </a:solidFill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1973686783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zh-TW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478</Words>
  <Characters>2731</Characters>
  <Application>Microsoft Office Word</Application>
  <DocSecurity>0</DocSecurity>
  <Lines>22</Lines>
  <Paragraphs>6</Paragraphs>
  <ScaleCrop>false</ScaleCrop>
  <Company/>
  <LinksUpToDate>false</LinksUpToDate>
  <CharactersWithSpaces>3203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Pradeep Gaikwad</dc:creator>
  <cp:keywords/>
  <dc:description/>
  <cp:lastModifiedBy>Pradeep Gaikwad</cp:lastModifiedBy>
  <cp:revision>1</cp:revision>
  <dcterms:created xsi:type="dcterms:W3CDTF">2026-09-01T15:18:00Z</dcterms:created>
  <dcterms:modified xsi:type="dcterms:W3CDTF">2026-09-01T15:19:00Z</dcterms:modified>
</cp:coreProperties>
</file>