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4BB52" w14:textId="77777777" w:rsidR="00BE01AE" w:rsidRDefault="00000000">
      <w:pPr>
        <w:pStyle w:val="a3"/>
        <w:jc w:val="center"/>
      </w:pPr>
      <w:r>
        <w:t>Additional file 1: Supplementary tables and figures</w:t>
      </w:r>
    </w:p>
    <w:p w14:paraId="07EC78DD" w14:textId="77777777" w:rsidR="006B0935" w:rsidRDefault="00000000">
      <w:pPr>
        <w:pStyle w:val="1"/>
        <w:spacing w:before="0"/>
      </w:pPr>
      <w:r>
        <w:rPr>
          <w:sz w:val="24"/>
        </w:rPr>
        <w:t>Table S1. Baseline characteristics according to MACE status.</w:t>
      </w:r>
    </w:p>
    <w:tbl>
      <w:tblPr>
        <w:tblW w:w="150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2"/>
        <w:gridCol w:w="3402"/>
        <w:gridCol w:w="3402"/>
        <w:gridCol w:w="3402"/>
        <w:gridCol w:w="1417"/>
      </w:tblGrid>
      <w:tr w:rsidR="006B0935" w:rsidRPr="006F3BE6" w14:paraId="5ADF1900" w14:textId="77777777" w:rsidTr="006F3BE6">
        <w:trPr>
          <w:tblHeader/>
          <w:jc w:val="center"/>
        </w:trPr>
        <w:tc>
          <w:tcPr>
            <w:tcW w:w="3402" w:type="dxa"/>
            <w:tcBorders>
              <w:top w:val="single" w:sz="12" w:space="0" w:color="000000"/>
              <w:left w:val="none" w:sz="0" w:space="0" w:color="FFFFFF"/>
              <w:bottom w:val="single" w:sz="8" w:space="0" w:color="000000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5E5596E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b/>
                <w:bCs/>
                <w:sz w:val="20"/>
                <w:szCs w:val="22"/>
              </w:rPr>
              <w:t>Variable</w:t>
            </w:r>
          </w:p>
        </w:tc>
        <w:tc>
          <w:tcPr>
            <w:tcW w:w="3402" w:type="dxa"/>
            <w:tcBorders>
              <w:top w:val="single" w:sz="12" w:space="0" w:color="000000"/>
              <w:left w:val="none" w:sz="0" w:space="0" w:color="FFFFFF"/>
              <w:bottom w:val="single" w:sz="8" w:space="0" w:color="000000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AA48BB5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b/>
                <w:bCs/>
                <w:sz w:val="20"/>
                <w:szCs w:val="22"/>
              </w:rPr>
              <w:t>Overall (n=367)</w:t>
            </w:r>
          </w:p>
        </w:tc>
        <w:tc>
          <w:tcPr>
            <w:tcW w:w="3402" w:type="dxa"/>
            <w:tcBorders>
              <w:top w:val="single" w:sz="12" w:space="0" w:color="000000"/>
              <w:left w:val="none" w:sz="0" w:space="0" w:color="FFFFFF"/>
              <w:bottom w:val="single" w:sz="8" w:space="0" w:color="000000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59061D1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b/>
                <w:bCs/>
                <w:sz w:val="20"/>
                <w:szCs w:val="22"/>
              </w:rPr>
              <w:t>No MACE (n=276)</w:t>
            </w:r>
          </w:p>
        </w:tc>
        <w:tc>
          <w:tcPr>
            <w:tcW w:w="3402" w:type="dxa"/>
            <w:tcBorders>
              <w:top w:val="single" w:sz="12" w:space="0" w:color="000000"/>
              <w:left w:val="none" w:sz="0" w:space="0" w:color="FFFFFF"/>
              <w:bottom w:val="single" w:sz="8" w:space="0" w:color="000000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F055834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b/>
                <w:bCs/>
                <w:sz w:val="20"/>
                <w:szCs w:val="22"/>
              </w:rPr>
              <w:t>MACE (n=91)</w:t>
            </w:r>
          </w:p>
        </w:tc>
        <w:tc>
          <w:tcPr>
            <w:tcW w:w="1417" w:type="dxa"/>
            <w:tcBorders>
              <w:top w:val="single" w:sz="12" w:space="0" w:color="000000"/>
              <w:left w:val="none" w:sz="0" w:space="0" w:color="FFFFFF"/>
              <w:bottom w:val="single" w:sz="8" w:space="0" w:color="000000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B15B576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0E546D">
              <w:rPr>
                <w:b/>
                <w:bCs/>
                <w:i/>
                <w:iCs/>
                <w:sz w:val="20"/>
                <w:szCs w:val="22"/>
              </w:rPr>
              <w:t>P</w:t>
            </w:r>
            <w:r w:rsidRPr="006F3BE6">
              <w:rPr>
                <w:b/>
                <w:bCs/>
                <w:sz w:val="20"/>
                <w:szCs w:val="22"/>
              </w:rPr>
              <w:t xml:space="preserve"> value</w:t>
            </w:r>
          </w:p>
        </w:tc>
      </w:tr>
      <w:tr w:rsidR="006B0935" w:rsidRPr="006F3BE6" w14:paraId="7BDD6685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BCF0A7D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b/>
                <w:bCs/>
                <w:sz w:val="20"/>
                <w:szCs w:val="22"/>
              </w:rPr>
              <w:t>Demographics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0D2300F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A8A7056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C04789E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2943C63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</w:tr>
      <w:tr w:rsidR="006B0935" w:rsidRPr="006F3BE6" w14:paraId="389A5270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7B3043C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Age (years)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9B65ED2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59.00 (53.00, 71.00)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4605CDA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60.00 (52.00, 71.00)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D70ABD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59.00 (54.00, 71.00)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7C3AB95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0.850</w:t>
            </w:r>
          </w:p>
        </w:tc>
      </w:tr>
      <w:tr w:rsidR="006B0935" w:rsidRPr="006F3BE6" w14:paraId="4730D7BD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3596E54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Male sex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8EA459C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288 (78.5%)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7D5B3E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217 (78.6%)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A22571B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71 (78.0%)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2746AC6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0.904</w:t>
            </w:r>
          </w:p>
        </w:tc>
      </w:tr>
      <w:tr w:rsidR="006B0935" w:rsidRPr="006F3BE6" w14:paraId="1BC2B17D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7D15524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Height (cm)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4BC0AA2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168.00 (162.00, 172.00)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CF0F0C5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168.00 (160.75, 172.00)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251A296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168.00 (162.50, 170.00)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0D7396C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0.943</w:t>
            </w:r>
          </w:p>
        </w:tc>
      </w:tr>
      <w:tr w:rsidR="006B0935" w:rsidRPr="006F3BE6" w14:paraId="3A87EE27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71FC64E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Weight (kg)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9075329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69.00 (60.00, 75.50)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90E27E7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69.00 (60.00, 76.00)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F1DCB37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70.00 (60.00, 75.00)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509F851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0.880</w:t>
            </w:r>
          </w:p>
        </w:tc>
      </w:tr>
      <w:tr w:rsidR="006B0935" w:rsidRPr="006F3BE6" w14:paraId="38688B43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BC826E3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BMI (kg/m2)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8888857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24.44 (22.49, 26.73)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8E33C15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24.36 (22.48, 26.53)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084E099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24.77 (22.96, 26.93)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4A927CC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0.526</w:t>
            </w:r>
          </w:p>
        </w:tc>
      </w:tr>
      <w:tr w:rsidR="006B0935" w:rsidRPr="006F3BE6" w14:paraId="3BBB962E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DB34E20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BSA (m2)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2C8F1BA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1.78 (1.66, 1.91)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1EE26B6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1.78 (1.66, 1.91)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8501286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1.79 (1.66, 1.90)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2E37992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0.884</w:t>
            </w:r>
          </w:p>
        </w:tc>
      </w:tr>
      <w:tr w:rsidR="006B0935" w:rsidRPr="006F3BE6" w14:paraId="4325903D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67D28C5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b/>
                <w:bCs/>
                <w:sz w:val="20"/>
                <w:szCs w:val="22"/>
              </w:rPr>
              <w:t>Comorbidities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A91E10A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972FD72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B71DCD4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A315F66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</w:tr>
      <w:tr w:rsidR="006B0935" w:rsidRPr="006F3BE6" w14:paraId="0AD65EF9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31B593E" w14:textId="237FB682" w:rsidR="006B0935" w:rsidRPr="0015061C" w:rsidRDefault="00000000">
            <w:pPr>
              <w:rPr>
                <w:rFonts w:eastAsiaTheme="minorEastAsia"/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HT</w:t>
            </w:r>
            <w:r w:rsidR="0015061C">
              <w:rPr>
                <w:rFonts w:eastAsiaTheme="minorEastAsia" w:hint="eastAsia"/>
                <w:sz w:val="20"/>
                <w:szCs w:val="22"/>
              </w:rPr>
              <w:t>N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B3B5447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220 (59.9%)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E1CD679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157 (56.9%)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35CC004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63 (69.2%)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83F2E0C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0.037</w:t>
            </w:r>
          </w:p>
        </w:tc>
      </w:tr>
      <w:tr w:rsidR="006B0935" w:rsidRPr="006F3BE6" w14:paraId="3A2A3EF1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D063D6A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DM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36EE5DF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104 (28.3%)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0757819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62 (22.5%)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58D39FE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42 (46.2%)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5F66FC1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&lt;0.001</w:t>
            </w:r>
          </w:p>
        </w:tc>
      </w:tr>
      <w:tr w:rsidR="006B0935" w:rsidRPr="006F3BE6" w14:paraId="758342D0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1BD78C0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Smoking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CCDFF04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114 (31.1%)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5BD2F2B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85 (30.8%)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5C778FD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29 (31.9%)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07938C1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0.848</w:t>
            </w:r>
          </w:p>
        </w:tc>
      </w:tr>
      <w:tr w:rsidR="006B0935" w:rsidRPr="006F3BE6" w14:paraId="65334EFE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7A72BC2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lastRenderedPageBreak/>
              <w:t>Alcohol consumption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346979A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77 (21.0%)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632DEE3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58 (21.0%)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89D92B1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19 (20.9%)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0115D40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0.978</w:t>
            </w:r>
          </w:p>
        </w:tc>
      </w:tr>
      <w:tr w:rsidR="006B0935" w:rsidRPr="006F3BE6" w14:paraId="69FBF5CD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C6A5218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b/>
                <w:bCs/>
                <w:sz w:val="20"/>
                <w:szCs w:val="22"/>
              </w:rPr>
              <w:t>Clinical presentation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5DC4B2C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F3C928E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1CF1493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0550DB7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</w:tr>
      <w:tr w:rsidR="006B0935" w:rsidRPr="006F3BE6" w14:paraId="71A41FF0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211AEE4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HR (beats/min)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B6F0624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76.00 (68.00, 89.00)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D4B7E73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76.00 (68.00, 88.00)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43EFDCA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78.00 (70.00, 91.00)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F9AD32B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0.259</w:t>
            </w:r>
          </w:p>
        </w:tc>
      </w:tr>
      <w:tr w:rsidR="006B0935" w:rsidRPr="006F3BE6" w14:paraId="66C490B4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06A3C30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SBP (mmHg)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693DCF9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125.00 (112.00, 141.00)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19106A3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126.00 (112.00, 142.00)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3B86E50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121.00 (111.50, 140.00)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56CB765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0.220</w:t>
            </w:r>
          </w:p>
        </w:tc>
      </w:tr>
      <w:tr w:rsidR="006B0935" w:rsidRPr="006F3BE6" w14:paraId="236BAB55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DF042B4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DBP (mmHg)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53BA9CA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75.00 (68.00, 85.50)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CED7F46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76.00 (70.00, 86.00)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E3898EA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74.00 (65.50, 85.00)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C4F25D9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0.124</w:t>
            </w:r>
          </w:p>
        </w:tc>
      </w:tr>
      <w:tr w:rsidR="006B0935" w:rsidRPr="006F3BE6" w14:paraId="00220523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498A9E0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Cardiac arrest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FB9F9F4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3 (0.8%)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CB6B79E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2 (0.7%)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8AF0828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 (1.1%)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DD8C59D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0.576</w:t>
            </w:r>
          </w:p>
        </w:tc>
      </w:tr>
      <w:tr w:rsidR="006B0935" w:rsidRPr="006F3BE6" w14:paraId="761AB5BF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42BAED0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Killip I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ADE23A7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317 (86.4%)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70A877A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249 (90.2%)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9FC0393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68 (74.7%)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421F758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0.001</w:t>
            </w:r>
          </w:p>
        </w:tc>
      </w:tr>
      <w:tr w:rsidR="006B0935" w:rsidRPr="006F3BE6" w14:paraId="0E85B911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9BB44DD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Killip II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04DC274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40 (10.9%)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229B2D5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20 (7.2%)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4BE7549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20 (22.0%)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9A65E8A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</w:tr>
      <w:tr w:rsidR="006B0935" w:rsidRPr="006F3BE6" w14:paraId="2A976C6C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B1967FD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Killip III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8B73232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5 (1.4%)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70D877A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4 (1.4%)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D130899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 (1.1%)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E3D8EAD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</w:tr>
      <w:tr w:rsidR="006B0935" w:rsidRPr="006F3BE6" w14:paraId="2E5FB5DF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E274274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Killip IV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32D201B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5 (1.4%)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535559E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3 (1.1%)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A2275E0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2 (2.2%)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710E64C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</w:tr>
      <w:tr w:rsidR="006B0935" w:rsidRPr="006F3BE6" w14:paraId="67E509DD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8D0F1B2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ST deviation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2D510A7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252 (68.7%)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2ECD272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192 (69.6%)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2526251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60 (65.9%)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D927D7E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0.517</w:t>
            </w:r>
          </w:p>
        </w:tc>
      </w:tr>
      <w:tr w:rsidR="006B0935" w:rsidRPr="006F3BE6" w14:paraId="4F3670B7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8B851E1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STEMI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22A027A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180 (49.0%)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0ADBEB7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135 (48.9%)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47A3563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45 (49.5%)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5F1F0A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0.929</w:t>
            </w:r>
          </w:p>
        </w:tc>
      </w:tr>
      <w:tr w:rsidR="006B0935" w:rsidRPr="006F3BE6" w14:paraId="3A1D9610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68EEB27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b/>
                <w:bCs/>
                <w:sz w:val="20"/>
                <w:szCs w:val="22"/>
              </w:rPr>
              <w:t>Laboratory findings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3E02CBB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A20DBA0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9964CDC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60F758E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</w:tr>
      <w:tr w:rsidR="006B0935" w:rsidRPr="006F3BE6" w14:paraId="56F75B38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C12B69C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lastRenderedPageBreak/>
              <w:t>WBC (x10^9/L)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4F44D80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8.56 (6.81, 11.09)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B4DDE45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8.75 (6.82, 11.18)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554F4CD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8.26 (6.79, 10.78)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7404080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0.650</w:t>
            </w:r>
          </w:p>
        </w:tc>
      </w:tr>
      <w:tr w:rsidR="006B0935" w:rsidRPr="006F3BE6" w14:paraId="265FEFAB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A7362AF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Hb (g/L)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79DD0A1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139.00 (127.00, 152.00)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C599066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140.00 (129.00, 152.00)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3055FB7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133.00 (124.00, 149.00)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035ADFA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0.134</w:t>
            </w:r>
          </w:p>
        </w:tc>
      </w:tr>
      <w:tr w:rsidR="006B0935" w:rsidRPr="006F3BE6" w14:paraId="2FBD62A1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97A4529" w14:textId="77777777" w:rsidR="006B0935" w:rsidRPr="006F3BE6" w:rsidRDefault="00000000">
            <w:pPr>
              <w:rPr>
                <w:sz w:val="22"/>
                <w:szCs w:val="22"/>
              </w:rPr>
            </w:pPr>
            <w:proofErr w:type="spellStart"/>
            <w:r w:rsidRPr="006F3BE6">
              <w:rPr>
                <w:sz w:val="20"/>
                <w:szCs w:val="22"/>
              </w:rPr>
              <w:t>Plt</w:t>
            </w:r>
            <w:proofErr w:type="spellEnd"/>
            <w:r w:rsidRPr="006F3BE6">
              <w:rPr>
                <w:sz w:val="20"/>
                <w:szCs w:val="22"/>
              </w:rPr>
              <w:t xml:space="preserve"> (x10^9/L)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2BC21DD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212.00 (174.50, 251.00)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66C11AC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211.00 (173.75, 249.00)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AEECD05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214.00 (182.00, 260.00)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63C3B57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0.318</w:t>
            </w:r>
          </w:p>
        </w:tc>
      </w:tr>
      <w:tr w:rsidR="006B0935" w:rsidRPr="006F3BE6" w14:paraId="2F08D6BE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7D9528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D-dimer (mg/L)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FCFCAC3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0.26 (0.17, 0.48)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1A293A0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0.25 (0.17, 0.40)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5063379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0.34 (0.16, 0.61)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9F17456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0.219</w:t>
            </w:r>
          </w:p>
        </w:tc>
      </w:tr>
      <w:tr w:rsidR="006B0935" w:rsidRPr="006F3BE6" w14:paraId="3560C741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1230627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ALB (g/L)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7AFB274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42.60 (39.70, 45.10)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A5DCD07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42.80 (40.00, 45.30)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B8F7663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42.20 (38.85, 44.65)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9BD7C92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0.128</w:t>
            </w:r>
          </w:p>
        </w:tc>
      </w:tr>
      <w:tr w:rsidR="006B0935" w:rsidRPr="006F3BE6" w14:paraId="0A2A04FE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CC8D6C3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ALT (U/L)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FE3E1FD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26.30 (18.00, 43.00)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4617703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25.70 (18.00, 41.80)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A1F683C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30.00 (18.50, 43.65)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1EE9DD7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0.399</w:t>
            </w:r>
          </w:p>
        </w:tc>
      </w:tr>
      <w:tr w:rsidR="006B0935" w:rsidRPr="006F3BE6" w14:paraId="58CE5C9F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90E4D7B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AST (U/L)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4BF2CEC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43.00 (27.00, 85.15)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52B06EB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43.60 (26.95, 85.47)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EB52D27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40.00 (27.00, 81.50)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7920B76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0.975</w:t>
            </w:r>
          </w:p>
        </w:tc>
      </w:tr>
      <w:tr w:rsidR="006B0935" w:rsidRPr="006F3BE6" w14:paraId="76476083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FC426C9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Cr (</w:t>
            </w:r>
            <w:proofErr w:type="spellStart"/>
            <w:r w:rsidRPr="006F3BE6">
              <w:rPr>
                <w:sz w:val="20"/>
                <w:szCs w:val="22"/>
              </w:rPr>
              <w:t>umol</w:t>
            </w:r>
            <w:proofErr w:type="spellEnd"/>
            <w:r w:rsidRPr="006F3BE6">
              <w:rPr>
                <w:sz w:val="20"/>
                <w:szCs w:val="22"/>
              </w:rPr>
              <w:t>/L)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310E3DC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71.10 (56.95, 85.60)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A0225B1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71.15 (58.38, 83.50)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F6CEF0A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70.70 (55.80, 95.25)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11B1026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0.786</w:t>
            </w:r>
          </w:p>
        </w:tc>
      </w:tr>
      <w:tr w:rsidR="006B0935" w:rsidRPr="006F3BE6" w14:paraId="6F6C8C03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B4E7235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BNP (</w:t>
            </w:r>
            <w:proofErr w:type="spellStart"/>
            <w:r w:rsidRPr="006F3BE6">
              <w:rPr>
                <w:sz w:val="20"/>
                <w:szCs w:val="22"/>
              </w:rPr>
              <w:t>pg</w:t>
            </w:r>
            <w:proofErr w:type="spellEnd"/>
            <w:r w:rsidRPr="006F3BE6">
              <w:rPr>
                <w:sz w:val="20"/>
                <w:szCs w:val="22"/>
              </w:rPr>
              <w:t>/mL)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B803564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136.04 (57.38, 287.20)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08D2AE1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127.41 (54.97, 258.90)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2B29C6E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162.83 (71.52, 434.89)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928059F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0.039</w:t>
            </w:r>
          </w:p>
        </w:tc>
      </w:tr>
      <w:tr w:rsidR="006B0935" w:rsidRPr="006F3BE6" w14:paraId="486DB84D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2443478" w14:textId="77777777" w:rsidR="006B0935" w:rsidRPr="006F3BE6" w:rsidRDefault="00000000">
            <w:pPr>
              <w:rPr>
                <w:sz w:val="22"/>
                <w:szCs w:val="22"/>
              </w:rPr>
            </w:pPr>
            <w:proofErr w:type="spellStart"/>
            <w:r w:rsidRPr="006F3BE6">
              <w:rPr>
                <w:sz w:val="20"/>
                <w:szCs w:val="22"/>
              </w:rPr>
              <w:t>hs</w:t>
            </w:r>
            <w:proofErr w:type="spellEnd"/>
            <w:r w:rsidRPr="006F3BE6">
              <w:rPr>
                <w:sz w:val="20"/>
                <w:szCs w:val="22"/>
              </w:rPr>
              <w:t>-Tn (ng/mL)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D9DB04A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10.23 (1.60, 40.00)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580F8C7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10.65 (1.61, 40.00)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FD4A15D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7.61 (1.63, 40.00)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B3F5A07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0.592</w:t>
            </w:r>
          </w:p>
        </w:tc>
      </w:tr>
      <w:tr w:rsidR="006B0935" w:rsidRPr="006F3BE6" w14:paraId="26344E44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4444242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FPG (mmol/L)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9AEA11D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5.70 (5.04, 7.08)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B67A5C8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5.69 (5.01, 7.01)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24FD81A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5.73 (5.12, 7.49)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C222D64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0.355</w:t>
            </w:r>
          </w:p>
        </w:tc>
      </w:tr>
      <w:tr w:rsidR="006B0935" w:rsidRPr="006F3BE6" w14:paraId="1939138C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FAB409F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TC (mmol/L)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7DAFD43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4.56 (3.77, 5.41)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732C397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4.50 (3.82, 5.32)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1863FF1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4.60 (3.56, 5.53)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64FA9FC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0.866</w:t>
            </w:r>
          </w:p>
        </w:tc>
      </w:tr>
      <w:tr w:rsidR="006B0935" w:rsidRPr="006F3BE6" w14:paraId="2F539749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DAFA406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TG (mmol/L)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6343C92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1.51 (1.12, 2.17)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D045DF7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1.48 (1.10, 2.21)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B95BE05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1.57 (1.23, 2.08)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AA7B83C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0.577</w:t>
            </w:r>
          </w:p>
        </w:tc>
      </w:tr>
      <w:tr w:rsidR="006B0935" w:rsidRPr="006F3BE6" w14:paraId="2DC2792E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4DF9BEB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HDL-C (mmol/L)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16D5C65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1.14 (0.96, 1.30)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B7E2FE2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1.14 (0.97, 1.30)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2FFDCDA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1.11 (0.95, 1.25)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CC85DC6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0.173</w:t>
            </w:r>
          </w:p>
        </w:tc>
      </w:tr>
      <w:tr w:rsidR="006B0935" w:rsidRPr="006F3BE6" w14:paraId="546CE3D0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8AFA41E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lastRenderedPageBreak/>
              <w:t>LDL-C (mmol/L)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537D48A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3.01 (2.40, 3.58)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9E16A1A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3.00 (2.41, 3.54)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7B05B97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3.09 (2.36, 3.62)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3B651CD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0.761</w:t>
            </w:r>
          </w:p>
        </w:tc>
      </w:tr>
      <w:tr w:rsidR="006B0935" w:rsidRPr="006F3BE6" w14:paraId="72521EDA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06C8132" w14:textId="77777777" w:rsidR="006B0935" w:rsidRPr="006F3BE6" w:rsidRDefault="00000000">
            <w:pPr>
              <w:rPr>
                <w:sz w:val="22"/>
                <w:szCs w:val="22"/>
              </w:rPr>
            </w:pPr>
            <w:proofErr w:type="spellStart"/>
            <w:r w:rsidRPr="006F3BE6">
              <w:rPr>
                <w:sz w:val="20"/>
                <w:szCs w:val="22"/>
              </w:rPr>
              <w:t>Lp</w:t>
            </w:r>
            <w:proofErr w:type="spellEnd"/>
            <w:r w:rsidRPr="006F3BE6">
              <w:rPr>
                <w:sz w:val="20"/>
                <w:szCs w:val="22"/>
              </w:rPr>
              <w:t>(a) (mg/L)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DA544D1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162.00 (84.65, 316.55)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84DBDE6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149.05 (76.80, 311.70)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97AEE54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204.90 (110.70, 330.40)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C15FB2E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0.082</w:t>
            </w:r>
          </w:p>
        </w:tc>
      </w:tr>
      <w:tr w:rsidR="006B0935" w:rsidRPr="006F3BE6" w14:paraId="5AE64338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37676DF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b/>
                <w:bCs/>
                <w:sz w:val="20"/>
                <w:szCs w:val="22"/>
              </w:rPr>
              <w:t>Echocardiographic parameters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2BB3596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3037689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6E744B5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143A38E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</w:tr>
      <w:tr w:rsidR="006B0935" w:rsidRPr="006F3BE6" w14:paraId="5F213911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EADA3DE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LVEF (%)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6746465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56.00 (50.00, 60.00)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A3C7458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56.50 (51.00, 60.00)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C484556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55.00 (47.50, 59.00)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B98C743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0.066</w:t>
            </w:r>
          </w:p>
        </w:tc>
      </w:tr>
      <w:tr w:rsidR="006B0935" w:rsidRPr="006F3BE6" w14:paraId="44ABC4EC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8973864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LA (cm)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C5B076D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3.90 (3.62, 4.16)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B38DC27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3.89 (3.60, 4.11)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F62B23C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3.98 (3.74, 4.22)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85CA17A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0.029</w:t>
            </w:r>
          </w:p>
        </w:tc>
      </w:tr>
      <w:tr w:rsidR="006B0935" w:rsidRPr="006F3BE6" w14:paraId="7F0E3118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CAE7864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LVD (cm)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C4D41F6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5.00 (4.70, 5.34)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AE84598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4.96 (4.63, 5.26)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BC2C026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5.12 (4.79, 5.52)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95222CF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0.003</w:t>
            </w:r>
          </w:p>
        </w:tc>
      </w:tr>
      <w:tr w:rsidR="006B0935" w:rsidRPr="006F3BE6" w14:paraId="462929DA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E7E5403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b/>
                <w:bCs/>
                <w:sz w:val="20"/>
                <w:szCs w:val="22"/>
              </w:rPr>
              <w:t>CT-derived EAT parameters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F69DF51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BA8F34E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B8AB8BF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3DE672E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</w:tr>
      <w:tr w:rsidR="006B0935" w:rsidRPr="006F3BE6" w14:paraId="562EA7A2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4375761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EATV (mL)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A1FED25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137.28 (103.94, 166.41)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5D9742A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130.62 (101.05, 163.44)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24A534A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148.20 (118.24, 187.86)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86A042B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0.003</w:t>
            </w:r>
          </w:p>
        </w:tc>
      </w:tr>
      <w:tr w:rsidR="006B0935" w:rsidRPr="006F3BE6" w14:paraId="2E7AE9A7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6E1CCAA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EATVI (mL/m2)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F75754B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75.93 (59.84, 93.01)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821886D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73.66 (58.68, 89.47)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97B90B1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81.12 (67.91, 101.51)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46AC100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0.001</w:t>
            </w:r>
          </w:p>
        </w:tc>
      </w:tr>
      <w:tr w:rsidR="006B0935" w:rsidRPr="006F3BE6" w14:paraId="11D2B836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C627E8A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b/>
                <w:bCs/>
                <w:sz w:val="20"/>
                <w:szCs w:val="22"/>
              </w:rPr>
              <w:t>Coronary angiography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99D49ED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229E21E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BD44448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94C5E84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</w:tr>
      <w:tr w:rsidR="006B0935" w:rsidRPr="006F3BE6" w14:paraId="3B585B18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BF1A351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MVD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0134100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267 (72.8%)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DB19063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196 (71.0%)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FFD1BAC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71 (78.0%)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C1BA366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0.193</w:t>
            </w:r>
          </w:p>
        </w:tc>
      </w:tr>
      <w:tr w:rsidR="006B0935" w:rsidRPr="006F3BE6" w14:paraId="21C2E215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7AB75CB" w14:textId="77777777" w:rsidR="006B0935" w:rsidRPr="006F3BE6" w:rsidRDefault="00000000">
            <w:pPr>
              <w:rPr>
                <w:sz w:val="22"/>
                <w:szCs w:val="22"/>
              </w:rPr>
            </w:pPr>
            <w:proofErr w:type="spellStart"/>
            <w:r w:rsidRPr="006F3BE6">
              <w:rPr>
                <w:sz w:val="20"/>
                <w:szCs w:val="22"/>
              </w:rPr>
              <w:t>Gensini</w:t>
            </w:r>
            <w:proofErr w:type="spellEnd"/>
            <w:r w:rsidRPr="006F3BE6">
              <w:rPr>
                <w:sz w:val="20"/>
                <w:szCs w:val="22"/>
              </w:rPr>
              <w:t xml:space="preserve"> score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7D2D0EE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46.00 (31.00, 68.00)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DA5E852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44.50 (30.00, 64.00)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0CE4B8F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50.00 (35.00, 83.50)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5358882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0.019</w:t>
            </w:r>
          </w:p>
        </w:tc>
      </w:tr>
      <w:tr w:rsidR="006B0935" w:rsidRPr="006F3BE6" w14:paraId="41BB5E1D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C680709" w14:textId="77777777" w:rsidR="006B0935" w:rsidRPr="006F3BE6" w:rsidRDefault="0034275C">
            <w:pPr>
              <w:rPr>
                <w:sz w:val="22"/>
                <w:szCs w:val="22"/>
              </w:rPr>
            </w:pPr>
            <w:r w:rsidRPr="006F3BE6">
              <w:rPr>
                <w:b/>
                <w:bCs/>
                <w:sz w:val="20"/>
                <w:szCs w:val="22"/>
              </w:rPr>
              <w:t>GRACE score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DE2C214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136.00 (115.50, 157.00)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3C62FE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136.00 (116.75, 154.00)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AAE6911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139.00 (115.00, 159.50)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0016CE5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0.297</w:t>
            </w:r>
          </w:p>
        </w:tc>
      </w:tr>
      <w:tr w:rsidR="006B0935" w:rsidRPr="006F3BE6" w14:paraId="0B5945A6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C165EF8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b/>
                <w:bCs/>
                <w:sz w:val="20"/>
                <w:szCs w:val="22"/>
              </w:rPr>
              <w:lastRenderedPageBreak/>
              <w:t>Discharge medications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146212B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A7336A0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1038752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F6B1D8B" w14:textId="77777777" w:rsidR="006B0935" w:rsidRPr="006F3BE6" w:rsidRDefault="006B0935">
            <w:pPr>
              <w:suppressLineNumbers/>
              <w:jc w:val="center"/>
              <w:rPr>
                <w:sz w:val="22"/>
                <w:szCs w:val="22"/>
              </w:rPr>
            </w:pPr>
          </w:p>
        </w:tc>
      </w:tr>
      <w:tr w:rsidR="006B0935" w:rsidRPr="006F3BE6" w14:paraId="60A8AD25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AD1B736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Aspirin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A6E7E83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361 (98.4%)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BF85702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273 (98.9%)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12EC563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88 (96.7%)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A5742C0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0.165</w:t>
            </w:r>
          </w:p>
        </w:tc>
      </w:tr>
      <w:tr w:rsidR="006B0935" w:rsidRPr="006F3BE6" w14:paraId="34AFA04E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20745C6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P2Y12 inhibitor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C0C94E6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357 (97.3%)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9B8F878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269 (97.5%)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8210748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88 (96.7%)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6214061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0.714</w:t>
            </w:r>
          </w:p>
        </w:tc>
      </w:tr>
      <w:tr w:rsidR="006B0935" w:rsidRPr="006F3BE6" w14:paraId="5327B93F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0A5ACB9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Statin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E00D9E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354 (96.5%)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477737C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266 (96.4%)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5965D73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88 (96.7%)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48BD2EE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1.000</w:t>
            </w:r>
          </w:p>
        </w:tc>
      </w:tr>
      <w:tr w:rsidR="006B0935" w:rsidRPr="006F3BE6" w14:paraId="128ED25E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5FA75FC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Beta-blocker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48D250D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277 (75.5%)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5D36221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207 (75.0%)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9684FDF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70 (76.9%)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1CD0D94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0.712</w:t>
            </w:r>
          </w:p>
        </w:tc>
      </w:tr>
      <w:tr w:rsidR="006B0935" w:rsidRPr="006F3BE6" w14:paraId="7EFEABFC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C290D55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ACEI/ARB/ARNI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DF13DAA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227 (61.9%)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AD756AF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174 (63.0%)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2254CB1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53 (58.2%)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BFC0954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0.413</w:t>
            </w:r>
          </w:p>
        </w:tc>
      </w:tr>
      <w:tr w:rsidR="006B0935" w:rsidRPr="006F3BE6" w14:paraId="2FD59211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B18E5E6" w14:textId="77777777" w:rsidR="006B0935" w:rsidRPr="006F3BE6" w:rsidRDefault="00000000">
            <w:pPr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SGLT2 inhibitor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5386C10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95 (25.9%)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09694E6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65 (23.6%)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BDB3BC1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30 (33.0%)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490533A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0.075</w:t>
            </w:r>
          </w:p>
        </w:tc>
      </w:tr>
      <w:tr w:rsidR="006B0935" w:rsidRPr="006F3BE6" w14:paraId="05DD4532" w14:textId="77777777" w:rsidTr="006F3BE6">
        <w:trPr>
          <w:jc w:val="center"/>
        </w:trPr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single" w:sz="12" w:space="0" w:color="000000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0D89833" w14:textId="77777777" w:rsidR="006B0935" w:rsidRPr="0015061C" w:rsidRDefault="00000000">
            <w:pPr>
              <w:rPr>
                <w:b/>
                <w:bCs/>
                <w:sz w:val="22"/>
                <w:szCs w:val="22"/>
              </w:rPr>
            </w:pPr>
            <w:r w:rsidRPr="0015061C">
              <w:rPr>
                <w:b/>
                <w:bCs/>
                <w:sz w:val="20"/>
                <w:szCs w:val="22"/>
              </w:rPr>
              <w:t>Follow-up (months)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single" w:sz="12" w:space="0" w:color="000000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053BFE1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26.38 (20.09, 34.63)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single" w:sz="12" w:space="0" w:color="000000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7F51565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30.84 (24.53, 36.00)</w:t>
            </w:r>
          </w:p>
        </w:tc>
        <w:tc>
          <w:tcPr>
            <w:tcW w:w="3402" w:type="dxa"/>
            <w:tcBorders>
              <w:top w:val="none" w:sz="0" w:space="0" w:color="FFFFFF"/>
              <w:left w:val="none" w:sz="0" w:space="0" w:color="FFFFFF"/>
              <w:bottom w:val="single" w:sz="12" w:space="0" w:color="000000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042AADD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4.27 (1.29, 11.56)</w:t>
            </w:r>
          </w:p>
        </w:tc>
        <w:tc>
          <w:tcPr>
            <w:tcW w:w="1417" w:type="dxa"/>
            <w:tcBorders>
              <w:top w:val="none" w:sz="0" w:space="0" w:color="FFFFFF"/>
              <w:left w:val="none" w:sz="0" w:space="0" w:color="FFFFFF"/>
              <w:bottom w:val="single" w:sz="12" w:space="0" w:color="000000"/>
              <w:right w:val="none" w:sz="0" w:space="0" w:color="FFFFF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8A1E50F" w14:textId="77777777" w:rsidR="006B0935" w:rsidRPr="006F3BE6" w:rsidRDefault="00000000">
            <w:pPr>
              <w:jc w:val="center"/>
              <w:rPr>
                <w:sz w:val="22"/>
                <w:szCs w:val="22"/>
              </w:rPr>
            </w:pPr>
            <w:r w:rsidRPr="006F3BE6">
              <w:rPr>
                <w:sz w:val="20"/>
                <w:szCs w:val="22"/>
              </w:rPr>
              <w:t>&lt;0.001</w:t>
            </w:r>
          </w:p>
        </w:tc>
      </w:tr>
    </w:tbl>
    <w:p w14:paraId="00B252EC" w14:textId="723F0A95" w:rsidR="00F474C5" w:rsidRDefault="000E546D" w:rsidP="00F474C5">
      <w:pPr>
        <w:rPr>
          <w:rFonts w:eastAsiaTheme="minorEastAsia"/>
          <w:sz w:val="20"/>
        </w:rPr>
      </w:pPr>
      <w:r w:rsidRPr="0015061C">
        <w:rPr>
          <w:sz w:val="20"/>
        </w:rPr>
        <w:t xml:space="preserve">Data are presented as median (interquartile range) or n (%), as appropriate. </w:t>
      </w:r>
      <w:r w:rsidRPr="0015061C">
        <w:rPr>
          <w:i/>
          <w:iCs/>
          <w:sz w:val="20"/>
        </w:rPr>
        <w:t>P</w:t>
      </w:r>
      <w:r w:rsidRPr="0015061C">
        <w:rPr>
          <w:sz w:val="20"/>
        </w:rPr>
        <w:t xml:space="preserve"> values were calculated using Student's t test, the Wilcoxon rank-sum test, Pearson's chi-square test, or Fisher's exact test, as appropriate. Abbreviations: ACEI, angiotensin-converting enzyme inhibitor; ALB, albumin; ALT, alanine aminotransferase; ARB, angiotensin receptor blocker; ARNI, angiotensin receptor-neprilysin inhibitor; AST, aspartate aminotransferase; BMI, body mass index; BNP, B-type natriuretic peptide; BSA, body surface area; Cr, creatinine; DBP, diastolic blood pressure; DM, diabetes mellitus; EATV, epicardial adipose tissue volume; EATVI, epicardial adipose tissue volume index; FPG, fasting plasma glucose; GRACE, Global Registry of Acute Coronary Events; Hb, hemoglobin; HDL-C, high-density lipoprotein cholesterol; HR, heart rate; </w:t>
      </w:r>
      <w:proofErr w:type="spellStart"/>
      <w:r w:rsidRPr="0015061C">
        <w:rPr>
          <w:sz w:val="20"/>
        </w:rPr>
        <w:t>hs</w:t>
      </w:r>
      <w:proofErr w:type="spellEnd"/>
      <w:r w:rsidRPr="0015061C">
        <w:rPr>
          <w:sz w:val="20"/>
        </w:rPr>
        <w:t>-Tn, high-sensitivity troponin; HT</w:t>
      </w:r>
      <w:r w:rsidR="0015061C">
        <w:rPr>
          <w:rFonts w:eastAsiaTheme="minorEastAsia" w:hint="eastAsia"/>
          <w:sz w:val="20"/>
        </w:rPr>
        <w:t>N</w:t>
      </w:r>
      <w:r w:rsidRPr="0015061C">
        <w:rPr>
          <w:sz w:val="20"/>
        </w:rPr>
        <w:t xml:space="preserve">, hypertension; LA, left atrial diameter; LDL-C, low-density lipoprotein cholesterol; </w:t>
      </w:r>
      <w:proofErr w:type="spellStart"/>
      <w:r w:rsidRPr="0015061C">
        <w:rPr>
          <w:sz w:val="20"/>
        </w:rPr>
        <w:t>Lp</w:t>
      </w:r>
      <w:proofErr w:type="spellEnd"/>
      <w:r w:rsidRPr="0015061C">
        <w:rPr>
          <w:sz w:val="20"/>
        </w:rPr>
        <w:t xml:space="preserve">(a), lipoprotein(a); LVD, left ventricular diameter; LVEF, left ventricular ejection fraction; MACE, major adverse cardiovascular events; MVD, multivessel disease; PCI, percutaneous coronary intervention; </w:t>
      </w:r>
      <w:proofErr w:type="spellStart"/>
      <w:r w:rsidRPr="0015061C">
        <w:rPr>
          <w:sz w:val="20"/>
        </w:rPr>
        <w:t>Plt</w:t>
      </w:r>
      <w:proofErr w:type="spellEnd"/>
      <w:r w:rsidRPr="0015061C">
        <w:rPr>
          <w:sz w:val="20"/>
        </w:rPr>
        <w:t xml:space="preserve">, platelet count; SBP, systolic blood pressure; SGLT2, sodium-glucose cotransporter 2; ST, ST segment; STEMI, ST-segment elevation myocardial infarction; TC, total cholesterol; TG, </w:t>
      </w:r>
      <w:r w:rsidRPr="0015061C">
        <w:rPr>
          <w:sz w:val="20"/>
        </w:rPr>
        <w:lastRenderedPageBreak/>
        <w:t>triglycerides; WBC, white blood cell count.</w:t>
      </w:r>
      <w:r w:rsidR="00F474C5">
        <w:rPr>
          <w:rFonts w:eastAsiaTheme="minorEastAsia" w:hint="eastAsia"/>
          <w:sz w:val="20"/>
        </w:rPr>
        <w:t xml:space="preserve"> </w:t>
      </w:r>
    </w:p>
    <w:p w14:paraId="32CBDBCE" w14:textId="77777777" w:rsidR="00F474C5" w:rsidRPr="00F474C5" w:rsidRDefault="00F474C5" w:rsidP="00F474C5">
      <w:pPr>
        <w:rPr>
          <w:rFonts w:eastAsiaTheme="minorEastAsia" w:hint="eastAsia"/>
          <w:sz w:val="20"/>
        </w:rPr>
      </w:pPr>
    </w:p>
    <w:p w14:paraId="078A5D2B" w14:textId="410BE739" w:rsidR="00A5551B" w:rsidRPr="00A5551B" w:rsidRDefault="00A5551B" w:rsidP="00A5551B">
      <w:pPr>
        <w:keepNext/>
        <w:widowControl/>
        <w:outlineLvl w:val="0"/>
        <w:rPr>
          <w:b/>
          <w:bCs/>
          <w:szCs w:val="24"/>
        </w:rPr>
      </w:pPr>
      <w:r>
        <w:rPr>
          <w:b/>
        </w:rPr>
        <w:t>Table S2. Associations between EATVI and binary clinical variables</w:t>
      </w:r>
    </w:p>
    <w:tbl>
      <w:tblPr>
        <w:tblW w:w="119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98"/>
        <w:gridCol w:w="1700"/>
        <w:gridCol w:w="2600"/>
        <w:gridCol w:w="1500"/>
        <w:gridCol w:w="2324"/>
      </w:tblGrid>
      <w:tr w:rsidR="00A5551B" w:rsidRPr="00A5551B" w14:paraId="623F4EE3" w14:textId="77777777" w:rsidTr="00A5551B">
        <w:trPr>
          <w:tblHeader/>
          <w:jc w:val="center"/>
        </w:trPr>
        <w:tc>
          <w:tcPr>
            <w:tcW w:w="3798" w:type="dxa"/>
            <w:tcBorders>
              <w:top w:val="single" w:sz="12" w:space="0" w:color="000000"/>
              <w:left w:val="none" w:sz="0" w:space="0" w:color="FFFFFF"/>
              <w:bottom w:val="single" w:sz="8" w:space="0" w:color="000000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2250253" w14:textId="77777777" w:rsidR="00A5551B" w:rsidRPr="00A5551B" w:rsidRDefault="00A5551B" w:rsidP="00A5551B">
            <w:pPr>
              <w:rPr>
                <w:sz w:val="22"/>
                <w:szCs w:val="22"/>
              </w:rPr>
            </w:pPr>
            <w:r w:rsidRPr="00A5551B">
              <w:rPr>
                <w:b/>
                <w:bCs/>
                <w:sz w:val="20"/>
                <w:szCs w:val="22"/>
              </w:rPr>
              <w:t>Variable</w:t>
            </w:r>
          </w:p>
        </w:tc>
        <w:tc>
          <w:tcPr>
            <w:tcW w:w="1700" w:type="dxa"/>
            <w:tcBorders>
              <w:top w:val="single" w:sz="12" w:space="0" w:color="000000"/>
              <w:left w:val="none" w:sz="0" w:space="0" w:color="FFFFFF"/>
              <w:bottom w:val="single" w:sz="8" w:space="0" w:color="000000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0D723D6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b/>
                <w:bCs/>
                <w:sz w:val="20"/>
                <w:szCs w:val="22"/>
              </w:rPr>
              <w:t>n (%)</w:t>
            </w:r>
          </w:p>
        </w:tc>
        <w:tc>
          <w:tcPr>
            <w:tcW w:w="2600" w:type="dxa"/>
            <w:tcBorders>
              <w:top w:val="single" w:sz="12" w:space="0" w:color="000000"/>
              <w:left w:val="none" w:sz="0" w:space="0" w:color="FFFFFF"/>
              <w:bottom w:val="single" w:sz="8" w:space="0" w:color="000000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886A1FC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b/>
                <w:bCs/>
                <w:sz w:val="20"/>
                <w:szCs w:val="22"/>
              </w:rPr>
              <w:t>OR (95% CI)</w:t>
            </w:r>
          </w:p>
        </w:tc>
        <w:tc>
          <w:tcPr>
            <w:tcW w:w="1500" w:type="dxa"/>
            <w:tcBorders>
              <w:top w:val="single" w:sz="12" w:space="0" w:color="000000"/>
              <w:left w:val="none" w:sz="0" w:space="0" w:color="FFFFFF"/>
              <w:bottom w:val="single" w:sz="8" w:space="0" w:color="000000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00100D7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0E546D">
              <w:rPr>
                <w:b/>
                <w:bCs/>
                <w:i/>
                <w:iCs/>
                <w:sz w:val="20"/>
                <w:szCs w:val="22"/>
              </w:rPr>
              <w:t>P</w:t>
            </w:r>
            <w:r w:rsidRPr="00A5551B">
              <w:rPr>
                <w:b/>
                <w:bCs/>
                <w:sz w:val="20"/>
                <w:szCs w:val="22"/>
              </w:rPr>
              <w:t xml:space="preserve"> value</w:t>
            </w:r>
          </w:p>
        </w:tc>
        <w:tc>
          <w:tcPr>
            <w:tcW w:w="2324" w:type="dxa"/>
            <w:tcBorders>
              <w:top w:val="single" w:sz="12" w:space="0" w:color="000000"/>
              <w:left w:val="none" w:sz="0" w:space="0" w:color="FFFFFF"/>
              <w:bottom w:val="single" w:sz="8" w:space="0" w:color="000000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189E5BD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b/>
                <w:bCs/>
                <w:sz w:val="20"/>
                <w:szCs w:val="22"/>
              </w:rPr>
              <w:t xml:space="preserve">FDR-adjusted </w:t>
            </w:r>
            <w:r w:rsidRPr="000E546D">
              <w:rPr>
                <w:b/>
                <w:bCs/>
                <w:i/>
                <w:iCs/>
                <w:sz w:val="20"/>
                <w:szCs w:val="22"/>
              </w:rPr>
              <w:t>P</w:t>
            </w:r>
            <w:r w:rsidRPr="00A5551B">
              <w:rPr>
                <w:b/>
                <w:bCs/>
                <w:sz w:val="20"/>
                <w:szCs w:val="22"/>
              </w:rPr>
              <w:t xml:space="preserve"> value</w:t>
            </w:r>
          </w:p>
        </w:tc>
      </w:tr>
      <w:tr w:rsidR="00A5551B" w:rsidRPr="00A5551B" w14:paraId="649330D1" w14:textId="77777777" w:rsidTr="00A5551B">
        <w:trPr>
          <w:jc w:val="center"/>
        </w:trPr>
        <w:tc>
          <w:tcPr>
            <w:tcW w:w="379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1C25041" w14:textId="77777777" w:rsidR="00A5551B" w:rsidRPr="0034275C" w:rsidRDefault="00A5551B" w:rsidP="00A5551B">
            <w:pPr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Male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68D95C6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288 (78.5)</w:t>
            </w:r>
          </w:p>
        </w:tc>
        <w:tc>
          <w:tcPr>
            <w:tcW w:w="26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0B77D56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1.02 (0.79-1.31)</w:t>
            </w:r>
          </w:p>
        </w:tc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A500CC2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0.881</w:t>
            </w:r>
          </w:p>
        </w:tc>
        <w:tc>
          <w:tcPr>
            <w:tcW w:w="23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C063104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0.979</w:t>
            </w:r>
          </w:p>
        </w:tc>
      </w:tr>
      <w:tr w:rsidR="00A5551B" w:rsidRPr="00A5551B" w14:paraId="76BCBE27" w14:textId="77777777" w:rsidTr="00A5551B">
        <w:trPr>
          <w:jc w:val="center"/>
        </w:trPr>
        <w:tc>
          <w:tcPr>
            <w:tcW w:w="379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DC4B99F" w14:textId="77777777" w:rsidR="00A5551B" w:rsidRPr="00A5551B" w:rsidRDefault="00A5551B" w:rsidP="00A5551B">
            <w:pPr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Smoking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F11FC4C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114 (31.1)</w:t>
            </w:r>
          </w:p>
        </w:tc>
        <w:tc>
          <w:tcPr>
            <w:tcW w:w="26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008F368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1.02 (0.82-1.27)</w:t>
            </w:r>
          </w:p>
        </w:tc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26ECA1B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0.876</w:t>
            </w:r>
          </w:p>
        </w:tc>
        <w:tc>
          <w:tcPr>
            <w:tcW w:w="23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F4C21E3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0.979</w:t>
            </w:r>
          </w:p>
        </w:tc>
      </w:tr>
      <w:tr w:rsidR="00A5551B" w:rsidRPr="00A5551B" w14:paraId="4E12AE26" w14:textId="77777777" w:rsidTr="00A5551B">
        <w:trPr>
          <w:jc w:val="center"/>
        </w:trPr>
        <w:tc>
          <w:tcPr>
            <w:tcW w:w="379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1D7E351" w14:textId="77777777" w:rsidR="00A5551B" w:rsidRPr="00A5551B" w:rsidRDefault="00A5551B" w:rsidP="00A5551B">
            <w:pPr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Alcohol consumption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2386BBA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77 (21.0)</w:t>
            </w:r>
          </w:p>
        </w:tc>
        <w:tc>
          <w:tcPr>
            <w:tcW w:w="26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89751F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0.93 (0.72-1.20)</w:t>
            </w:r>
          </w:p>
        </w:tc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95EE2BB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0.582</w:t>
            </w:r>
          </w:p>
        </w:tc>
        <w:tc>
          <w:tcPr>
            <w:tcW w:w="23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82CE9D0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0.832</w:t>
            </w:r>
          </w:p>
        </w:tc>
      </w:tr>
      <w:tr w:rsidR="00A5551B" w:rsidRPr="00A5551B" w14:paraId="1BA9E408" w14:textId="77777777" w:rsidTr="00A5551B">
        <w:trPr>
          <w:jc w:val="center"/>
        </w:trPr>
        <w:tc>
          <w:tcPr>
            <w:tcW w:w="379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DAFBCA0" w14:textId="5CC7DA39" w:rsidR="00A5551B" w:rsidRPr="0015061C" w:rsidRDefault="00A5551B" w:rsidP="00A5551B">
            <w:pPr>
              <w:rPr>
                <w:rFonts w:eastAsiaTheme="minorEastAsia"/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HT</w:t>
            </w:r>
            <w:r w:rsidR="0015061C">
              <w:rPr>
                <w:rFonts w:eastAsiaTheme="minorEastAsia" w:hint="eastAsia"/>
                <w:sz w:val="20"/>
                <w:szCs w:val="22"/>
              </w:rPr>
              <w:t>N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E41148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220 (59.9)</w:t>
            </w:r>
          </w:p>
        </w:tc>
        <w:tc>
          <w:tcPr>
            <w:tcW w:w="26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D77B1C0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1.79 (1.41-2.26)</w:t>
            </w:r>
          </w:p>
        </w:tc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3EAEE3D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&lt;0.001</w:t>
            </w:r>
          </w:p>
        </w:tc>
        <w:tc>
          <w:tcPr>
            <w:tcW w:w="23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6C26BAE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&lt;0.001</w:t>
            </w:r>
          </w:p>
        </w:tc>
      </w:tr>
      <w:tr w:rsidR="00A5551B" w:rsidRPr="00A5551B" w14:paraId="5649F9D9" w14:textId="77777777" w:rsidTr="00A5551B">
        <w:trPr>
          <w:jc w:val="center"/>
        </w:trPr>
        <w:tc>
          <w:tcPr>
            <w:tcW w:w="379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F9DB715" w14:textId="77777777" w:rsidR="00A5551B" w:rsidRPr="00A5551B" w:rsidRDefault="00A5551B" w:rsidP="00A5551B">
            <w:pPr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DM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08598F7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104 (28.3)</w:t>
            </w:r>
          </w:p>
        </w:tc>
        <w:tc>
          <w:tcPr>
            <w:tcW w:w="26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04A0AA1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1.21 (0.97-1.52)</w:t>
            </w:r>
          </w:p>
        </w:tc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386A698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0.093</w:t>
            </w:r>
          </w:p>
        </w:tc>
        <w:tc>
          <w:tcPr>
            <w:tcW w:w="23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FB1E279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0.284</w:t>
            </w:r>
          </w:p>
        </w:tc>
      </w:tr>
      <w:tr w:rsidR="00A5551B" w:rsidRPr="00A5551B" w14:paraId="5884EFA1" w14:textId="77777777" w:rsidTr="00A5551B">
        <w:trPr>
          <w:jc w:val="center"/>
        </w:trPr>
        <w:tc>
          <w:tcPr>
            <w:tcW w:w="379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F02D504" w14:textId="77777777" w:rsidR="00A5551B" w:rsidRPr="00A5551B" w:rsidRDefault="00A5551B" w:rsidP="00A5551B">
            <w:pPr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Cardiac arrest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AB2FCD4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3 (0.8)</w:t>
            </w:r>
          </w:p>
        </w:tc>
        <w:tc>
          <w:tcPr>
            <w:tcW w:w="26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9A2CF4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1.49 (0.51-4.38)</w:t>
            </w:r>
          </w:p>
        </w:tc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8BB619B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0.468</w:t>
            </w:r>
          </w:p>
        </w:tc>
        <w:tc>
          <w:tcPr>
            <w:tcW w:w="23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79C76C3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0.832</w:t>
            </w:r>
          </w:p>
        </w:tc>
      </w:tr>
      <w:tr w:rsidR="00A5551B" w:rsidRPr="00A5551B" w14:paraId="3D32212B" w14:textId="77777777" w:rsidTr="00A5551B">
        <w:trPr>
          <w:jc w:val="center"/>
        </w:trPr>
        <w:tc>
          <w:tcPr>
            <w:tcW w:w="379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E9D6B1" w14:textId="77777777" w:rsidR="00A5551B" w:rsidRPr="00A5551B" w:rsidRDefault="00A5551B" w:rsidP="00A5551B">
            <w:pPr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 xml:space="preserve">Killip class </w:t>
            </w:r>
            <w:r w:rsidR="0034275C" w:rsidRPr="0034275C">
              <w:rPr>
                <w:sz w:val="20"/>
                <w:szCs w:val="22"/>
              </w:rPr>
              <w:t>≥</w:t>
            </w:r>
            <w:r w:rsidR="0034275C">
              <w:rPr>
                <w:rFonts w:hint="eastAsia"/>
                <w:sz w:val="20"/>
                <w:szCs w:val="22"/>
              </w:rPr>
              <w:t xml:space="preserve"> </w:t>
            </w:r>
            <w:r w:rsidRPr="00A5551B">
              <w:rPr>
                <w:sz w:val="20"/>
                <w:szCs w:val="22"/>
              </w:rPr>
              <w:t>II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BDE3105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50 (13.6)</w:t>
            </w:r>
          </w:p>
        </w:tc>
        <w:tc>
          <w:tcPr>
            <w:tcW w:w="26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60B7C3C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1.27 (0.94-1.70)</w:t>
            </w:r>
          </w:p>
        </w:tc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1A9E788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0.114</w:t>
            </w:r>
          </w:p>
        </w:tc>
        <w:tc>
          <w:tcPr>
            <w:tcW w:w="23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E242F2A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0.284</w:t>
            </w:r>
          </w:p>
        </w:tc>
      </w:tr>
      <w:tr w:rsidR="00A5551B" w:rsidRPr="00A5551B" w14:paraId="420AF734" w14:textId="77777777" w:rsidTr="00A5551B">
        <w:trPr>
          <w:jc w:val="center"/>
        </w:trPr>
        <w:tc>
          <w:tcPr>
            <w:tcW w:w="379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72F5054" w14:textId="77777777" w:rsidR="00A5551B" w:rsidRPr="00A5551B" w:rsidRDefault="00A5551B" w:rsidP="00A5551B">
            <w:pPr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ST deviation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D297AF5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252 (68.7)</w:t>
            </w:r>
          </w:p>
        </w:tc>
        <w:tc>
          <w:tcPr>
            <w:tcW w:w="26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B5EFE0B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1.08 (0.86-1.35)</w:t>
            </w:r>
          </w:p>
        </w:tc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644BB58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0.510</w:t>
            </w:r>
          </w:p>
        </w:tc>
        <w:tc>
          <w:tcPr>
            <w:tcW w:w="23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5D40685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0.832</w:t>
            </w:r>
          </w:p>
        </w:tc>
      </w:tr>
      <w:tr w:rsidR="00A5551B" w:rsidRPr="00A5551B" w14:paraId="04D01451" w14:textId="77777777" w:rsidTr="00A5551B">
        <w:trPr>
          <w:jc w:val="center"/>
        </w:trPr>
        <w:tc>
          <w:tcPr>
            <w:tcW w:w="379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9BA6C65" w14:textId="77777777" w:rsidR="00A5551B" w:rsidRPr="00A5551B" w:rsidRDefault="00A5551B" w:rsidP="00A5551B">
            <w:pPr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STEMI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FDD24C0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180 (49.0)</w:t>
            </w:r>
          </w:p>
        </w:tc>
        <w:tc>
          <w:tcPr>
            <w:tcW w:w="26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1D7AD39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1.00 (0.81-1.23)</w:t>
            </w:r>
          </w:p>
        </w:tc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A1D2485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0.994</w:t>
            </w:r>
          </w:p>
        </w:tc>
        <w:tc>
          <w:tcPr>
            <w:tcW w:w="23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B0EE0B9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0.994</w:t>
            </w:r>
          </w:p>
        </w:tc>
      </w:tr>
      <w:tr w:rsidR="00A5551B" w:rsidRPr="00A5551B" w14:paraId="1D8455AB" w14:textId="77777777" w:rsidTr="00A5551B">
        <w:trPr>
          <w:jc w:val="center"/>
        </w:trPr>
        <w:tc>
          <w:tcPr>
            <w:tcW w:w="3798" w:type="dxa"/>
            <w:tcBorders>
              <w:top w:val="none" w:sz="0" w:space="0" w:color="FFFFFF"/>
              <w:left w:val="none" w:sz="0" w:space="0" w:color="FFFFFF"/>
              <w:bottom w:val="single" w:sz="12" w:space="0" w:color="000000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DA82BB0" w14:textId="77777777" w:rsidR="00A5551B" w:rsidRPr="00A5551B" w:rsidRDefault="00A5551B" w:rsidP="00A5551B">
            <w:pPr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MVD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single" w:sz="12" w:space="0" w:color="000000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7A0C49E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267 (72.8)</w:t>
            </w:r>
          </w:p>
        </w:tc>
        <w:tc>
          <w:tcPr>
            <w:tcW w:w="2600" w:type="dxa"/>
            <w:tcBorders>
              <w:top w:val="none" w:sz="0" w:space="0" w:color="FFFFFF"/>
              <w:left w:val="none" w:sz="0" w:space="0" w:color="FFFFFF"/>
              <w:bottom w:val="single" w:sz="12" w:space="0" w:color="000000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DA3DEC0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1.30 (1.02-1.65)</w:t>
            </w:r>
          </w:p>
        </w:tc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single" w:sz="12" w:space="0" w:color="000000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2A5679B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0.032</w:t>
            </w:r>
          </w:p>
        </w:tc>
        <w:tc>
          <w:tcPr>
            <w:tcW w:w="2324" w:type="dxa"/>
            <w:tcBorders>
              <w:top w:val="none" w:sz="0" w:space="0" w:color="FFFFFF"/>
              <w:left w:val="none" w:sz="0" w:space="0" w:color="FFFFFF"/>
              <w:bottom w:val="single" w:sz="12" w:space="0" w:color="000000"/>
              <w:right w:val="none" w:sz="0" w:space="0" w:color="FFFFFF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E8488E3" w14:textId="77777777" w:rsidR="00A5551B" w:rsidRPr="00A5551B" w:rsidRDefault="00A5551B" w:rsidP="00A5551B">
            <w:pPr>
              <w:jc w:val="center"/>
              <w:rPr>
                <w:sz w:val="22"/>
                <w:szCs w:val="22"/>
              </w:rPr>
            </w:pPr>
            <w:r w:rsidRPr="00A5551B">
              <w:rPr>
                <w:sz w:val="20"/>
                <w:szCs w:val="22"/>
              </w:rPr>
              <w:t>0.160</w:t>
            </w:r>
          </w:p>
        </w:tc>
      </w:tr>
    </w:tbl>
    <w:p w14:paraId="78D7357E" w14:textId="7A0BB09E" w:rsidR="00E946DC" w:rsidRPr="0015061C" w:rsidRDefault="000E546D" w:rsidP="00A5551B">
      <w:pPr>
        <w:rPr>
          <w:sz w:val="20"/>
        </w:rPr>
      </w:pPr>
      <w:r w:rsidRPr="0015061C">
        <w:rPr>
          <w:sz w:val="20"/>
        </w:rPr>
        <w:t xml:space="preserve">Data are presented as n (%) or odds ratios (ORs) with 95% confidence intervals (CIs). ORs were estimated per 1-standard deviation increase in EATVI. </w:t>
      </w:r>
      <w:r w:rsidRPr="0015061C">
        <w:rPr>
          <w:i/>
          <w:iCs/>
          <w:sz w:val="20"/>
        </w:rPr>
        <w:t>P</w:t>
      </w:r>
      <w:r w:rsidRPr="0015061C">
        <w:rPr>
          <w:sz w:val="20"/>
        </w:rPr>
        <w:t xml:space="preserve"> values were adjusted using the Benjamini-Hochberg false discovery rate method. Abbreviations: DM, diabetes mellitus; EATVI, epicardial adipose tissue volume index; FDR, false </w:t>
      </w:r>
      <w:r w:rsidRPr="0015061C">
        <w:rPr>
          <w:sz w:val="20"/>
        </w:rPr>
        <w:lastRenderedPageBreak/>
        <w:t>discovery rate; HT</w:t>
      </w:r>
      <w:r w:rsidR="0015061C">
        <w:rPr>
          <w:rFonts w:eastAsiaTheme="minorEastAsia" w:hint="eastAsia"/>
          <w:sz w:val="20"/>
        </w:rPr>
        <w:t>N</w:t>
      </w:r>
      <w:r w:rsidRPr="0015061C">
        <w:rPr>
          <w:sz w:val="20"/>
        </w:rPr>
        <w:t>, hypertension; MVD, multivessel disease; OR, odds ratio; ST, ST segment; STEMI, ST-segment elevation myocardial infarction.</w:t>
      </w:r>
    </w:p>
    <w:p w14:paraId="5774AE97" w14:textId="77777777" w:rsidR="00E946DC" w:rsidRPr="00E946DC" w:rsidRDefault="00E946DC" w:rsidP="00E946DC">
      <w:pPr>
        <w:keepNext/>
        <w:widowControl/>
        <w:outlineLvl w:val="0"/>
        <w:rPr>
          <w:b/>
          <w:bCs/>
          <w:szCs w:val="24"/>
        </w:rPr>
      </w:pPr>
      <w:r>
        <w:rPr>
          <w:b/>
        </w:rPr>
        <w:t>Table S3. Proportional hazards and multicollinearity diagnostics</w:t>
      </w:r>
    </w:p>
    <w:tbl>
      <w:tblPr>
        <w:tblW w:w="11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0"/>
        <w:gridCol w:w="1500"/>
        <w:gridCol w:w="2750"/>
        <w:gridCol w:w="2800"/>
        <w:gridCol w:w="1700"/>
      </w:tblGrid>
      <w:tr w:rsidR="00E946DC" w:rsidRPr="00E946DC" w14:paraId="01A94D6C" w14:textId="77777777" w:rsidTr="00E946DC">
        <w:trPr>
          <w:cantSplit/>
          <w:tblHeader/>
          <w:jc w:val="center"/>
        </w:trPr>
        <w:tc>
          <w:tcPr>
            <w:tcW w:w="2850" w:type="dxa"/>
            <w:tcBorders>
              <w:top w:val="single" w:sz="12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325AB0FF" w14:textId="77777777" w:rsidR="00E946DC" w:rsidRPr="00E946DC" w:rsidRDefault="00E946DC" w:rsidP="00E946DC">
            <w:pPr>
              <w:rPr>
                <w:color w:val="000000"/>
                <w:sz w:val="22"/>
                <w:szCs w:val="22"/>
              </w:rPr>
            </w:pPr>
            <w:r w:rsidRPr="00E946DC">
              <w:rPr>
                <w:b/>
                <w:bCs/>
                <w:color w:val="000000"/>
                <w:sz w:val="20"/>
                <w:szCs w:val="22"/>
              </w:rPr>
              <w:t>EATVI specification</w:t>
            </w:r>
          </w:p>
        </w:tc>
        <w:tc>
          <w:tcPr>
            <w:tcW w:w="1500" w:type="dxa"/>
            <w:tcBorders>
              <w:top w:val="single" w:sz="12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C44EDD1" w14:textId="77777777" w:rsidR="00E946DC" w:rsidRPr="00E946DC" w:rsidRDefault="00E946DC" w:rsidP="00E946DC">
            <w:pPr>
              <w:rPr>
                <w:color w:val="000000"/>
                <w:sz w:val="22"/>
                <w:szCs w:val="22"/>
              </w:rPr>
            </w:pPr>
            <w:r w:rsidRPr="00E946DC">
              <w:rPr>
                <w:b/>
                <w:bCs/>
                <w:color w:val="000000"/>
                <w:sz w:val="20"/>
                <w:szCs w:val="22"/>
              </w:rPr>
              <w:t>Model</w:t>
            </w:r>
          </w:p>
        </w:tc>
        <w:tc>
          <w:tcPr>
            <w:tcW w:w="2750" w:type="dxa"/>
            <w:tcBorders>
              <w:top w:val="single" w:sz="12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B645A31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b/>
                <w:bCs/>
                <w:color w:val="000000"/>
                <w:sz w:val="20"/>
                <w:szCs w:val="22"/>
              </w:rPr>
              <w:t>EATVI PH test,</w:t>
            </w:r>
            <w:r w:rsidRPr="0015061C">
              <w:rPr>
                <w:b/>
                <w:bCs/>
                <w:i/>
                <w:iCs/>
                <w:color w:val="000000"/>
                <w:sz w:val="20"/>
                <w:szCs w:val="22"/>
              </w:rPr>
              <w:t xml:space="preserve"> P</w:t>
            </w:r>
            <w:r w:rsidRPr="00E946DC">
              <w:rPr>
                <w:b/>
                <w:bCs/>
                <w:color w:val="000000"/>
                <w:sz w:val="20"/>
                <w:szCs w:val="22"/>
              </w:rPr>
              <w:t xml:space="preserve"> value</w:t>
            </w:r>
          </w:p>
        </w:tc>
        <w:tc>
          <w:tcPr>
            <w:tcW w:w="2800" w:type="dxa"/>
            <w:tcBorders>
              <w:top w:val="single" w:sz="12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33E4FFE4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b/>
                <w:bCs/>
                <w:color w:val="000000"/>
                <w:sz w:val="20"/>
                <w:szCs w:val="22"/>
              </w:rPr>
              <w:t xml:space="preserve">Global PH test, </w:t>
            </w:r>
            <w:r w:rsidRPr="0015061C">
              <w:rPr>
                <w:b/>
                <w:bCs/>
                <w:i/>
                <w:iCs/>
                <w:color w:val="000000"/>
                <w:sz w:val="20"/>
                <w:szCs w:val="22"/>
              </w:rPr>
              <w:t>P</w:t>
            </w:r>
            <w:r w:rsidRPr="00E946DC">
              <w:rPr>
                <w:b/>
                <w:bCs/>
                <w:color w:val="000000"/>
                <w:sz w:val="20"/>
                <w:szCs w:val="22"/>
              </w:rPr>
              <w:t xml:space="preserve"> value</w:t>
            </w:r>
          </w:p>
        </w:tc>
        <w:tc>
          <w:tcPr>
            <w:tcW w:w="1700" w:type="dxa"/>
            <w:tcBorders>
              <w:top w:val="single" w:sz="12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3398B7E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b/>
                <w:bCs/>
                <w:color w:val="000000"/>
                <w:sz w:val="20"/>
                <w:szCs w:val="22"/>
              </w:rPr>
              <w:t>Maximum VIF</w:t>
            </w:r>
          </w:p>
        </w:tc>
      </w:tr>
      <w:tr w:rsidR="00E946DC" w:rsidRPr="00E946DC" w14:paraId="77D8011C" w14:textId="77777777" w:rsidTr="00E946DC">
        <w:trPr>
          <w:cantSplit/>
          <w:jc w:val="center"/>
        </w:trPr>
        <w:tc>
          <w:tcPr>
            <w:tcW w:w="28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70BEA65" w14:textId="77777777" w:rsidR="00E946DC" w:rsidRPr="00E946DC" w:rsidRDefault="00E946DC" w:rsidP="00E946DC">
            <w:pPr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Per 1-SD increase</w:t>
            </w:r>
          </w:p>
        </w:tc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F2C0D70" w14:textId="77777777" w:rsidR="00E946DC" w:rsidRPr="00E946DC" w:rsidRDefault="00E946DC" w:rsidP="00E946DC">
            <w:pPr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Model 0</w:t>
            </w:r>
          </w:p>
        </w:tc>
        <w:tc>
          <w:tcPr>
            <w:tcW w:w="27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80C8ACE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0.621</w:t>
            </w:r>
          </w:p>
        </w:tc>
        <w:tc>
          <w:tcPr>
            <w:tcW w:w="28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435EA42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0.621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368D59E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—</w:t>
            </w:r>
          </w:p>
        </w:tc>
      </w:tr>
      <w:tr w:rsidR="00E946DC" w:rsidRPr="00E946DC" w14:paraId="3C762839" w14:textId="77777777" w:rsidTr="00E946DC">
        <w:trPr>
          <w:cantSplit/>
          <w:jc w:val="center"/>
        </w:trPr>
        <w:tc>
          <w:tcPr>
            <w:tcW w:w="28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34AF92E6" w14:textId="77777777" w:rsidR="00E946DC" w:rsidRPr="00E946DC" w:rsidRDefault="00E946DC" w:rsidP="00E946DC">
            <w:pPr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Per 1-SD increase</w:t>
            </w:r>
          </w:p>
        </w:tc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4EA3419E" w14:textId="77777777" w:rsidR="00E946DC" w:rsidRPr="00E946DC" w:rsidRDefault="00E946DC" w:rsidP="00E946DC">
            <w:pPr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Model 1</w:t>
            </w:r>
          </w:p>
        </w:tc>
        <w:tc>
          <w:tcPr>
            <w:tcW w:w="27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8192FD9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0.625</w:t>
            </w:r>
          </w:p>
        </w:tc>
        <w:tc>
          <w:tcPr>
            <w:tcW w:w="28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294D95CA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0.029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207826D3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1.15</w:t>
            </w:r>
          </w:p>
        </w:tc>
      </w:tr>
      <w:tr w:rsidR="00E946DC" w:rsidRPr="00E946DC" w14:paraId="775D0C4C" w14:textId="77777777" w:rsidTr="00E946DC">
        <w:trPr>
          <w:cantSplit/>
          <w:jc w:val="center"/>
        </w:trPr>
        <w:tc>
          <w:tcPr>
            <w:tcW w:w="28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1BF1D5B2" w14:textId="77777777" w:rsidR="00E946DC" w:rsidRPr="00E946DC" w:rsidRDefault="00E946DC" w:rsidP="00E946DC">
            <w:pPr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Per 1-SD increase</w:t>
            </w:r>
          </w:p>
        </w:tc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279FCFFA" w14:textId="77777777" w:rsidR="00E946DC" w:rsidRPr="00E946DC" w:rsidRDefault="00E946DC" w:rsidP="00E946DC">
            <w:pPr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Model 2</w:t>
            </w:r>
          </w:p>
        </w:tc>
        <w:tc>
          <w:tcPr>
            <w:tcW w:w="27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38FA7A25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0.897</w:t>
            </w:r>
          </w:p>
        </w:tc>
        <w:tc>
          <w:tcPr>
            <w:tcW w:w="28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C2CAC7D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0.030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8E22973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1.60</w:t>
            </w:r>
          </w:p>
        </w:tc>
      </w:tr>
      <w:tr w:rsidR="00E946DC" w:rsidRPr="00E946DC" w14:paraId="5C8D88A5" w14:textId="77777777" w:rsidTr="00E946DC">
        <w:trPr>
          <w:cantSplit/>
          <w:jc w:val="center"/>
        </w:trPr>
        <w:tc>
          <w:tcPr>
            <w:tcW w:w="28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47ADB28D" w14:textId="77777777" w:rsidR="00E946DC" w:rsidRPr="00E946DC" w:rsidRDefault="00E946DC" w:rsidP="00E946DC">
            <w:pPr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Per 1-SD increase</w:t>
            </w:r>
          </w:p>
        </w:tc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DA79746" w14:textId="77777777" w:rsidR="00E946DC" w:rsidRPr="00E946DC" w:rsidRDefault="00E946DC" w:rsidP="00E946DC">
            <w:pPr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Model 3</w:t>
            </w:r>
          </w:p>
        </w:tc>
        <w:tc>
          <w:tcPr>
            <w:tcW w:w="27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1634048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0.991</w:t>
            </w:r>
          </w:p>
        </w:tc>
        <w:tc>
          <w:tcPr>
            <w:tcW w:w="28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7A5DAB4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0.129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60C40F58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2.49</w:t>
            </w:r>
          </w:p>
        </w:tc>
      </w:tr>
      <w:tr w:rsidR="00E946DC" w:rsidRPr="00E946DC" w14:paraId="6D6600DD" w14:textId="77777777" w:rsidTr="00E946DC">
        <w:trPr>
          <w:cantSplit/>
          <w:jc w:val="center"/>
        </w:trPr>
        <w:tc>
          <w:tcPr>
            <w:tcW w:w="28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3CC00E70" w14:textId="77777777" w:rsidR="00E946DC" w:rsidRPr="00E946DC" w:rsidRDefault="00E946DC" w:rsidP="00E946DC">
            <w:pPr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Per 1-SD increase</w:t>
            </w:r>
          </w:p>
        </w:tc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2EF6B921" w14:textId="77777777" w:rsidR="00E946DC" w:rsidRPr="00E946DC" w:rsidRDefault="00E946DC" w:rsidP="00E946DC">
            <w:pPr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Model 4</w:t>
            </w:r>
          </w:p>
        </w:tc>
        <w:tc>
          <w:tcPr>
            <w:tcW w:w="27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4A28E3AE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0.743</w:t>
            </w:r>
          </w:p>
        </w:tc>
        <w:tc>
          <w:tcPr>
            <w:tcW w:w="28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1DB368FF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0.366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6CFCFDD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1.19</w:t>
            </w:r>
          </w:p>
        </w:tc>
      </w:tr>
      <w:tr w:rsidR="00E946DC" w:rsidRPr="00E946DC" w14:paraId="2FC05E7F" w14:textId="77777777" w:rsidTr="00E946DC">
        <w:trPr>
          <w:cantSplit/>
          <w:jc w:val="center"/>
        </w:trPr>
        <w:tc>
          <w:tcPr>
            <w:tcW w:w="28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D3C053C" w14:textId="77777777" w:rsidR="00E946DC" w:rsidRPr="00E946DC" w:rsidRDefault="00E946DC" w:rsidP="00E946DC">
            <w:pPr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Tertiles</w:t>
            </w:r>
          </w:p>
        </w:tc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2A1BED2" w14:textId="77777777" w:rsidR="00E946DC" w:rsidRPr="00E946DC" w:rsidRDefault="00E946DC" w:rsidP="00E946DC">
            <w:pPr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Model 0</w:t>
            </w:r>
          </w:p>
        </w:tc>
        <w:tc>
          <w:tcPr>
            <w:tcW w:w="27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122220AF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0.370</w:t>
            </w:r>
          </w:p>
        </w:tc>
        <w:tc>
          <w:tcPr>
            <w:tcW w:w="28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424C9B5D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0.370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FF11BB3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—</w:t>
            </w:r>
          </w:p>
        </w:tc>
      </w:tr>
      <w:tr w:rsidR="00E946DC" w:rsidRPr="00E946DC" w14:paraId="434440D0" w14:textId="77777777" w:rsidTr="00E946DC">
        <w:trPr>
          <w:cantSplit/>
          <w:jc w:val="center"/>
        </w:trPr>
        <w:tc>
          <w:tcPr>
            <w:tcW w:w="28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1F5F805" w14:textId="77777777" w:rsidR="00E946DC" w:rsidRPr="00E946DC" w:rsidRDefault="00E946DC" w:rsidP="00E946DC">
            <w:pPr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Tertiles</w:t>
            </w:r>
          </w:p>
        </w:tc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4388F0A" w14:textId="77777777" w:rsidR="00E946DC" w:rsidRPr="00E946DC" w:rsidRDefault="00E946DC" w:rsidP="00E946DC">
            <w:pPr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Model 1</w:t>
            </w:r>
          </w:p>
        </w:tc>
        <w:tc>
          <w:tcPr>
            <w:tcW w:w="27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18D44775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0.371</w:t>
            </w:r>
          </w:p>
        </w:tc>
        <w:tc>
          <w:tcPr>
            <w:tcW w:w="28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22C60F4C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0.030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2345AE81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1.42</w:t>
            </w:r>
          </w:p>
        </w:tc>
      </w:tr>
      <w:tr w:rsidR="00E946DC" w:rsidRPr="00E946DC" w14:paraId="3349FDBB" w14:textId="77777777" w:rsidTr="00E946DC">
        <w:trPr>
          <w:cantSplit/>
          <w:jc w:val="center"/>
        </w:trPr>
        <w:tc>
          <w:tcPr>
            <w:tcW w:w="28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2C773D03" w14:textId="77777777" w:rsidR="00E946DC" w:rsidRPr="00E946DC" w:rsidRDefault="00E946DC" w:rsidP="00E946DC">
            <w:pPr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Tertiles</w:t>
            </w:r>
          </w:p>
        </w:tc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56C6092" w14:textId="77777777" w:rsidR="00E946DC" w:rsidRPr="00E946DC" w:rsidRDefault="00E946DC" w:rsidP="00E946DC">
            <w:pPr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Model 2</w:t>
            </w:r>
          </w:p>
        </w:tc>
        <w:tc>
          <w:tcPr>
            <w:tcW w:w="27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9C1C1FD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0.420</w:t>
            </w:r>
          </w:p>
        </w:tc>
        <w:tc>
          <w:tcPr>
            <w:tcW w:w="28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93BF7F9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0.033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CA50F56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1.72</w:t>
            </w:r>
          </w:p>
        </w:tc>
      </w:tr>
      <w:tr w:rsidR="00E946DC" w:rsidRPr="00E946DC" w14:paraId="159362A7" w14:textId="77777777" w:rsidTr="00E946DC">
        <w:trPr>
          <w:cantSplit/>
          <w:jc w:val="center"/>
        </w:trPr>
        <w:tc>
          <w:tcPr>
            <w:tcW w:w="28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3897BE35" w14:textId="77777777" w:rsidR="00E946DC" w:rsidRPr="00E946DC" w:rsidRDefault="00E946DC" w:rsidP="00E946DC">
            <w:pPr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Tertiles</w:t>
            </w:r>
          </w:p>
        </w:tc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3068D7D6" w14:textId="77777777" w:rsidR="00E946DC" w:rsidRPr="00E946DC" w:rsidRDefault="00E946DC" w:rsidP="00E946DC">
            <w:pPr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Model 3</w:t>
            </w:r>
          </w:p>
        </w:tc>
        <w:tc>
          <w:tcPr>
            <w:tcW w:w="27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412D0BC0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0.468</w:t>
            </w:r>
          </w:p>
        </w:tc>
        <w:tc>
          <w:tcPr>
            <w:tcW w:w="28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828AAE0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0.081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4B304351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2.51</w:t>
            </w:r>
          </w:p>
        </w:tc>
      </w:tr>
      <w:tr w:rsidR="00E946DC" w:rsidRPr="00E946DC" w14:paraId="4294806A" w14:textId="77777777" w:rsidTr="00E946DC">
        <w:trPr>
          <w:cantSplit/>
          <w:jc w:val="center"/>
        </w:trPr>
        <w:tc>
          <w:tcPr>
            <w:tcW w:w="2850" w:type="dxa"/>
            <w:tcBorders>
              <w:top w:val="none" w:sz="0" w:space="0" w:color="FFFFFF"/>
              <w:left w:val="none" w:sz="0" w:space="0" w:color="FFFFFF"/>
              <w:bottom w:val="single" w:sz="12" w:space="0" w:color="000000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23C6D8B" w14:textId="77777777" w:rsidR="00E946DC" w:rsidRPr="00E946DC" w:rsidRDefault="00E946DC" w:rsidP="00E946DC">
            <w:pPr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Tertiles</w:t>
            </w:r>
          </w:p>
        </w:tc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single" w:sz="12" w:space="0" w:color="000000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3435545" w14:textId="77777777" w:rsidR="00E946DC" w:rsidRPr="00E946DC" w:rsidRDefault="00E946DC" w:rsidP="00E946DC">
            <w:pPr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Model 4</w:t>
            </w:r>
          </w:p>
        </w:tc>
        <w:tc>
          <w:tcPr>
            <w:tcW w:w="2750" w:type="dxa"/>
            <w:tcBorders>
              <w:top w:val="none" w:sz="0" w:space="0" w:color="FFFFFF"/>
              <w:left w:val="none" w:sz="0" w:space="0" w:color="FFFFFF"/>
              <w:bottom w:val="single" w:sz="12" w:space="0" w:color="000000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792B27DB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0.395</w:t>
            </w:r>
          </w:p>
        </w:tc>
        <w:tc>
          <w:tcPr>
            <w:tcW w:w="2800" w:type="dxa"/>
            <w:tcBorders>
              <w:top w:val="none" w:sz="0" w:space="0" w:color="FFFFFF"/>
              <w:left w:val="none" w:sz="0" w:space="0" w:color="FFFFFF"/>
              <w:bottom w:val="single" w:sz="12" w:space="0" w:color="000000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07A4FD10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0.227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single" w:sz="12" w:space="0" w:color="000000"/>
              <w:right w:val="none" w:sz="0" w:space="0" w:color="FFFFFF"/>
            </w:tcBorders>
            <w:tcMar>
              <w:top w:w="70" w:type="dxa"/>
              <w:left w:w="85" w:type="dxa"/>
              <w:bottom w:w="70" w:type="dxa"/>
              <w:right w:w="85" w:type="dxa"/>
            </w:tcMar>
            <w:vAlign w:val="center"/>
          </w:tcPr>
          <w:p w14:paraId="5F8D1611" w14:textId="77777777" w:rsidR="00E946DC" w:rsidRPr="00E946DC" w:rsidRDefault="00E946DC" w:rsidP="00E946DC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1.38</w:t>
            </w:r>
          </w:p>
        </w:tc>
      </w:tr>
    </w:tbl>
    <w:p w14:paraId="1F68CC94" w14:textId="0F73C8CA" w:rsidR="00D12FFD" w:rsidRDefault="000E546D" w:rsidP="0088733D">
      <w:pPr>
        <w:rPr>
          <w:rFonts w:eastAsiaTheme="minorEastAsia"/>
          <w:sz w:val="20"/>
        </w:rPr>
      </w:pPr>
      <w:r w:rsidRPr="0015061C">
        <w:rPr>
          <w:sz w:val="20"/>
        </w:rPr>
        <w:t>The proportional hazards (PH) assumption was assessed using Schoenfeld residuals;</w:t>
      </w:r>
      <w:r w:rsidRPr="0015061C">
        <w:rPr>
          <w:i/>
          <w:iCs/>
          <w:sz w:val="20"/>
        </w:rPr>
        <w:t xml:space="preserve"> P</w:t>
      </w:r>
      <w:r w:rsidRPr="0015061C">
        <w:rPr>
          <w:sz w:val="20"/>
        </w:rPr>
        <w:t xml:space="preserve"> &lt; 0.05 indicates evidence against the PH assumption. Model 0 was unadjusted. Model 1 was adjusted for age and sex. Model 2 was additionally adjusted for BMI, hypertension, diabetes mellitus, smoking, LDL-C, HDL-C, triglycerides, and creatinine. Model 3 was additionally adjusted for </w:t>
      </w:r>
      <w:proofErr w:type="spellStart"/>
      <w:r w:rsidRPr="0015061C">
        <w:rPr>
          <w:sz w:val="20"/>
        </w:rPr>
        <w:t>Gensini</w:t>
      </w:r>
      <w:proofErr w:type="spellEnd"/>
      <w:r w:rsidRPr="0015061C">
        <w:rPr>
          <w:sz w:val="20"/>
        </w:rPr>
        <w:t xml:space="preserve"> score, Killip class, LVEF, LA, LVD, and </w:t>
      </w:r>
      <w:proofErr w:type="gramStart"/>
      <w:r w:rsidRPr="0015061C">
        <w:rPr>
          <w:sz w:val="20"/>
        </w:rPr>
        <w:t>log(</w:t>
      </w:r>
      <w:proofErr w:type="gramEnd"/>
      <w:r w:rsidRPr="0015061C">
        <w:rPr>
          <w:sz w:val="20"/>
        </w:rPr>
        <w:t xml:space="preserve">BNP). Model 4 included EATVI, GRACE score, </w:t>
      </w:r>
      <w:proofErr w:type="spellStart"/>
      <w:r w:rsidRPr="0015061C">
        <w:rPr>
          <w:sz w:val="20"/>
        </w:rPr>
        <w:t>Gensini</w:t>
      </w:r>
      <w:proofErr w:type="spellEnd"/>
      <w:r w:rsidRPr="0015061C">
        <w:rPr>
          <w:sz w:val="20"/>
        </w:rPr>
        <w:t xml:space="preserve"> score, and LVEF. VIF was not </w:t>
      </w:r>
      <w:r w:rsidRPr="0015061C">
        <w:rPr>
          <w:sz w:val="20"/>
        </w:rPr>
        <w:lastRenderedPageBreak/>
        <w:t>calculated for the unadjusted model. Abbreviations: BMI, body mass index; BNP, B-type natriuretic peptide; EATVI, epicardial adipose tissue volume index; GRACE, Global Registry of Acute Coronary Events; HDL-C, high-density lipoprotein cholesterol; LA, left atrial diameter; LDL-C, low-density lipoprotein cholesterol; LVD, left ventricular diameter; LVEF, left ventricular ejection fraction; PH, proportional hazards; TG, triglycerides; VIF, variance inflation factor</w:t>
      </w:r>
      <w:r w:rsidR="0088733D">
        <w:rPr>
          <w:rFonts w:eastAsiaTheme="minorEastAsia" w:hint="eastAsia"/>
          <w:sz w:val="20"/>
        </w:rPr>
        <w:t xml:space="preserve"> </w:t>
      </w:r>
    </w:p>
    <w:p w14:paraId="5AE83BBB" w14:textId="77777777" w:rsidR="0088733D" w:rsidRPr="0088733D" w:rsidRDefault="0088733D" w:rsidP="0088733D">
      <w:pPr>
        <w:rPr>
          <w:rFonts w:eastAsiaTheme="minorEastAsia"/>
          <w:sz w:val="20"/>
        </w:rPr>
      </w:pPr>
    </w:p>
    <w:p w14:paraId="127D0C88" w14:textId="77777777" w:rsidR="00D12FFD" w:rsidRPr="00D12FFD" w:rsidRDefault="00D12FFD" w:rsidP="00D12FFD">
      <w:pPr>
        <w:keepNext/>
        <w:widowControl/>
        <w:outlineLvl w:val="0"/>
        <w:rPr>
          <w:b/>
          <w:bCs/>
          <w:szCs w:val="24"/>
        </w:rPr>
      </w:pPr>
      <w:r>
        <w:rPr>
          <w:b/>
        </w:rPr>
        <w:t>Table S4. Pairwise comparisons of model discrimination</w:t>
      </w:r>
    </w:p>
    <w:tbl>
      <w:tblPr>
        <w:tblW w:w="154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0"/>
        <w:gridCol w:w="2660"/>
        <w:gridCol w:w="2660"/>
        <w:gridCol w:w="2660"/>
        <w:gridCol w:w="2670"/>
      </w:tblGrid>
      <w:tr w:rsidR="00D12FFD" w:rsidRPr="00D12FFD" w14:paraId="158942D0" w14:textId="77777777" w:rsidTr="00B166CD">
        <w:trPr>
          <w:cantSplit/>
          <w:tblHeader/>
          <w:jc w:val="center"/>
        </w:trPr>
        <w:tc>
          <w:tcPr>
            <w:tcW w:w="4750" w:type="dxa"/>
            <w:tcBorders>
              <w:top w:val="single" w:sz="12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62566AD0" w14:textId="77777777" w:rsidR="00D12FFD" w:rsidRPr="00E946DC" w:rsidRDefault="00D12FFD" w:rsidP="00B166CD">
            <w:pPr>
              <w:rPr>
                <w:color w:val="000000"/>
                <w:sz w:val="22"/>
                <w:szCs w:val="22"/>
              </w:rPr>
            </w:pPr>
            <w:r w:rsidRPr="00E946DC">
              <w:rPr>
                <w:b/>
                <w:bCs/>
                <w:color w:val="000000"/>
                <w:sz w:val="20"/>
                <w:szCs w:val="22"/>
              </w:rPr>
              <w:t>Model comparison</w:t>
            </w:r>
          </w:p>
        </w:tc>
        <w:tc>
          <w:tcPr>
            <w:tcW w:w="2660" w:type="dxa"/>
            <w:tcBorders>
              <w:top w:val="single" w:sz="12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284C8A40" w14:textId="77777777" w:rsidR="00D12FFD" w:rsidRPr="00E946DC" w:rsidRDefault="00D12FFD" w:rsidP="00B166CD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b/>
                <w:bCs/>
                <w:color w:val="000000"/>
                <w:sz w:val="20"/>
                <w:szCs w:val="22"/>
              </w:rPr>
              <w:t>Harrell C-index</w:t>
            </w:r>
          </w:p>
        </w:tc>
        <w:tc>
          <w:tcPr>
            <w:tcW w:w="2660" w:type="dxa"/>
            <w:tcBorders>
              <w:top w:val="single" w:sz="12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1B60872E" w14:textId="77777777" w:rsidR="00D12FFD" w:rsidRPr="00E946DC" w:rsidRDefault="00D12FFD" w:rsidP="00B166CD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b/>
                <w:bCs/>
                <w:color w:val="000000"/>
                <w:sz w:val="20"/>
                <w:szCs w:val="22"/>
              </w:rPr>
              <w:t>6-month AUC</w:t>
            </w:r>
          </w:p>
        </w:tc>
        <w:tc>
          <w:tcPr>
            <w:tcW w:w="2660" w:type="dxa"/>
            <w:tcBorders>
              <w:top w:val="single" w:sz="12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612E9F97" w14:textId="77777777" w:rsidR="00D12FFD" w:rsidRPr="00E946DC" w:rsidRDefault="00D12FFD" w:rsidP="00B166CD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b/>
                <w:bCs/>
                <w:color w:val="000000"/>
                <w:sz w:val="20"/>
                <w:szCs w:val="22"/>
              </w:rPr>
              <w:t>12-month AUC</w:t>
            </w:r>
          </w:p>
        </w:tc>
        <w:tc>
          <w:tcPr>
            <w:tcW w:w="2670" w:type="dxa"/>
            <w:tcBorders>
              <w:top w:val="single" w:sz="12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54AD4051" w14:textId="77777777" w:rsidR="00D12FFD" w:rsidRPr="00E946DC" w:rsidRDefault="00D12FFD" w:rsidP="00B166CD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b/>
                <w:bCs/>
                <w:color w:val="000000"/>
                <w:sz w:val="20"/>
                <w:szCs w:val="22"/>
              </w:rPr>
              <w:t>24-month AUC</w:t>
            </w:r>
          </w:p>
        </w:tc>
      </w:tr>
      <w:tr w:rsidR="00D12FFD" w:rsidRPr="00D12FFD" w14:paraId="3CE1A31A" w14:textId="77777777" w:rsidTr="00B166CD">
        <w:trPr>
          <w:cantSplit/>
          <w:jc w:val="center"/>
        </w:trPr>
        <w:tc>
          <w:tcPr>
            <w:tcW w:w="47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4DD4E1CE" w14:textId="77777777" w:rsidR="00D12FFD" w:rsidRPr="00E946DC" w:rsidRDefault="00D12FFD" w:rsidP="00B166CD">
            <w:pPr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Simplified EATVI model vs GRACE score</w:t>
            </w:r>
          </w:p>
        </w:tc>
        <w:tc>
          <w:tcPr>
            <w:tcW w:w="26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7AE7772C" w14:textId="77777777" w:rsidR="00D12FFD" w:rsidRPr="00E946DC" w:rsidRDefault="00D12FFD" w:rsidP="00B166CD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0.682 vs 0.527</w:t>
            </w:r>
            <w:r w:rsidRPr="00E946DC">
              <w:rPr>
                <w:color w:val="000000"/>
                <w:sz w:val="20"/>
                <w:szCs w:val="22"/>
              </w:rPr>
              <w:br/>
              <w:t xml:space="preserve">Δ=0.155; </w:t>
            </w:r>
            <w:r w:rsidRPr="0015061C">
              <w:rPr>
                <w:i/>
                <w:iCs/>
                <w:color w:val="000000"/>
                <w:sz w:val="20"/>
                <w:szCs w:val="22"/>
              </w:rPr>
              <w:t>P</w:t>
            </w:r>
            <w:r w:rsidRPr="00E946DC">
              <w:rPr>
                <w:color w:val="000000"/>
                <w:sz w:val="20"/>
                <w:szCs w:val="22"/>
              </w:rPr>
              <w:t>&lt;0.001</w:t>
            </w:r>
          </w:p>
        </w:tc>
        <w:tc>
          <w:tcPr>
            <w:tcW w:w="26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1CD3BCEF" w14:textId="77777777" w:rsidR="00D12FFD" w:rsidRPr="00E946DC" w:rsidRDefault="00D12FFD" w:rsidP="00B166CD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0.737 vs 0.550</w:t>
            </w:r>
            <w:r w:rsidRPr="00E946DC">
              <w:rPr>
                <w:color w:val="000000"/>
                <w:sz w:val="20"/>
                <w:szCs w:val="22"/>
              </w:rPr>
              <w:br/>
              <w:t xml:space="preserve">Δ=0.187; </w:t>
            </w:r>
            <w:r w:rsidRPr="0015061C">
              <w:rPr>
                <w:i/>
                <w:iCs/>
                <w:color w:val="000000"/>
                <w:sz w:val="20"/>
                <w:szCs w:val="22"/>
              </w:rPr>
              <w:t>P</w:t>
            </w:r>
            <w:r w:rsidRPr="00E946DC">
              <w:rPr>
                <w:color w:val="000000"/>
                <w:sz w:val="20"/>
                <w:szCs w:val="22"/>
              </w:rPr>
              <w:t>&lt;0.001</w:t>
            </w:r>
          </w:p>
        </w:tc>
        <w:tc>
          <w:tcPr>
            <w:tcW w:w="26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0203F0AC" w14:textId="77777777" w:rsidR="00D12FFD" w:rsidRPr="00E946DC" w:rsidRDefault="00D12FFD" w:rsidP="00B166CD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0.721 vs 0.540</w:t>
            </w:r>
            <w:r w:rsidRPr="00E946DC">
              <w:rPr>
                <w:color w:val="000000"/>
                <w:sz w:val="20"/>
                <w:szCs w:val="22"/>
              </w:rPr>
              <w:br/>
              <w:t>Δ=0.181;</w:t>
            </w:r>
            <w:r w:rsidRPr="0015061C">
              <w:rPr>
                <w:i/>
                <w:iCs/>
                <w:color w:val="000000"/>
                <w:sz w:val="20"/>
                <w:szCs w:val="22"/>
              </w:rPr>
              <w:t xml:space="preserve"> P</w:t>
            </w:r>
            <w:r w:rsidRPr="00E946DC">
              <w:rPr>
                <w:color w:val="000000"/>
                <w:sz w:val="20"/>
                <w:szCs w:val="22"/>
              </w:rPr>
              <w:t>&lt;0.001</w:t>
            </w:r>
          </w:p>
        </w:tc>
        <w:tc>
          <w:tcPr>
            <w:tcW w:w="26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6C34B3C6" w14:textId="77777777" w:rsidR="00D12FFD" w:rsidRPr="00E946DC" w:rsidRDefault="00D12FFD" w:rsidP="00B166CD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0.702 vs 0.533</w:t>
            </w:r>
            <w:r w:rsidRPr="00E946DC">
              <w:rPr>
                <w:color w:val="000000"/>
                <w:sz w:val="20"/>
                <w:szCs w:val="22"/>
              </w:rPr>
              <w:br/>
              <w:t xml:space="preserve">Δ=0.168; </w:t>
            </w:r>
            <w:r w:rsidRPr="0015061C">
              <w:rPr>
                <w:i/>
                <w:iCs/>
                <w:color w:val="000000"/>
                <w:sz w:val="20"/>
                <w:szCs w:val="22"/>
              </w:rPr>
              <w:t>P</w:t>
            </w:r>
            <w:r w:rsidRPr="00E946DC">
              <w:rPr>
                <w:color w:val="000000"/>
                <w:sz w:val="20"/>
                <w:szCs w:val="22"/>
              </w:rPr>
              <w:t>&lt;0.001</w:t>
            </w:r>
          </w:p>
        </w:tc>
      </w:tr>
      <w:tr w:rsidR="00D12FFD" w:rsidRPr="00D12FFD" w14:paraId="175CC1CB" w14:textId="77777777" w:rsidTr="00B166CD">
        <w:trPr>
          <w:cantSplit/>
          <w:jc w:val="center"/>
        </w:trPr>
        <w:tc>
          <w:tcPr>
            <w:tcW w:w="475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373AE3B4" w14:textId="77777777" w:rsidR="00D12FFD" w:rsidRPr="00E946DC" w:rsidRDefault="00D12FFD" w:rsidP="00B166CD">
            <w:pPr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Simplified EATVI model vs GRACE score + EATVI</w:t>
            </w:r>
          </w:p>
        </w:tc>
        <w:tc>
          <w:tcPr>
            <w:tcW w:w="26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693E4043" w14:textId="77777777" w:rsidR="00D12FFD" w:rsidRPr="00E946DC" w:rsidRDefault="00D12FFD" w:rsidP="00B166CD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0.682 vs 0.601</w:t>
            </w:r>
            <w:r w:rsidRPr="00E946DC">
              <w:rPr>
                <w:color w:val="000000"/>
                <w:sz w:val="20"/>
                <w:szCs w:val="22"/>
              </w:rPr>
              <w:br/>
              <w:t xml:space="preserve">Δ=0.081; </w:t>
            </w:r>
            <w:r w:rsidRPr="0015061C">
              <w:rPr>
                <w:i/>
                <w:iCs/>
                <w:color w:val="000000"/>
                <w:sz w:val="20"/>
                <w:szCs w:val="22"/>
              </w:rPr>
              <w:t>P</w:t>
            </w:r>
            <w:r w:rsidRPr="00E946DC">
              <w:rPr>
                <w:color w:val="000000"/>
                <w:sz w:val="20"/>
                <w:szCs w:val="22"/>
              </w:rPr>
              <w:t>=0.002</w:t>
            </w:r>
          </w:p>
        </w:tc>
        <w:tc>
          <w:tcPr>
            <w:tcW w:w="26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14343C4F" w14:textId="77777777" w:rsidR="00D12FFD" w:rsidRPr="00E946DC" w:rsidRDefault="00D12FFD" w:rsidP="00B166CD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0.737 vs 0.650</w:t>
            </w:r>
            <w:r w:rsidRPr="00E946DC">
              <w:rPr>
                <w:color w:val="000000"/>
                <w:sz w:val="20"/>
                <w:szCs w:val="22"/>
              </w:rPr>
              <w:br/>
              <w:t xml:space="preserve">Δ=0.087; </w:t>
            </w:r>
            <w:r w:rsidRPr="0015061C">
              <w:rPr>
                <w:i/>
                <w:iCs/>
                <w:color w:val="000000"/>
                <w:sz w:val="20"/>
                <w:szCs w:val="22"/>
              </w:rPr>
              <w:t>P</w:t>
            </w:r>
            <w:r w:rsidRPr="00E946DC">
              <w:rPr>
                <w:color w:val="000000"/>
                <w:sz w:val="20"/>
                <w:szCs w:val="22"/>
              </w:rPr>
              <w:t>=0.015</w:t>
            </w:r>
          </w:p>
        </w:tc>
        <w:tc>
          <w:tcPr>
            <w:tcW w:w="26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32FA60BE" w14:textId="77777777" w:rsidR="00D12FFD" w:rsidRPr="00E946DC" w:rsidRDefault="00D12FFD" w:rsidP="00B166CD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0.721 vs 0.646</w:t>
            </w:r>
            <w:r w:rsidRPr="00E946DC">
              <w:rPr>
                <w:color w:val="000000"/>
                <w:sz w:val="20"/>
                <w:szCs w:val="22"/>
              </w:rPr>
              <w:br/>
              <w:t xml:space="preserve">Δ=0.075; </w:t>
            </w:r>
            <w:r w:rsidRPr="0015061C">
              <w:rPr>
                <w:i/>
                <w:iCs/>
                <w:color w:val="000000"/>
                <w:sz w:val="20"/>
                <w:szCs w:val="22"/>
              </w:rPr>
              <w:t>P</w:t>
            </w:r>
            <w:r w:rsidRPr="00E946DC">
              <w:rPr>
                <w:color w:val="000000"/>
                <w:sz w:val="20"/>
                <w:szCs w:val="22"/>
              </w:rPr>
              <w:t>=0.020</w:t>
            </w:r>
          </w:p>
        </w:tc>
        <w:tc>
          <w:tcPr>
            <w:tcW w:w="26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4A5E1BC9" w14:textId="77777777" w:rsidR="00D12FFD" w:rsidRPr="00E946DC" w:rsidRDefault="00D12FFD" w:rsidP="00B166CD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0.702 vs 0.604</w:t>
            </w:r>
            <w:r w:rsidRPr="00E946DC">
              <w:rPr>
                <w:color w:val="000000"/>
                <w:sz w:val="20"/>
                <w:szCs w:val="22"/>
              </w:rPr>
              <w:br/>
              <w:t xml:space="preserve">Δ=0.098; </w:t>
            </w:r>
            <w:r w:rsidRPr="0015061C">
              <w:rPr>
                <w:i/>
                <w:iCs/>
                <w:color w:val="000000"/>
                <w:sz w:val="20"/>
                <w:szCs w:val="22"/>
              </w:rPr>
              <w:t>P</w:t>
            </w:r>
            <w:r w:rsidRPr="00E946DC">
              <w:rPr>
                <w:color w:val="000000"/>
                <w:sz w:val="20"/>
                <w:szCs w:val="22"/>
              </w:rPr>
              <w:t>=0.002</w:t>
            </w:r>
          </w:p>
        </w:tc>
      </w:tr>
      <w:tr w:rsidR="00D12FFD" w:rsidRPr="00D12FFD" w14:paraId="0A00804C" w14:textId="77777777" w:rsidTr="00B166CD">
        <w:trPr>
          <w:cantSplit/>
          <w:jc w:val="center"/>
        </w:trPr>
        <w:tc>
          <w:tcPr>
            <w:tcW w:w="4750" w:type="dxa"/>
            <w:tcBorders>
              <w:top w:val="none" w:sz="0" w:space="0" w:color="FFFFFF"/>
              <w:left w:val="none" w:sz="0" w:space="0" w:color="FFFFFF"/>
              <w:bottom w:val="single" w:sz="12" w:space="0" w:color="000000"/>
              <w:right w:val="none" w:sz="0" w:space="0" w:color="FFFFFF"/>
            </w:tcBorders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5C833F11" w14:textId="77777777" w:rsidR="00D12FFD" w:rsidRPr="00E946DC" w:rsidRDefault="00D12FFD" w:rsidP="00B166CD">
            <w:pPr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GRACE score + EATVI vs GRACE score</w:t>
            </w:r>
          </w:p>
        </w:tc>
        <w:tc>
          <w:tcPr>
            <w:tcW w:w="2660" w:type="dxa"/>
            <w:tcBorders>
              <w:top w:val="none" w:sz="0" w:space="0" w:color="FFFFFF"/>
              <w:left w:val="none" w:sz="0" w:space="0" w:color="FFFFFF"/>
              <w:bottom w:val="single" w:sz="12" w:space="0" w:color="000000"/>
              <w:right w:val="none" w:sz="0" w:space="0" w:color="FFFFFF"/>
            </w:tcBorders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32176377" w14:textId="77777777" w:rsidR="00D12FFD" w:rsidRPr="00E946DC" w:rsidRDefault="00D12FFD" w:rsidP="00B166CD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0.601 vs 0.527</w:t>
            </w:r>
            <w:r w:rsidRPr="00E946DC">
              <w:rPr>
                <w:color w:val="000000"/>
                <w:sz w:val="20"/>
                <w:szCs w:val="22"/>
              </w:rPr>
              <w:br/>
              <w:t xml:space="preserve">Δ=0.074; </w:t>
            </w:r>
            <w:r w:rsidRPr="0015061C">
              <w:rPr>
                <w:i/>
                <w:iCs/>
                <w:color w:val="000000"/>
                <w:sz w:val="20"/>
                <w:szCs w:val="22"/>
              </w:rPr>
              <w:t>P</w:t>
            </w:r>
            <w:r w:rsidRPr="00E946DC">
              <w:rPr>
                <w:color w:val="000000"/>
                <w:sz w:val="20"/>
                <w:szCs w:val="22"/>
              </w:rPr>
              <w:t>=0.033</w:t>
            </w:r>
          </w:p>
        </w:tc>
        <w:tc>
          <w:tcPr>
            <w:tcW w:w="2660" w:type="dxa"/>
            <w:tcBorders>
              <w:top w:val="none" w:sz="0" w:space="0" w:color="FFFFFF"/>
              <w:left w:val="none" w:sz="0" w:space="0" w:color="FFFFFF"/>
              <w:bottom w:val="single" w:sz="12" w:space="0" w:color="000000"/>
              <w:right w:val="none" w:sz="0" w:space="0" w:color="FFFFFF"/>
            </w:tcBorders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464FA279" w14:textId="77777777" w:rsidR="00D12FFD" w:rsidRPr="00E946DC" w:rsidRDefault="00D12FFD" w:rsidP="00B166CD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0.650 vs 0.550</w:t>
            </w:r>
            <w:r w:rsidRPr="00E946DC">
              <w:rPr>
                <w:color w:val="000000"/>
                <w:sz w:val="20"/>
                <w:szCs w:val="22"/>
              </w:rPr>
              <w:br/>
              <w:t xml:space="preserve">Δ=0.100; </w:t>
            </w:r>
            <w:r w:rsidRPr="0015061C">
              <w:rPr>
                <w:i/>
                <w:iCs/>
                <w:color w:val="000000"/>
                <w:sz w:val="20"/>
                <w:szCs w:val="22"/>
              </w:rPr>
              <w:t>P</w:t>
            </w:r>
            <w:r w:rsidRPr="00E946DC">
              <w:rPr>
                <w:color w:val="000000"/>
                <w:sz w:val="20"/>
                <w:szCs w:val="22"/>
              </w:rPr>
              <w:t>=0.039</w:t>
            </w:r>
          </w:p>
        </w:tc>
        <w:tc>
          <w:tcPr>
            <w:tcW w:w="2660" w:type="dxa"/>
            <w:tcBorders>
              <w:top w:val="none" w:sz="0" w:space="0" w:color="FFFFFF"/>
              <w:left w:val="none" w:sz="0" w:space="0" w:color="FFFFFF"/>
              <w:bottom w:val="single" w:sz="12" w:space="0" w:color="000000"/>
              <w:right w:val="none" w:sz="0" w:space="0" w:color="FFFFFF"/>
            </w:tcBorders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7818D86A" w14:textId="77777777" w:rsidR="00D12FFD" w:rsidRPr="00E946DC" w:rsidRDefault="00D12FFD" w:rsidP="00B166CD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0.646 vs 0.540</w:t>
            </w:r>
            <w:r w:rsidRPr="00E946DC">
              <w:rPr>
                <w:color w:val="000000"/>
                <w:sz w:val="20"/>
                <w:szCs w:val="22"/>
              </w:rPr>
              <w:br/>
              <w:t xml:space="preserve">Δ=0.106; </w:t>
            </w:r>
            <w:r w:rsidRPr="0015061C">
              <w:rPr>
                <w:i/>
                <w:iCs/>
                <w:color w:val="000000"/>
                <w:sz w:val="20"/>
                <w:szCs w:val="22"/>
              </w:rPr>
              <w:t>P</w:t>
            </w:r>
            <w:r w:rsidRPr="00E946DC">
              <w:rPr>
                <w:color w:val="000000"/>
                <w:sz w:val="20"/>
                <w:szCs w:val="22"/>
              </w:rPr>
              <w:t>=0.014</w:t>
            </w:r>
          </w:p>
        </w:tc>
        <w:tc>
          <w:tcPr>
            <w:tcW w:w="2670" w:type="dxa"/>
            <w:tcBorders>
              <w:top w:val="none" w:sz="0" w:space="0" w:color="FFFFFF"/>
              <w:left w:val="none" w:sz="0" w:space="0" w:color="FFFFFF"/>
              <w:bottom w:val="single" w:sz="12" w:space="0" w:color="000000"/>
              <w:right w:val="none" w:sz="0" w:space="0" w:color="FFFFFF"/>
            </w:tcBorders>
            <w:tcMar>
              <w:top w:w="65" w:type="dxa"/>
              <w:left w:w="80" w:type="dxa"/>
              <w:bottom w:w="65" w:type="dxa"/>
              <w:right w:w="80" w:type="dxa"/>
            </w:tcMar>
            <w:vAlign w:val="center"/>
          </w:tcPr>
          <w:p w14:paraId="6C336041" w14:textId="77777777" w:rsidR="00D12FFD" w:rsidRPr="00E946DC" w:rsidRDefault="00D12FFD" w:rsidP="00B166CD">
            <w:pPr>
              <w:jc w:val="center"/>
              <w:rPr>
                <w:color w:val="000000"/>
                <w:sz w:val="22"/>
                <w:szCs w:val="22"/>
              </w:rPr>
            </w:pPr>
            <w:r w:rsidRPr="00E946DC">
              <w:rPr>
                <w:color w:val="000000"/>
                <w:sz w:val="20"/>
                <w:szCs w:val="22"/>
              </w:rPr>
              <w:t>0.604 vs 0.533</w:t>
            </w:r>
            <w:r w:rsidRPr="00E946DC">
              <w:rPr>
                <w:color w:val="000000"/>
                <w:sz w:val="20"/>
                <w:szCs w:val="22"/>
              </w:rPr>
              <w:br/>
              <w:t xml:space="preserve">Δ=0.071; </w:t>
            </w:r>
            <w:r w:rsidRPr="0015061C">
              <w:rPr>
                <w:i/>
                <w:iCs/>
                <w:color w:val="000000"/>
                <w:sz w:val="20"/>
                <w:szCs w:val="22"/>
              </w:rPr>
              <w:t>P</w:t>
            </w:r>
            <w:r w:rsidRPr="00E946DC">
              <w:rPr>
                <w:color w:val="000000"/>
                <w:sz w:val="20"/>
                <w:szCs w:val="22"/>
              </w:rPr>
              <w:t>=0.087</w:t>
            </w:r>
          </w:p>
        </w:tc>
      </w:tr>
    </w:tbl>
    <w:p w14:paraId="50469FA0" w14:textId="21C8ADA5" w:rsidR="00C53F3E" w:rsidRDefault="00C3168C" w:rsidP="00D12FFD">
      <w:pPr>
        <w:rPr>
          <w:rFonts w:eastAsiaTheme="minorEastAsia"/>
          <w:sz w:val="20"/>
        </w:rPr>
      </w:pPr>
      <w:r w:rsidRPr="00C3168C">
        <w:rPr>
          <w:sz w:val="20"/>
        </w:rPr>
        <w:t xml:space="preserve">Values are reported for the first-listed model relative to the reference model, followed by the difference (Δ) and </w:t>
      </w:r>
      <w:r w:rsidRPr="00A077A8">
        <w:rPr>
          <w:i/>
          <w:iCs/>
          <w:sz w:val="20"/>
        </w:rPr>
        <w:t>P</w:t>
      </w:r>
      <w:r w:rsidRPr="00C3168C">
        <w:rPr>
          <w:sz w:val="20"/>
        </w:rPr>
        <w:t xml:space="preserve"> value. Positive Δ values favor the first-listed model. Differences in Harrell’s C-index were tested using the </w:t>
      </w:r>
      <w:proofErr w:type="spellStart"/>
      <w:r w:rsidRPr="00C3168C">
        <w:rPr>
          <w:sz w:val="20"/>
        </w:rPr>
        <w:t>compareC</w:t>
      </w:r>
      <w:proofErr w:type="spellEnd"/>
      <w:r w:rsidRPr="00C3168C">
        <w:rPr>
          <w:sz w:val="20"/>
        </w:rPr>
        <w:t xml:space="preserve"> package, and time-dependent AUCs were compared using paired tests based on the </w:t>
      </w:r>
      <w:proofErr w:type="spellStart"/>
      <w:r w:rsidRPr="00C3168C">
        <w:rPr>
          <w:sz w:val="20"/>
        </w:rPr>
        <w:t>iid</w:t>
      </w:r>
      <w:proofErr w:type="spellEnd"/>
      <w:r w:rsidRPr="00C3168C">
        <w:rPr>
          <w:sz w:val="20"/>
        </w:rPr>
        <w:t xml:space="preserve"> representation implemented in the </w:t>
      </w:r>
      <w:proofErr w:type="spellStart"/>
      <w:r w:rsidRPr="00C3168C">
        <w:rPr>
          <w:sz w:val="20"/>
        </w:rPr>
        <w:t>timeROC</w:t>
      </w:r>
      <w:proofErr w:type="spellEnd"/>
      <w:r w:rsidRPr="00C3168C">
        <w:rPr>
          <w:sz w:val="20"/>
        </w:rPr>
        <w:t xml:space="preserve"> package. Abbreviations: AUC, area under the receiver operating characteristic curve; EATVI, epicardial adipose tissue volume index; GRACE, Global Registry of Acute Coronary Events.</w:t>
      </w:r>
      <w:r w:rsidR="0015061C">
        <w:rPr>
          <w:rFonts w:eastAsiaTheme="minorEastAsia" w:hint="eastAsia"/>
          <w:sz w:val="20"/>
        </w:rPr>
        <w:t xml:space="preserve"> </w:t>
      </w:r>
    </w:p>
    <w:p w14:paraId="321618B1" w14:textId="77777777" w:rsidR="0015061C" w:rsidRDefault="0015061C" w:rsidP="00D12FFD">
      <w:pPr>
        <w:rPr>
          <w:rFonts w:eastAsiaTheme="minorEastAsia"/>
          <w:sz w:val="20"/>
        </w:rPr>
      </w:pPr>
    </w:p>
    <w:p w14:paraId="07A0970F" w14:textId="77777777" w:rsidR="0015061C" w:rsidRPr="0015061C" w:rsidRDefault="0015061C" w:rsidP="00D12FFD">
      <w:pPr>
        <w:rPr>
          <w:rFonts w:eastAsiaTheme="minorEastAsia" w:hint="eastAsia"/>
          <w:sz w:val="20"/>
        </w:rPr>
      </w:pPr>
    </w:p>
    <w:p w14:paraId="33253B01" w14:textId="77777777" w:rsidR="00C53F3E" w:rsidRPr="00C53F3E" w:rsidRDefault="00C53F3E" w:rsidP="000E546D">
      <w:pPr>
        <w:keepNext/>
        <w:widowControl/>
        <w:outlineLvl w:val="0"/>
        <w:rPr>
          <w:color w:val="000000"/>
          <w:sz w:val="18"/>
          <w:szCs w:val="18"/>
        </w:rPr>
      </w:pPr>
      <w:r>
        <w:rPr>
          <w:b/>
        </w:rPr>
        <w:lastRenderedPageBreak/>
        <w:t>Table S5. Incremental value of EATVI beyond the GRACE score</w:t>
      </w:r>
    </w:p>
    <w:tbl>
      <w:tblPr>
        <w:tblW w:w="164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81"/>
        <w:gridCol w:w="1984"/>
        <w:gridCol w:w="1984"/>
        <w:gridCol w:w="1984"/>
        <w:gridCol w:w="2154"/>
        <w:gridCol w:w="1984"/>
        <w:gridCol w:w="1984"/>
        <w:gridCol w:w="1984"/>
      </w:tblGrid>
      <w:tr w:rsidR="00C53F3E" w:rsidRPr="00C53F3E" w14:paraId="61FAE2AF" w14:textId="77777777" w:rsidTr="00B166CD">
        <w:trPr>
          <w:cantSplit/>
          <w:tblHeader/>
          <w:jc w:val="center"/>
        </w:trPr>
        <w:tc>
          <w:tcPr>
            <w:tcW w:w="2381" w:type="dxa"/>
            <w:tcBorders>
              <w:top w:val="single" w:sz="12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36557470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b/>
                <w:bCs/>
                <w:color w:val="000000"/>
                <w:sz w:val="20"/>
                <w:szCs w:val="22"/>
              </w:rPr>
              <w:t>model</w:t>
            </w:r>
          </w:p>
        </w:tc>
        <w:tc>
          <w:tcPr>
            <w:tcW w:w="1984" w:type="dxa"/>
            <w:tcBorders>
              <w:top w:val="single" w:sz="12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0760CA8A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b/>
                <w:bCs/>
                <w:color w:val="000000"/>
                <w:sz w:val="20"/>
                <w:szCs w:val="22"/>
              </w:rPr>
              <w:t>C-index</w:t>
            </w:r>
          </w:p>
        </w:tc>
        <w:tc>
          <w:tcPr>
            <w:tcW w:w="1984" w:type="dxa"/>
            <w:tcBorders>
              <w:top w:val="single" w:sz="12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2746C3D6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53F3E">
              <w:rPr>
                <w:b/>
                <w:bCs/>
                <w:color w:val="000000"/>
                <w:sz w:val="20"/>
                <w:szCs w:val="22"/>
              </w:rPr>
              <w:t>cNRI</w:t>
            </w:r>
            <w:proofErr w:type="spellEnd"/>
            <w:r w:rsidRPr="00C53F3E">
              <w:rPr>
                <w:b/>
                <w:bCs/>
                <w:color w:val="000000"/>
                <w:sz w:val="20"/>
                <w:szCs w:val="22"/>
              </w:rPr>
              <w:t xml:space="preserve"> 6 months</w:t>
            </w:r>
          </w:p>
        </w:tc>
        <w:tc>
          <w:tcPr>
            <w:tcW w:w="1984" w:type="dxa"/>
            <w:tcBorders>
              <w:top w:val="single" w:sz="12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60D3A8F4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53F3E">
              <w:rPr>
                <w:b/>
                <w:bCs/>
                <w:color w:val="000000"/>
                <w:sz w:val="20"/>
                <w:szCs w:val="22"/>
              </w:rPr>
              <w:t>cNRI</w:t>
            </w:r>
            <w:proofErr w:type="spellEnd"/>
            <w:r w:rsidRPr="00C53F3E">
              <w:rPr>
                <w:b/>
                <w:bCs/>
                <w:color w:val="000000"/>
                <w:sz w:val="20"/>
                <w:szCs w:val="22"/>
              </w:rPr>
              <w:t xml:space="preserve"> 12 months</w:t>
            </w:r>
          </w:p>
        </w:tc>
        <w:tc>
          <w:tcPr>
            <w:tcW w:w="2154" w:type="dxa"/>
            <w:tcBorders>
              <w:top w:val="single" w:sz="12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33058C08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53F3E">
              <w:rPr>
                <w:b/>
                <w:bCs/>
                <w:color w:val="000000"/>
                <w:sz w:val="20"/>
                <w:szCs w:val="22"/>
              </w:rPr>
              <w:t>cNRI</w:t>
            </w:r>
            <w:proofErr w:type="spellEnd"/>
            <w:r w:rsidRPr="00C53F3E">
              <w:rPr>
                <w:b/>
                <w:bCs/>
                <w:color w:val="000000"/>
                <w:sz w:val="20"/>
                <w:szCs w:val="22"/>
              </w:rPr>
              <w:t xml:space="preserve"> 24 months</w:t>
            </w:r>
          </w:p>
        </w:tc>
        <w:tc>
          <w:tcPr>
            <w:tcW w:w="1984" w:type="dxa"/>
            <w:tcBorders>
              <w:top w:val="single" w:sz="12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76D9DE41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b/>
                <w:bCs/>
                <w:color w:val="000000"/>
                <w:sz w:val="20"/>
                <w:szCs w:val="22"/>
              </w:rPr>
              <w:t>IDI 6 months</w:t>
            </w:r>
          </w:p>
        </w:tc>
        <w:tc>
          <w:tcPr>
            <w:tcW w:w="1984" w:type="dxa"/>
            <w:tcBorders>
              <w:top w:val="single" w:sz="12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1F304B2B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b/>
                <w:bCs/>
                <w:color w:val="000000"/>
                <w:sz w:val="20"/>
                <w:szCs w:val="22"/>
              </w:rPr>
              <w:t>IDI 12 months</w:t>
            </w:r>
          </w:p>
        </w:tc>
        <w:tc>
          <w:tcPr>
            <w:tcW w:w="1984" w:type="dxa"/>
            <w:tcBorders>
              <w:top w:val="single" w:sz="12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1AC0654C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b/>
                <w:bCs/>
                <w:color w:val="000000"/>
                <w:sz w:val="20"/>
                <w:szCs w:val="22"/>
              </w:rPr>
              <w:t>IDI 24 months</w:t>
            </w:r>
          </w:p>
        </w:tc>
      </w:tr>
      <w:tr w:rsidR="00C53F3E" w:rsidRPr="00C53F3E" w14:paraId="359DA457" w14:textId="77777777" w:rsidTr="00B166CD">
        <w:trPr>
          <w:cantSplit/>
          <w:jc w:val="center"/>
        </w:trPr>
        <w:tc>
          <w:tcPr>
            <w:tcW w:w="238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70D737C0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color w:val="000000"/>
                <w:sz w:val="20"/>
                <w:szCs w:val="22"/>
              </w:rPr>
              <w:t>GRACE score</w:t>
            </w:r>
          </w:p>
        </w:tc>
        <w:tc>
          <w:tcPr>
            <w:tcW w:w="198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0B82BB56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color w:val="000000"/>
                <w:sz w:val="20"/>
                <w:szCs w:val="22"/>
              </w:rPr>
              <w:t>0.527 (0.464–0.589)</w:t>
            </w:r>
          </w:p>
        </w:tc>
        <w:tc>
          <w:tcPr>
            <w:tcW w:w="198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31598C03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color w:val="000000"/>
                <w:sz w:val="20"/>
                <w:szCs w:val="22"/>
              </w:rPr>
              <w:t>—</w:t>
            </w:r>
          </w:p>
        </w:tc>
        <w:tc>
          <w:tcPr>
            <w:tcW w:w="198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535D2AA7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color w:val="000000"/>
                <w:sz w:val="20"/>
                <w:szCs w:val="22"/>
              </w:rPr>
              <w:t>—</w:t>
            </w:r>
          </w:p>
        </w:tc>
        <w:tc>
          <w:tcPr>
            <w:tcW w:w="215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383A2129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color w:val="000000"/>
                <w:sz w:val="20"/>
                <w:szCs w:val="22"/>
              </w:rPr>
              <w:t>—</w:t>
            </w:r>
          </w:p>
        </w:tc>
        <w:tc>
          <w:tcPr>
            <w:tcW w:w="198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2916E93A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color w:val="000000"/>
                <w:sz w:val="20"/>
                <w:szCs w:val="22"/>
              </w:rPr>
              <w:t>—</w:t>
            </w:r>
          </w:p>
        </w:tc>
        <w:tc>
          <w:tcPr>
            <w:tcW w:w="198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6EFE2CE9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color w:val="000000"/>
                <w:sz w:val="20"/>
                <w:szCs w:val="22"/>
              </w:rPr>
              <w:t>—</w:t>
            </w:r>
          </w:p>
        </w:tc>
        <w:tc>
          <w:tcPr>
            <w:tcW w:w="198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280DD47E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color w:val="000000"/>
                <w:sz w:val="20"/>
                <w:szCs w:val="22"/>
              </w:rPr>
              <w:t>—</w:t>
            </w:r>
          </w:p>
        </w:tc>
      </w:tr>
      <w:tr w:rsidR="00C53F3E" w:rsidRPr="00C53F3E" w14:paraId="5C89D988" w14:textId="77777777" w:rsidTr="00B166CD">
        <w:trPr>
          <w:cantSplit/>
          <w:jc w:val="center"/>
        </w:trPr>
        <w:tc>
          <w:tcPr>
            <w:tcW w:w="238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7BB66AC7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color w:val="000000"/>
                <w:sz w:val="20"/>
                <w:szCs w:val="22"/>
              </w:rPr>
              <w:t>GRACE score + EATVI</w:t>
            </w:r>
          </w:p>
        </w:tc>
        <w:tc>
          <w:tcPr>
            <w:tcW w:w="198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202B57F2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color w:val="000000"/>
                <w:sz w:val="20"/>
                <w:szCs w:val="22"/>
              </w:rPr>
              <w:t>0.601 (0.545–0.656)</w:t>
            </w:r>
          </w:p>
        </w:tc>
        <w:tc>
          <w:tcPr>
            <w:tcW w:w="198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39D997EF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color w:val="000000"/>
                <w:sz w:val="20"/>
                <w:szCs w:val="22"/>
              </w:rPr>
              <w:t>0.342 (0.114–0.662)</w:t>
            </w:r>
          </w:p>
        </w:tc>
        <w:tc>
          <w:tcPr>
            <w:tcW w:w="198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6BA68E6D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color w:val="000000"/>
                <w:sz w:val="20"/>
                <w:szCs w:val="22"/>
              </w:rPr>
              <w:t>0.266 (0.071–0.576)</w:t>
            </w:r>
          </w:p>
        </w:tc>
        <w:tc>
          <w:tcPr>
            <w:tcW w:w="215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6FB2ED4C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color w:val="000000"/>
                <w:sz w:val="20"/>
                <w:szCs w:val="22"/>
              </w:rPr>
              <w:t>0.163 (−0.046–0.428)</w:t>
            </w:r>
          </w:p>
        </w:tc>
        <w:tc>
          <w:tcPr>
            <w:tcW w:w="198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3E4666A2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color w:val="000000"/>
                <w:sz w:val="20"/>
                <w:szCs w:val="22"/>
              </w:rPr>
              <w:t>0.022 (0.004–0.062)</w:t>
            </w:r>
          </w:p>
        </w:tc>
        <w:tc>
          <w:tcPr>
            <w:tcW w:w="198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2DDC2F97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color w:val="000000"/>
                <w:sz w:val="20"/>
                <w:szCs w:val="22"/>
              </w:rPr>
              <w:t>0.032 (0.007–0.080)</w:t>
            </w:r>
          </w:p>
        </w:tc>
        <w:tc>
          <w:tcPr>
            <w:tcW w:w="198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731A8C6B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color w:val="000000"/>
                <w:sz w:val="20"/>
                <w:szCs w:val="22"/>
              </w:rPr>
              <w:t>0.025 (0.002–0.071)</w:t>
            </w:r>
          </w:p>
        </w:tc>
      </w:tr>
      <w:tr w:rsidR="00C53F3E" w:rsidRPr="00C53F3E" w14:paraId="24AB5B8A" w14:textId="77777777" w:rsidTr="00B166CD">
        <w:trPr>
          <w:cantSplit/>
          <w:jc w:val="center"/>
        </w:trPr>
        <w:tc>
          <w:tcPr>
            <w:tcW w:w="2381" w:type="dxa"/>
            <w:tcBorders>
              <w:top w:val="none" w:sz="0" w:space="0" w:color="FFFFFF"/>
              <w:left w:val="none" w:sz="0" w:space="0" w:color="FFFFFF"/>
              <w:bottom w:val="single" w:sz="12" w:space="0" w:color="000000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2F6B2F91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i/>
                <w:iCs/>
                <w:color w:val="000000"/>
                <w:sz w:val="20"/>
                <w:szCs w:val="22"/>
              </w:rPr>
              <w:t>P</w:t>
            </w:r>
            <w:r w:rsidRPr="00C53F3E">
              <w:rPr>
                <w:color w:val="000000"/>
                <w:sz w:val="20"/>
                <w:szCs w:val="22"/>
              </w:rPr>
              <w:t xml:space="preserve"> value</w:t>
            </w:r>
          </w:p>
        </w:tc>
        <w:tc>
          <w:tcPr>
            <w:tcW w:w="1984" w:type="dxa"/>
            <w:tcBorders>
              <w:top w:val="none" w:sz="0" w:space="0" w:color="FFFFFF"/>
              <w:left w:val="none" w:sz="0" w:space="0" w:color="FFFFFF"/>
              <w:bottom w:val="single" w:sz="12" w:space="0" w:color="000000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3E0C9C80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color w:val="000000"/>
                <w:sz w:val="20"/>
                <w:szCs w:val="22"/>
              </w:rPr>
              <w:t>0.033</w:t>
            </w:r>
          </w:p>
        </w:tc>
        <w:tc>
          <w:tcPr>
            <w:tcW w:w="1984" w:type="dxa"/>
            <w:tcBorders>
              <w:top w:val="none" w:sz="0" w:space="0" w:color="FFFFFF"/>
              <w:left w:val="none" w:sz="0" w:space="0" w:color="FFFFFF"/>
              <w:bottom w:val="single" w:sz="12" w:space="0" w:color="000000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04DCB7A4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color w:val="000000"/>
                <w:sz w:val="20"/>
                <w:szCs w:val="22"/>
              </w:rPr>
              <w:t>0.010</w:t>
            </w:r>
          </w:p>
        </w:tc>
        <w:tc>
          <w:tcPr>
            <w:tcW w:w="1984" w:type="dxa"/>
            <w:tcBorders>
              <w:top w:val="none" w:sz="0" w:space="0" w:color="FFFFFF"/>
              <w:left w:val="none" w:sz="0" w:space="0" w:color="FFFFFF"/>
              <w:bottom w:val="single" w:sz="12" w:space="0" w:color="000000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227DB997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color w:val="000000"/>
                <w:sz w:val="20"/>
                <w:szCs w:val="22"/>
              </w:rPr>
              <w:t>0.006</w:t>
            </w:r>
          </w:p>
        </w:tc>
        <w:tc>
          <w:tcPr>
            <w:tcW w:w="2154" w:type="dxa"/>
            <w:tcBorders>
              <w:top w:val="none" w:sz="0" w:space="0" w:color="FFFFFF"/>
              <w:left w:val="none" w:sz="0" w:space="0" w:color="FFFFFF"/>
              <w:bottom w:val="single" w:sz="12" w:space="0" w:color="000000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4C45935F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color w:val="000000"/>
                <w:sz w:val="20"/>
                <w:szCs w:val="22"/>
              </w:rPr>
              <w:t>0.122</w:t>
            </w:r>
          </w:p>
        </w:tc>
        <w:tc>
          <w:tcPr>
            <w:tcW w:w="1984" w:type="dxa"/>
            <w:tcBorders>
              <w:top w:val="none" w:sz="0" w:space="0" w:color="FFFFFF"/>
              <w:left w:val="none" w:sz="0" w:space="0" w:color="FFFFFF"/>
              <w:bottom w:val="single" w:sz="12" w:space="0" w:color="000000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24338239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color w:val="000000"/>
                <w:sz w:val="20"/>
                <w:szCs w:val="22"/>
              </w:rPr>
              <w:t>0.014</w:t>
            </w:r>
          </w:p>
        </w:tc>
        <w:tc>
          <w:tcPr>
            <w:tcW w:w="1984" w:type="dxa"/>
            <w:tcBorders>
              <w:top w:val="none" w:sz="0" w:space="0" w:color="FFFFFF"/>
              <w:left w:val="none" w:sz="0" w:space="0" w:color="FFFFFF"/>
              <w:bottom w:val="single" w:sz="12" w:space="0" w:color="000000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67178EF5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color w:val="000000"/>
                <w:sz w:val="20"/>
                <w:szCs w:val="22"/>
              </w:rPr>
              <w:t>0.002</w:t>
            </w:r>
          </w:p>
        </w:tc>
        <w:tc>
          <w:tcPr>
            <w:tcW w:w="1984" w:type="dxa"/>
            <w:tcBorders>
              <w:top w:val="none" w:sz="0" w:space="0" w:color="FFFFFF"/>
              <w:left w:val="none" w:sz="0" w:space="0" w:color="FFFFFF"/>
              <w:bottom w:val="single" w:sz="12" w:space="0" w:color="000000"/>
              <w:right w:val="none" w:sz="0" w:space="0" w:color="FFFFFF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0DD44D6F" w14:textId="77777777" w:rsidR="00C53F3E" w:rsidRPr="00C53F3E" w:rsidRDefault="00C53F3E" w:rsidP="00C53F3E">
            <w:pPr>
              <w:jc w:val="center"/>
              <w:rPr>
                <w:color w:val="000000"/>
                <w:sz w:val="22"/>
                <w:szCs w:val="22"/>
              </w:rPr>
            </w:pPr>
            <w:r w:rsidRPr="00C53F3E">
              <w:rPr>
                <w:color w:val="000000"/>
                <w:sz w:val="20"/>
                <w:szCs w:val="22"/>
              </w:rPr>
              <w:t>0.008</w:t>
            </w:r>
          </w:p>
        </w:tc>
      </w:tr>
    </w:tbl>
    <w:p w14:paraId="5CE38A28" w14:textId="77777777" w:rsidR="000E546D" w:rsidRPr="0015061C" w:rsidRDefault="000E546D" w:rsidP="000E546D">
      <w:pPr>
        <w:rPr>
          <w:sz w:val="20"/>
        </w:rPr>
      </w:pPr>
      <w:r w:rsidRPr="0015061C">
        <w:rPr>
          <w:sz w:val="20"/>
        </w:rPr>
        <w:t xml:space="preserve">Positive values indicate improved model performance after adding EATVI to the GRACE score. Abbreviations: </w:t>
      </w:r>
      <w:proofErr w:type="spellStart"/>
      <w:r w:rsidRPr="0015061C">
        <w:rPr>
          <w:sz w:val="20"/>
        </w:rPr>
        <w:t>cNRI</w:t>
      </w:r>
      <w:proofErr w:type="spellEnd"/>
      <w:r w:rsidRPr="0015061C">
        <w:rPr>
          <w:sz w:val="20"/>
        </w:rPr>
        <w:t>, category-free net reclassification improvement; EATVI, epicardial adipose tissue volume index; GRACE, Global Registry of Acute Coronary Events; IDI, integrated discrimination improvement.</w:t>
      </w:r>
    </w:p>
    <w:p w14:paraId="2038163F" w14:textId="77777777" w:rsidR="00D12FFD" w:rsidRPr="00C53F3E" w:rsidRDefault="00D12FFD" w:rsidP="00C53F3E">
      <w:pPr>
        <w:suppressLineNumbers/>
        <w:rPr>
          <w:i/>
          <w:iCs/>
          <w:sz w:val="16"/>
          <w:szCs w:val="16"/>
        </w:rPr>
      </w:pPr>
    </w:p>
    <w:p w14:paraId="22BA3014" w14:textId="77777777" w:rsidR="00D12FFD" w:rsidRPr="00C53F3E" w:rsidRDefault="00D12FFD" w:rsidP="00C53F3E">
      <w:pPr>
        <w:suppressLineNumbers/>
        <w:rPr>
          <w:i/>
          <w:iCs/>
          <w:sz w:val="16"/>
          <w:szCs w:val="16"/>
        </w:rPr>
      </w:pPr>
    </w:p>
    <w:p w14:paraId="5BD323CA" w14:textId="77777777" w:rsidR="00D12FFD" w:rsidRPr="00D12FFD" w:rsidRDefault="00D12FFD" w:rsidP="00A5551B">
      <w:pPr>
        <w:widowControl/>
        <w:suppressLineNumbers/>
        <w:outlineLvl w:val="0"/>
        <w:sectPr w:rsidR="00D12FFD" w:rsidRPr="00D12FFD" w:rsidSect="00F474C5">
          <w:footerReference w:type="default" r:id="rId8"/>
          <w:pgSz w:w="16838" w:h="11906" w:orient="landscape"/>
          <w:pgMar w:top="1418" w:right="1418" w:bottom="1418" w:left="1418" w:header="709" w:footer="709" w:gutter="0"/>
          <w:lnNumType w:countBy="1" w:restart="continuous"/>
          <w:cols w:space="720"/>
          <w:docGrid w:linePitch="360"/>
        </w:sectPr>
      </w:pPr>
    </w:p>
    <w:p w14:paraId="4E10E2E2" w14:textId="77777777" w:rsidR="007B1C45" w:rsidRDefault="000E546D" w:rsidP="007B1C45">
      <w:pPr>
        <w:pStyle w:val="a4"/>
        <w:suppressLineNumbers/>
        <w:rPr>
          <w:noProof/>
        </w:rPr>
      </w:pPr>
      <w:r>
        <w:rPr>
          <w:noProof/>
        </w:rPr>
        <w:lastRenderedPageBreak/>
        <w:drawing>
          <wp:inline distT="0" distB="0" distL="0" distR="0" wp14:anchorId="339DC604" wp14:editId="20167517">
            <wp:extent cx="4676775" cy="3600450"/>
            <wp:effectExtent l="0" t="0" r="9525" b="0"/>
            <wp:docPr id="84362611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DCE485" w14:textId="77777777" w:rsidR="00B16BAD" w:rsidRPr="00F474C5" w:rsidRDefault="00B16BAD" w:rsidP="00F474C5">
      <w:pPr>
        <w:rPr>
          <w:b/>
          <w:bCs/>
        </w:rPr>
      </w:pPr>
      <w:r w:rsidRPr="00F474C5">
        <w:rPr>
          <w:b/>
          <w:bCs/>
        </w:rPr>
        <w:t xml:space="preserve">Figure S1. Restricted cubic spline analysis of EATVI and MACE risk. </w:t>
      </w:r>
    </w:p>
    <w:p w14:paraId="4D37BC26" w14:textId="77777777" w:rsidR="00D12FFD" w:rsidRPr="000E546D" w:rsidRDefault="000E546D" w:rsidP="007B1C45">
      <w:pPr>
        <w:pStyle w:val="a4"/>
        <w:rPr>
          <w:noProof/>
          <w:szCs w:val="24"/>
        </w:rPr>
      </w:pPr>
      <w:r w:rsidRPr="000E546D">
        <w:rPr>
          <w:noProof/>
          <w:szCs w:val="24"/>
        </w:rPr>
        <w:t xml:space="preserve">Adjusted hazard ratios (HRs) were estimated using a Cox model with four knots placed at the 5th, 35th, 65th, and 95th percentiles of EATVI. The median EATVI value (75.93 mL/m²) was used as the reference. The solid line and shaded area indicate adjusted HRs and 95% confidence intervals (CIs), respectively. The displayed range covers the 5th to 95th percentiles, and rug marks indicate the EATVI distribution. </w:t>
      </w:r>
      <w:r w:rsidRPr="00A077A8">
        <w:rPr>
          <w:i/>
          <w:iCs/>
          <w:noProof/>
          <w:szCs w:val="24"/>
        </w:rPr>
        <w:t>P</w:t>
      </w:r>
      <w:r w:rsidRPr="000E546D">
        <w:rPr>
          <w:noProof/>
          <w:szCs w:val="24"/>
        </w:rPr>
        <w:t xml:space="preserve"> values were derived from likelihood-ratio tests</w:t>
      </w:r>
      <w:r w:rsidRPr="000E546D">
        <w:rPr>
          <w:rFonts w:hint="eastAsia"/>
          <w:noProof/>
          <w:szCs w:val="24"/>
        </w:rPr>
        <w:t>.</w:t>
      </w:r>
    </w:p>
    <w:p w14:paraId="6E39E521" w14:textId="77777777" w:rsidR="000E546D" w:rsidRDefault="000E546D" w:rsidP="007B1C45">
      <w:pPr>
        <w:pStyle w:val="a4"/>
        <w:suppressLineNumbers/>
        <w:rPr>
          <w:noProof/>
        </w:rPr>
      </w:pPr>
    </w:p>
    <w:p w14:paraId="3E180F56" w14:textId="77777777" w:rsidR="007B1C45" w:rsidRDefault="000E546D" w:rsidP="007B1C45">
      <w:pPr>
        <w:widowControl/>
        <w:suppressLineNumbers/>
        <w:outlineLvl w:val="0"/>
        <w:rPr>
          <w:noProof/>
        </w:rPr>
      </w:pPr>
      <w:r>
        <w:rPr>
          <w:noProof/>
        </w:rPr>
        <w:lastRenderedPageBreak/>
        <w:drawing>
          <wp:inline distT="0" distB="0" distL="0" distR="0" wp14:anchorId="0F3F0C03" wp14:editId="296B9A98">
            <wp:extent cx="5753100" cy="4248150"/>
            <wp:effectExtent l="0" t="0" r="0" b="0"/>
            <wp:docPr id="62582098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122E5" w14:textId="77777777" w:rsidR="007B1C45" w:rsidRPr="00F474C5" w:rsidRDefault="007B1C45" w:rsidP="00F474C5">
      <w:pPr>
        <w:rPr>
          <w:b/>
          <w:bCs/>
          <w:noProof/>
          <w:szCs w:val="24"/>
        </w:rPr>
      </w:pPr>
      <w:r w:rsidRPr="00F474C5">
        <w:rPr>
          <w:b/>
          <w:bCs/>
        </w:rPr>
        <w:t>Figure S2. Development and evaluation of the EATVI-PCI integer score.</w:t>
      </w:r>
    </w:p>
    <w:p w14:paraId="78747E0F" w14:textId="77777777" w:rsidR="000E546D" w:rsidRPr="000E546D" w:rsidRDefault="000E546D" w:rsidP="007B1C45">
      <w:pPr>
        <w:pStyle w:val="a4"/>
        <w:rPr>
          <w:noProof/>
          <w:szCs w:val="24"/>
        </w:rPr>
      </w:pPr>
      <w:r w:rsidRPr="000E546D">
        <w:rPr>
          <w:noProof/>
          <w:szCs w:val="24"/>
        </w:rPr>
        <w:t>A, Bootstrap-median integer point rule. B, Observed 24-month MACE risk across risk groups. C, Harrell's C-index for the GRACE score, simplified EATVI model, and EATVI-PCI integer score. D, Time-dependent AUCs at 6, 12, and 24 months. E, Calibration curves at 24 months showing apparent, bias-corrected, and ideal curves. F, Decision curve analysis at 24 months. Abbreviations: AUC, area under the curve; DCA, decision curve analysis; EATVI, epicardial adipose tissue volume index; MACE, major adverse cardiovascular events; PCI, percutaneous coronary intervention</w:t>
      </w:r>
      <w:r w:rsidRPr="000E546D">
        <w:rPr>
          <w:rFonts w:hint="eastAsia"/>
          <w:noProof/>
          <w:szCs w:val="24"/>
        </w:rPr>
        <w:t>.</w:t>
      </w:r>
    </w:p>
    <w:p w14:paraId="2815019B" w14:textId="77777777" w:rsidR="000E546D" w:rsidRDefault="000E546D" w:rsidP="007B1C45">
      <w:pPr>
        <w:pStyle w:val="a4"/>
        <w:suppressLineNumbers/>
        <w:rPr>
          <w:noProof/>
        </w:rPr>
      </w:pPr>
    </w:p>
    <w:p w14:paraId="48EB7066" w14:textId="77777777" w:rsidR="00F47C76" w:rsidRDefault="000E546D" w:rsidP="00A5551B">
      <w:pPr>
        <w:widowControl/>
        <w:suppressLineNumbers/>
        <w:outlineLvl w:val="0"/>
      </w:pPr>
      <w:r>
        <w:rPr>
          <w:noProof/>
        </w:rPr>
        <w:lastRenderedPageBreak/>
        <w:drawing>
          <wp:inline distT="0" distB="0" distL="0" distR="0" wp14:anchorId="1ADCED88" wp14:editId="1109360F">
            <wp:extent cx="4495800" cy="4143375"/>
            <wp:effectExtent l="0" t="0" r="0" b="9525"/>
            <wp:docPr id="123288208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43D1C6" w14:textId="77777777" w:rsidR="00F47C76" w:rsidRPr="00F474C5" w:rsidRDefault="00F47C76" w:rsidP="00F474C5">
      <w:pPr>
        <w:rPr>
          <w:b/>
          <w:bCs/>
          <w:szCs w:val="24"/>
        </w:rPr>
      </w:pPr>
      <w:r w:rsidRPr="00F474C5">
        <w:rPr>
          <w:b/>
          <w:bCs/>
        </w:rPr>
        <w:t xml:space="preserve">Figure S3. Cumulative MACE risk across EATVI-PCI score groups. </w:t>
      </w:r>
    </w:p>
    <w:p w14:paraId="43D34ECE" w14:textId="77777777" w:rsidR="00F47C76" w:rsidRPr="000E546D" w:rsidRDefault="000E546D" w:rsidP="00F47C76">
      <w:pPr>
        <w:pStyle w:val="a4"/>
        <w:rPr>
          <w:szCs w:val="24"/>
        </w:rPr>
      </w:pPr>
      <w:r w:rsidRPr="000E546D">
        <w:rPr>
          <w:szCs w:val="24"/>
        </w:rPr>
        <w:t>Patients were stratified into low-, intermediate-, and high-risk groups according to the EATVI-PCI integer score. Curves show cumulative MACE risk after hospital discharge, with shaded areas indicating 95% confidence intervals; numbers at risk are shown below. Group differences were assessed using the log-rank test</w:t>
      </w:r>
      <w:r w:rsidR="00F47C76" w:rsidRPr="000E546D">
        <w:rPr>
          <w:szCs w:val="24"/>
        </w:rPr>
        <w:t>.</w:t>
      </w:r>
    </w:p>
    <w:sectPr w:rsidR="00F47C76" w:rsidRPr="000E546D" w:rsidSect="000E546D">
      <w:footerReference w:type="default" r:id="rId12"/>
      <w:pgSz w:w="11906" w:h="16838"/>
      <w:pgMar w:top="1418" w:right="1418" w:bottom="1418" w:left="1418" w:header="709" w:footer="709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12453" w14:textId="77777777" w:rsidR="00B24788" w:rsidRDefault="00B24788" w:rsidP="00AC30E0">
      <w:r>
        <w:separator/>
      </w:r>
    </w:p>
  </w:endnote>
  <w:endnote w:type="continuationSeparator" w:id="0">
    <w:p w14:paraId="68B5689E" w14:textId="77777777" w:rsidR="00B24788" w:rsidRDefault="00B24788" w:rsidP="00AC3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E6EA5" w14:textId="77777777" w:rsidR="00BE01AE" w:rsidRDefault="00000000">
    <w:pPr>
      <w:jc w:val="center"/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 w:rsidR="0015061C">
      <w:rPr>
        <w:noProof/>
        <w:sz w:val="20"/>
      </w:rPr>
      <w:t>1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F5556" w14:textId="77777777" w:rsidR="00BE01AE" w:rsidRDefault="00000000">
    <w:pPr>
      <w:jc w:val="center"/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 w:rsidR="0015061C">
      <w:rPr>
        <w:noProof/>
        <w:sz w:val="20"/>
      </w:rPr>
      <w:t>11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35450" w14:textId="77777777" w:rsidR="00B24788" w:rsidRDefault="00B24788" w:rsidP="00AC30E0">
      <w:r>
        <w:separator/>
      </w:r>
    </w:p>
  </w:footnote>
  <w:footnote w:type="continuationSeparator" w:id="0">
    <w:p w14:paraId="13763242" w14:textId="77777777" w:rsidR="00B24788" w:rsidRDefault="00B24788" w:rsidP="00AC30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504CFA"/>
    <w:multiLevelType w:val="hybridMultilevel"/>
    <w:tmpl w:val="92E61CA0"/>
    <w:lvl w:ilvl="0" w:tplc="745A44A0">
      <w:start w:val="1"/>
      <w:numFmt w:val="bullet"/>
      <w:lvlText w:val="●"/>
      <w:lvlJc w:val="left"/>
      <w:pPr>
        <w:ind w:left="720" w:hanging="360"/>
      </w:pPr>
    </w:lvl>
    <w:lvl w:ilvl="1" w:tplc="0C0455CA">
      <w:start w:val="1"/>
      <w:numFmt w:val="bullet"/>
      <w:lvlText w:val="○"/>
      <w:lvlJc w:val="left"/>
      <w:pPr>
        <w:ind w:left="1440" w:hanging="360"/>
      </w:pPr>
    </w:lvl>
    <w:lvl w:ilvl="2" w:tplc="B6209214">
      <w:start w:val="1"/>
      <w:numFmt w:val="bullet"/>
      <w:lvlText w:val="■"/>
      <w:lvlJc w:val="left"/>
      <w:pPr>
        <w:ind w:left="2160" w:hanging="360"/>
      </w:pPr>
    </w:lvl>
    <w:lvl w:ilvl="3" w:tplc="769CDC76">
      <w:start w:val="1"/>
      <w:numFmt w:val="bullet"/>
      <w:lvlText w:val="●"/>
      <w:lvlJc w:val="left"/>
      <w:pPr>
        <w:ind w:left="2880" w:hanging="360"/>
      </w:pPr>
    </w:lvl>
    <w:lvl w:ilvl="4" w:tplc="323235C8">
      <w:start w:val="1"/>
      <w:numFmt w:val="bullet"/>
      <w:lvlText w:val="○"/>
      <w:lvlJc w:val="left"/>
      <w:pPr>
        <w:ind w:left="3600" w:hanging="360"/>
      </w:pPr>
    </w:lvl>
    <w:lvl w:ilvl="5" w:tplc="B37897D4">
      <w:start w:val="1"/>
      <w:numFmt w:val="bullet"/>
      <w:lvlText w:val="■"/>
      <w:lvlJc w:val="left"/>
      <w:pPr>
        <w:ind w:left="4320" w:hanging="360"/>
      </w:pPr>
    </w:lvl>
    <w:lvl w:ilvl="6" w:tplc="07B4E4DC">
      <w:start w:val="1"/>
      <w:numFmt w:val="bullet"/>
      <w:lvlText w:val="●"/>
      <w:lvlJc w:val="left"/>
      <w:pPr>
        <w:ind w:left="5040" w:hanging="360"/>
      </w:pPr>
    </w:lvl>
    <w:lvl w:ilvl="7" w:tplc="93329036">
      <w:start w:val="1"/>
      <w:numFmt w:val="bullet"/>
      <w:lvlText w:val="●"/>
      <w:lvlJc w:val="left"/>
      <w:pPr>
        <w:ind w:left="5760" w:hanging="360"/>
      </w:pPr>
    </w:lvl>
    <w:lvl w:ilvl="8" w:tplc="0A0CDE26">
      <w:start w:val="1"/>
      <w:numFmt w:val="bullet"/>
      <w:lvlText w:val="●"/>
      <w:lvlJc w:val="left"/>
      <w:pPr>
        <w:ind w:left="6480" w:hanging="360"/>
      </w:pPr>
    </w:lvl>
  </w:abstractNum>
  <w:num w:numId="1" w16cid:durableId="193766563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935"/>
    <w:rsid w:val="000A6C49"/>
    <w:rsid w:val="000E546D"/>
    <w:rsid w:val="0015061C"/>
    <w:rsid w:val="00154FFB"/>
    <w:rsid w:val="002E5EB7"/>
    <w:rsid w:val="0032755C"/>
    <w:rsid w:val="0034275C"/>
    <w:rsid w:val="00353B38"/>
    <w:rsid w:val="00452DDC"/>
    <w:rsid w:val="00505B68"/>
    <w:rsid w:val="00522E73"/>
    <w:rsid w:val="006452FA"/>
    <w:rsid w:val="006B0935"/>
    <w:rsid w:val="006F3BE6"/>
    <w:rsid w:val="0073108A"/>
    <w:rsid w:val="007B1C45"/>
    <w:rsid w:val="0088733D"/>
    <w:rsid w:val="00890CAE"/>
    <w:rsid w:val="008943D4"/>
    <w:rsid w:val="00A077A8"/>
    <w:rsid w:val="00A5551B"/>
    <w:rsid w:val="00AC30E0"/>
    <w:rsid w:val="00B16BAD"/>
    <w:rsid w:val="00B21003"/>
    <w:rsid w:val="00B24788"/>
    <w:rsid w:val="00B27D4B"/>
    <w:rsid w:val="00BE01AE"/>
    <w:rsid w:val="00C2138C"/>
    <w:rsid w:val="00C3168C"/>
    <w:rsid w:val="00C53F3E"/>
    <w:rsid w:val="00C91484"/>
    <w:rsid w:val="00D12FFD"/>
    <w:rsid w:val="00D2063B"/>
    <w:rsid w:val="00DC6CA9"/>
    <w:rsid w:val="00E946DC"/>
    <w:rsid w:val="00F474C5"/>
    <w:rsid w:val="00F47C76"/>
    <w:rsid w:val="00F62373"/>
    <w:rsid w:val="00FF3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61F85A"/>
  <w15:docId w15:val="{ED6D841A-A079-45F7-B744-C941BFA06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line="480" w:lineRule="auto"/>
    </w:pPr>
    <w:rPr>
      <w:rFonts w:eastAsia="Times New Roman"/>
      <w:sz w:val="24"/>
    </w:rPr>
  </w:style>
  <w:style w:type="paragraph" w:styleId="1">
    <w:name w:val="heading 1"/>
    <w:uiPriority w:val="9"/>
    <w:qFormat/>
    <w:pPr>
      <w:keepNext/>
      <w:spacing w:before="120" w:line="480" w:lineRule="auto"/>
      <w:outlineLvl w:val="0"/>
    </w:pPr>
    <w:rPr>
      <w:rFonts w:eastAsia="Times New Roman"/>
      <w:b/>
      <w:bCs/>
      <w:sz w:val="28"/>
      <w:szCs w:val="26"/>
    </w:rPr>
  </w:style>
  <w:style w:type="paragraph" w:styleId="2">
    <w:name w:val="heading 2"/>
    <w:uiPriority w:val="9"/>
    <w:semiHidden/>
    <w:unhideWhenUsed/>
    <w:qFormat/>
    <w:pPr>
      <w:keepNext/>
      <w:spacing w:before="120" w:line="480" w:lineRule="auto"/>
      <w:outlineLvl w:val="1"/>
    </w:pPr>
    <w:rPr>
      <w:rFonts w:eastAsia="Times New Roman"/>
      <w:b/>
      <w:color w:val="2E74B5"/>
      <w:sz w:val="24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pPr>
      <w:keepNext/>
      <w:spacing w:line="480" w:lineRule="auto"/>
    </w:pPr>
    <w:rPr>
      <w:rFonts w:eastAsia="Times New Roman"/>
      <w:b/>
      <w:sz w:val="32"/>
      <w:szCs w:val="56"/>
    </w:rPr>
  </w:style>
  <w:style w:type="paragraph" w:customStyle="1" w:styleId="10">
    <w:name w:val="要点1"/>
    <w:qFormat/>
    <w:rPr>
      <w:b/>
      <w:bCs/>
    </w:rPr>
  </w:style>
  <w:style w:type="paragraph" w:styleId="a4">
    <w:name w:val="List Paragraph"/>
    <w:qFormat/>
    <w:pPr>
      <w:spacing w:line="480" w:lineRule="auto"/>
    </w:pPr>
    <w:rPr>
      <w:rFonts w:eastAsia="Times New Roman"/>
      <w:sz w:val="24"/>
    </w:rPr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脚注文本 字符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</w:style>
  <w:style w:type="character" w:customStyle="1" w:styleId="ab">
    <w:name w:val="尾注文本 字符"/>
    <w:link w:val="aa"/>
    <w:uiPriority w:val="99"/>
    <w:semiHidden/>
    <w:unhideWhenUsed/>
    <w:rPr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AC30E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d">
    <w:name w:val="页眉 字符"/>
    <w:basedOn w:val="a0"/>
    <w:link w:val="ac"/>
    <w:uiPriority w:val="99"/>
    <w:rsid w:val="00AC30E0"/>
    <w:rPr>
      <w:sz w:val="18"/>
      <w:szCs w:val="18"/>
    </w:rPr>
  </w:style>
  <w:style w:type="paragraph" w:styleId="ae">
    <w:name w:val="footer"/>
    <w:basedOn w:val="a"/>
    <w:link w:val="af"/>
    <w:uiPriority w:val="99"/>
    <w:unhideWhenUsed/>
    <w:rsid w:val="00AC30E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AC30E0"/>
    <w:rPr>
      <w:sz w:val="18"/>
      <w:szCs w:val="18"/>
    </w:rPr>
  </w:style>
  <w:style w:type="character" w:styleId="af0">
    <w:name w:val="line number"/>
    <w:basedOn w:val="a0"/>
    <w:uiPriority w:val="99"/>
    <w:semiHidden/>
    <w:unhideWhenUsed/>
    <w:rsid w:val="00AC30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tiff"/><Relationship Id="rId5" Type="http://schemas.openxmlformats.org/officeDocument/2006/relationships/webSettings" Target="webSettings.xml"/><Relationship Id="rId10" Type="http://schemas.openxmlformats.org/officeDocument/2006/relationships/image" Target="media/image2.tiff"/><Relationship Id="rId4" Type="http://schemas.openxmlformats.org/officeDocument/2006/relationships/settings" Target="settings.xml"/><Relationship Id="rId9" Type="http://schemas.openxmlformats.org/officeDocument/2006/relationships/image" Target="media/image1.tif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6F8C9-71AF-4EB4-9694-BDDBE5162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12</Pages>
  <Words>1568</Words>
  <Characters>9822</Characters>
  <Application>Microsoft Office Word</Application>
  <DocSecurity>0</DocSecurity>
  <Lines>218</Lines>
  <Paragraphs>119</Paragraphs>
  <ScaleCrop>false</ScaleCrop>
  <Company/>
  <LinksUpToDate>false</LinksUpToDate>
  <CharactersWithSpaces>11271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Additional file 1: Supplementary tables and figures</dc:title>
  <dc:subject>Non-contrast chest CT-derived epicardial adipose tissue volume index for risk stratification after PCI in acute myocardial infarction: a retrospective cohort study</dc:subject>
  <dc:creator>Jianli Zhang; Yifei Wang; Yunfei Wang; Lu Yang; Zeping Hu</dc:creator>
  <cp:lastModifiedBy>建立 张</cp:lastModifiedBy>
  <cp:revision>16</cp:revision>
  <dcterms:created xsi:type="dcterms:W3CDTF">2026-07-19T10:23:00Z</dcterms:created>
  <dcterms:modified xsi:type="dcterms:W3CDTF">2026-07-31T10:24:00Z</dcterms:modified>
</cp:coreProperties>
</file>