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CEA25">
      <w:pPr>
        <w:shd w:val="clear"/>
        <w:ind w:right="-1"/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"/>
        </w:rPr>
        <w:t xml:space="preserve">Mild activation strategy for porous carbon materials: using Sodium bicarbonate and Potassium bicarbonate as activators for high-performance 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super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eastAsia="zh"/>
        </w:rPr>
        <w:t>capacitors</w:t>
      </w:r>
    </w:p>
    <w:p w14:paraId="178D39F2">
      <w:pPr>
        <w:shd w:val="clear"/>
        <w:ind w:right="-1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"/>
        </w:rPr>
        <w:t>Zixuan</w:t>
      </w:r>
      <w:r>
        <w:rPr>
          <w:rFonts w:ascii="Times New Roman" w:hAnsi="Times New Roman" w:eastAsia="宋体" w:cs="Times New Roman"/>
          <w:sz w:val="28"/>
          <w:szCs w:val="28"/>
        </w:rPr>
        <w:t xml:space="preserve"> Zhang,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Yuzhuo Luzhang, </w:t>
      </w:r>
      <w:r>
        <w:rPr>
          <w:rFonts w:hint="eastAsia" w:ascii="Times New Roman" w:hAnsi="Times New Roman" w:eastAsia="宋体" w:cs="Times New Roman"/>
          <w:sz w:val="28"/>
          <w:szCs w:val="28"/>
          <w:lang w:eastAsia="zh"/>
        </w:rPr>
        <w:t>Zhentao Bian</w:t>
      </w:r>
      <w:r>
        <w:rPr>
          <w:rFonts w:hint="eastAsia" w:ascii="Times New Roman" w:hAnsi="Times New Roman" w:eastAsia="宋体" w:cs="Times New Roman"/>
          <w:sz w:val="28"/>
          <w:szCs w:val="28"/>
          <w:vertAlign w:val="superscript"/>
          <w:lang w:eastAsia="zh"/>
        </w:rPr>
        <w:t>*</w:t>
      </w:r>
      <w:r>
        <w:rPr>
          <w:rFonts w:hint="eastAsia" w:ascii="Times New Roman" w:hAnsi="Times New Roman" w:eastAsia="宋体" w:cs="Times New Roman"/>
          <w:sz w:val="28"/>
          <w:szCs w:val="28"/>
          <w:lang w:eastAsia="zh"/>
        </w:rPr>
        <w:t>, Yu Jia, Dandan Shen, Xu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sheng</w:t>
      </w:r>
      <w:r>
        <w:rPr>
          <w:rFonts w:hint="eastAsia" w:ascii="Times New Roman" w:hAnsi="Times New Roman" w:eastAsia="宋体" w:cs="Times New Roman"/>
          <w:sz w:val="28"/>
          <w:szCs w:val="28"/>
          <w:lang w:eastAsia="zh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Xie</w:t>
      </w:r>
      <w:r>
        <w:rPr>
          <w:rFonts w:hint="eastAsia" w:ascii="Times New Roman" w:hAnsi="Times New Roman" w:eastAsia="宋体" w:cs="Times New Roman"/>
          <w:sz w:val="28"/>
          <w:szCs w:val="28"/>
          <w:lang w:eastAsia="zh"/>
        </w:rPr>
        <w:t xml:space="preserve">,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Na</w:t>
      </w:r>
      <w:r>
        <w:rPr>
          <w:rFonts w:hint="eastAsia" w:ascii="Times New Roman" w:hAnsi="Times New Roman" w:eastAsia="宋体" w:cs="Times New Roman"/>
          <w:sz w:val="28"/>
          <w:szCs w:val="28"/>
          <w:lang w:eastAsia="zh"/>
        </w:rPr>
        <w:t xml:space="preserve"> Zhang</w:t>
      </w:r>
      <w:r>
        <w:rPr>
          <w:rFonts w:hint="eastAsia" w:ascii="Times New Roman" w:hAnsi="Times New Roman" w:eastAsia="宋体" w:cs="Times New Roman"/>
          <w:sz w:val="28"/>
          <w:szCs w:val="28"/>
          <w:vertAlign w:val="superscript"/>
          <w:lang w:eastAsia="zh"/>
        </w:rPr>
        <w:t>*</w:t>
      </w:r>
      <w:r>
        <w:rPr>
          <w:rFonts w:ascii="Times New Roman" w:hAnsi="Times New Roman" w:eastAsia="宋体" w:cs="Times New Roman"/>
          <w:sz w:val="28"/>
          <w:szCs w:val="28"/>
          <w:vertAlign w:val="superscript"/>
        </w:rPr>
        <w:t xml:space="preserve"> </w:t>
      </w:r>
    </w:p>
    <w:p w14:paraId="1AE9934D">
      <w:pPr>
        <w:shd w:val="clear"/>
        <w:spacing w:line="360" w:lineRule="auto"/>
        <w:ind w:right="-1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eastAsia="等线" w:cs="Times New Roman"/>
          <w:i/>
          <w:sz w:val="28"/>
          <w:lang w:bidi="ar"/>
        </w:rPr>
        <w:t xml:space="preserve">Bio-based Functional Materials and Composite Technology Research Center, </w:t>
      </w:r>
      <w:r>
        <w:rPr>
          <w:rFonts w:hint="eastAsia" w:ascii="Times New Roman" w:hAnsi="Times New Roman" w:eastAsia="等线" w:cs="Times New Roman"/>
          <w:i/>
          <w:sz w:val="28"/>
          <w:lang w:bidi="ar"/>
        </w:rPr>
        <w:t>Anhui Key Laboratory of Spin Electron and Nanomaterials (Cultivating Base)</w:t>
      </w:r>
      <w:r>
        <w:rPr>
          <w:rFonts w:hint="eastAsia" w:ascii="Times New Roman" w:hAnsi="Times New Roman" w:eastAsia="等线" w:cs="Times New Roman"/>
          <w:i/>
          <w:sz w:val="28"/>
          <w:lang w:val="en-US" w:eastAsia="zh-CN" w:bidi="ar"/>
        </w:rPr>
        <w:t xml:space="preserve">, </w:t>
      </w:r>
      <w:r>
        <w:rPr>
          <w:rFonts w:ascii="Times New Roman" w:hAnsi="Times New Roman" w:eastAsia="等线" w:cs="Times New Roman"/>
          <w:i/>
          <w:sz w:val="28"/>
          <w:lang w:bidi="ar"/>
        </w:rPr>
        <w:t>Suzhou University, Suzhou 234000, Anhui Province, P.R. China</w:t>
      </w:r>
    </w:p>
    <w:p w14:paraId="400A9826">
      <w:pPr>
        <w:shd w:val="clear"/>
        <w:ind w:right="-426" w:rightChars="-203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 xml:space="preserve">*Corresponding author: </w:t>
      </w:r>
    </w:p>
    <w:p w14:paraId="16A406E2">
      <w:pPr>
        <w:shd w:val="clear"/>
        <w:ind w:right="-426" w:rightChars="-203"/>
        <w:rPr>
          <w:rFonts w:ascii="Times New Roman" w:hAnsi="Times New Roman" w:cs="Times New Roman"/>
          <w:bCs/>
          <w:sz w:val="28"/>
          <w:szCs w:val="32"/>
        </w:rPr>
      </w:pPr>
      <w:r>
        <w:rPr>
          <w:rFonts w:hint="eastAsia" w:ascii="Times New Roman" w:hAnsi="Times New Roman" w:cs="Times New Roman"/>
          <w:bCs/>
          <w:sz w:val="28"/>
          <w:szCs w:val="32"/>
          <w:lang w:eastAsia="zh"/>
        </w:rPr>
        <w:t>zhentaobian</w:t>
      </w:r>
      <w:r>
        <w:rPr>
          <w:rFonts w:ascii="Times New Roman" w:hAnsi="Times New Roman" w:cs="Times New Roman"/>
          <w:bCs/>
          <w:sz w:val="28"/>
          <w:szCs w:val="32"/>
        </w:rPr>
        <w:t>@</w:t>
      </w:r>
      <w:r>
        <w:rPr>
          <w:rFonts w:hint="eastAsia" w:ascii="Times New Roman" w:hAnsi="Times New Roman" w:cs="Times New Roman"/>
          <w:bCs/>
          <w:sz w:val="28"/>
          <w:szCs w:val="32"/>
          <w:lang w:eastAsia="zh"/>
        </w:rPr>
        <w:t>126</w:t>
      </w:r>
      <w:r>
        <w:rPr>
          <w:rFonts w:ascii="Times New Roman" w:hAnsi="Times New Roman" w:cs="Times New Roman"/>
          <w:bCs/>
          <w:sz w:val="28"/>
          <w:szCs w:val="32"/>
        </w:rPr>
        <w:t>.com (</w:t>
      </w:r>
      <w:r>
        <w:rPr>
          <w:rFonts w:hint="eastAsia" w:ascii="Times New Roman" w:hAnsi="Times New Roman" w:eastAsia="宋体" w:cs="Times New Roman"/>
          <w:sz w:val="28"/>
          <w:szCs w:val="28"/>
          <w:lang w:eastAsia="zh"/>
        </w:rPr>
        <w:t>Zhentao Bian</w:t>
      </w:r>
      <w:r>
        <w:rPr>
          <w:rFonts w:ascii="Times New Roman" w:hAnsi="Times New Roman" w:cs="Times New Roman"/>
          <w:bCs/>
          <w:sz w:val="28"/>
          <w:szCs w:val="32"/>
        </w:rPr>
        <w:t>)</w:t>
      </w:r>
    </w:p>
    <w:p w14:paraId="079B1093">
      <w:pPr>
        <w:widowControl/>
        <w:shd w:val="clear"/>
        <w:ind w:right="-283" w:rightChars="-13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/>
          <w:color w:val="000000"/>
          <w:sz w:val="28"/>
          <w:szCs w:val="28"/>
          <w:lang w:val="en-US" w:eastAsia="zh-CN"/>
        </w:rPr>
        <w:fldChar w:fldCharType="begin"/>
      </w:r>
      <w:r>
        <w:rPr>
          <w:rFonts w:hint="eastAsia" w:ascii="Times New Roman" w:hAnsi="Times New Roman"/>
          <w:color w:val="000000"/>
          <w:sz w:val="28"/>
          <w:szCs w:val="28"/>
          <w:lang w:val="en-US" w:eastAsia="zh-CN"/>
        </w:rPr>
        <w:instrText xml:space="preserve"> HYPERLINK "mailto:szxyzn@163.com" </w:instrText>
      </w:r>
      <w:r>
        <w:rPr>
          <w:rFonts w:hint="eastAsia" w:ascii="Times New Roman" w:hAnsi="Times New Roman"/>
          <w:color w:val="000000"/>
          <w:sz w:val="28"/>
          <w:szCs w:val="28"/>
          <w:lang w:val="en-US" w:eastAsia="zh-CN"/>
        </w:rPr>
        <w:fldChar w:fldCharType="separate"/>
      </w:r>
      <w:r>
        <w:rPr>
          <w:rStyle w:val="8"/>
          <w:rFonts w:hint="eastAsia" w:ascii="Times New Roman" w:hAnsi="Times New Roman"/>
          <w:sz w:val="28"/>
          <w:szCs w:val="28"/>
          <w:lang w:val="en-US" w:eastAsia="zh-CN"/>
        </w:rPr>
        <w:t>szxyzn@163.com</w:t>
      </w:r>
      <w:r>
        <w:rPr>
          <w:rFonts w:hint="eastAsia" w:ascii="Times New Roman" w:hAnsi="Times New Roman"/>
          <w:color w:val="000000"/>
          <w:sz w:val="28"/>
          <w:szCs w:val="28"/>
          <w:lang w:val="en-US" w:eastAsia="zh-CN"/>
        </w:rPr>
        <w:fldChar w:fldCharType="end"/>
      </w:r>
      <w:r>
        <w:rPr>
          <w:rFonts w:ascii="Times New Roman" w:hAnsi="Times New Roman" w:eastAsia="等线" w:cs="Times New Roman"/>
          <w:sz w:val="28"/>
          <w:szCs w:val="28"/>
          <w:lang w:bidi="ar"/>
        </w:rPr>
        <w:t xml:space="preserve"> (</w:t>
      </w:r>
      <w:r>
        <w:rPr>
          <w:rFonts w:hint="eastAsia" w:ascii="Times New Roman" w:hAnsi="Times New Roman" w:eastAsia="等线" w:cs="Times New Roman"/>
          <w:sz w:val="28"/>
          <w:szCs w:val="28"/>
          <w:lang w:val="en-US" w:eastAsia="zh-CN" w:bidi="ar"/>
        </w:rPr>
        <w:t>Na</w:t>
      </w:r>
      <w:r>
        <w:rPr>
          <w:rFonts w:ascii="Times New Roman" w:hAnsi="Times New Roman" w:eastAsia="等线" w:cs="Times New Roman"/>
          <w:sz w:val="28"/>
          <w:szCs w:val="28"/>
          <w:lang w:bidi="ar"/>
        </w:rPr>
        <w:t xml:space="preserve"> Zhang)</w:t>
      </w:r>
    </w:p>
    <w:p w14:paraId="6495BB36">
      <w:pPr>
        <w:rPr>
          <w:rFonts w:ascii="Times New Roman" w:hAnsi="Times New Roman" w:cs="Times New Roman"/>
          <w:bCs/>
          <w:sz w:val="28"/>
          <w:szCs w:val="32"/>
        </w:rPr>
      </w:pPr>
      <w:bookmarkStart w:id="1" w:name="_GoBack"/>
      <w:bookmarkEnd w:id="1"/>
    </w:p>
    <w:p w14:paraId="5B497DA9">
      <w:pPr>
        <w:rPr>
          <w:rFonts w:ascii="Times New Roman" w:hAnsi="Times New Roman" w:cs="Times New Roman"/>
          <w:bCs/>
          <w:sz w:val="28"/>
          <w:szCs w:val="32"/>
        </w:rPr>
      </w:pPr>
    </w:p>
    <w:p w14:paraId="21C82A32">
      <w:pPr>
        <w:rPr>
          <w:rFonts w:ascii="Times New Roman" w:hAnsi="Times New Roman" w:cs="Times New Roman"/>
          <w:bCs/>
          <w:color w:val="000000" w:themeColor="text1"/>
          <w:sz w:val="28"/>
          <w:szCs w:val="32"/>
          <w:vertAlign w:val="superscript"/>
          <w14:textFill>
            <w14:solidFill>
              <w14:schemeClr w14:val="tx1"/>
            </w14:solidFill>
          </w14:textFill>
        </w:rPr>
      </w:pPr>
    </w:p>
    <w:p w14:paraId="6E1DCC67"/>
    <w:p w14:paraId="45D18B5E"/>
    <w:p w14:paraId="5D336976"/>
    <w:p w14:paraId="7A459CE6"/>
    <w:p w14:paraId="50E84F95"/>
    <w:p w14:paraId="113E1B8D"/>
    <w:p w14:paraId="1825EA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4400550" cy="3562985"/>
            <wp:effectExtent l="0" t="0" r="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1FB89">
      <w:pPr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Fig. 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1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Specific capacitances of CC-C/Na/K-1:2:1 calculated from CV curves.</w:t>
      </w:r>
    </w:p>
    <w:p w14:paraId="3BA884BB">
      <w:pPr>
        <w:jc w:val="center"/>
      </w:pPr>
      <w:r>
        <w:drawing>
          <wp:inline distT="0" distB="0" distL="0" distR="0">
            <wp:extent cx="6082665" cy="2692400"/>
            <wp:effectExtent l="0" t="0" r="0" b="0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0"/>
                    <a:stretch>
                      <a:fillRect/>
                    </a:stretch>
                  </pic:blipFill>
                  <pic:spPr>
                    <a:xfrm>
                      <a:off x="0" y="0"/>
                      <a:ext cx="6083841" cy="2692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83BB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Fig. 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(a) GCD curves of CC at different current densities (b) CV curves of CC at different scan rates</w:t>
      </w:r>
    </w:p>
    <w:p w14:paraId="469F95AD">
      <w:pPr>
        <w:jc w:val="center"/>
      </w:pPr>
    </w:p>
    <w:p w14:paraId="490306F6">
      <w:pPr>
        <w:jc w:val="center"/>
      </w:pPr>
      <w:r>
        <w:rPr>
          <w:rFonts w:hint="eastAsia"/>
        </w:rPr>
        <w:drawing>
          <wp:inline distT="0" distB="0" distL="0" distR="0">
            <wp:extent cx="6079490" cy="2692400"/>
            <wp:effectExtent l="0" t="0" r="0" b="0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950" cy="269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9EC9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Fig. 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(c) GCD curves of CC-C/Na/K-1:1.5:1.5 at different current densities (d) CV curves of CC-C/Na/K-1:1.5:1.5 at different scan rates</w:t>
      </w:r>
    </w:p>
    <w:p w14:paraId="7A1480E1">
      <w:pPr>
        <w:jc w:val="center"/>
      </w:pPr>
    </w:p>
    <w:p w14:paraId="176E0800">
      <w:pPr>
        <w:jc w:val="center"/>
      </w:pPr>
      <w:r>
        <w:rPr>
          <w:rFonts w:hint="eastAsia"/>
        </w:rPr>
        <w:drawing>
          <wp:inline distT="0" distB="0" distL="0" distR="0">
            <wp:extent cx="6119495" cy="2692400"/>
            <wp:effectExtent l="0" t="0" r="0" b="0"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B3B3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Fig. 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(e) GCD curves of CC-C/Na/K-1:1:2 at different current densities (f) CV curves of CC-C/Na/K-1:1:2 at different scan rates</w:t>
      </w:r>
    </w:p>
    <w:p w14:paraId="4829015E">
      <w:pPr>
        <w:jc w:val="center"/>
      </w:pPr>
    </w:p>
    <w:p w14:paraId="740FAB1C">
      <w:pPr>
        <w:jc w:val="center"/>
      </w:pPr>
      <w:r>
        <w:rPr>
          <w:rFonts w:hint="eastAsia"/>
        </w:rPr>
        <w:drawing>
          <wp:inline distT="0" distB="0" distL="0" distR="0">
            <wp:extent cx="6119495" cy="2692400"/>
            <wp:effectExtent l="0" t="0" r="0" b="0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4CC0B">
      <w:r>
        <w:rPr>
          <w:rFonts w:ascii="Times New Roman" w:hAnsi="Times New Roman" w:cs="Times New Roman"/>
          <w:b/>
          <w:bCs/>
          <w:sz w:val="28"/>
          <w:szCs w:val="28"/>
        </w:rPr>
        <w:t>Fig. 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(g) GCD curves of CC-C/Na-1:3 at different current densities (h) CV curves of CC-C/Na-1:3 at different scan rates</w:t>
      </w:r>
    </w:p>
    <w:p w14:paraId="6B8B3412">
      <w:pPr>
        <w:jc w:val="center"/>
      </w:pPr>
      <w:r>
        <w:rPr>
          <w:rFonts w:hint="eastAsia"/>
        </w:rPr>
        <w:drawing>
          <wp:inline distT="0" distB="0" distL="0" distR="0">
            <wp:extent cx="6119495" cy="2691765"/>
            <wp:effectExtent l="0" t="0" r="0" b="0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8" r="1022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917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3691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Fig. S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(i) GCD curves of CC-C/K-1:3 at different current densities (j) CV curves of CC-C/K-1:3 at different scan rates</w:t>
      </w:r>
    </w:p>
    <w:p w14:paraId="4CD886EC">
      <w:pPr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6120130" cy="49409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4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888F3">
      <w:pPr>
        <w:spacing w:line="360" w:lineRule="auto"/>
        <w:rPr>
          <w:rFonts w:ascii="Times New Roman" w:hAnsi="Times New Roman" w:eastAsia="宋体" w:cs="Times New Roman"/>
          <w:bCs/>
          <w:color w:val="auto"/>
          <w:sz w:val="28"/>
          <w:szCs w:val="28"/>
        </w:rPr>
      </w:pPr>
      <w:bookmarkStart w:id="0" w:name="_Hlk136966884"/>
      <w:r>
        <w:rPr>
          <w:rFonts w:hint="eastAsia" w:ascii="Times New Roman" w:hAnsi="Times New Roman" w:cs="Times New Roman"/>
          <w:b/>
          <w:color w:val="auto"/>
          <w:sz w:val="28"/>
          <w:szCs w:val="28"/>
        </w:rPr>
        <w:t>F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ig. S</w:t>
      </w:r>
      <w:r>
        <w:rPr>
          <w:rFonts w:hint="eastAsia" w:ascii="Times New Roman" w:hAnsi="Times New Roman" w:cs="Times New Roman"/>
          <w:b/>
          <w:color w:val="auto"/>
          <w:sz w:val="28"/>
          <w:szCs w:val="28"/>
          <w:lang w:val="en-US" w:eastAsia="zh-CN"/>
        </w:rPr>
        <w:t>7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eastAsia="宋体" w:cs="Times New Roman"/>
          <w:b w:val="0"/>
          <w:bCs/>
          <w:color w:val="auto"/>
          <w:sz w:val="28"/>
          <w:szCs w:val="28"/>
        </w:rPr>
        <w:t>Storage</w:t>
      </w:r>
      <w:r>
        <w:rPr>
          <w:rFonts w:hint="eastAsia" w:ascii="Times New Roman" w:hAnsi="Times New Roman" w:eastAsia="宋体" w:cs="Times New Roman"/>
          <w:b w:val="0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eastAsia="宋体" w:cs="Times New Roman"/>
          <w:b w:val="0"/>
          <w:bCs/>
          <w:color w:val="auto"/>
          <w:sz w:val="28"/>
          <w:szCs w:val="28"/>
        </w:rPr>
        <w:t xml:space="preserve">contributions from capacitive process and diffusion-controlled process for </w:t>
      </w:r>
      <w:r>
        <w:rPr>
          <w:rFonts w:hint="eastAsia" w:ascii="Times New Roman" w:hAnsi="Times New Roman" w:cs="Times New Roman"/>
          <w:b w:val="0"/>
          <w:bCs/>
          <w:color w:val="auto"/>
          <w:sz w:val="28"/>
          <w:szCs w:val="28"/>
        </w:rPr>
        <w:t>CC-C/Na/K-1:2:1</w:t>
      </w:r>
      <w:r>
        <w:rPr>
          <w:rFonts w:ascii="Times New Roman" w:hAnsi="Times New Roman" w:eastAsia="宋体" w:cs="Times New Roman"/>
          <w:b w:val="0"/>
          <w:bCs/>
          <w:color w:val="auto"/>
          <w:sz w:val="28"/>
          <w:szCs w:val="28"/>
        </w:rPr>
        <w:t xml:space="preserve"> at varied scan rates.</w:t>
      </w:r>
    </w:p>
    <w:bookmarkEnd w:id="0"/>
    <w:p w14:paraId="30C6C746">
      <w:pPr>
        <w:rPr>
          <w:rFonts w:hint="eastAsia" w:ascii="Times New Roman" w:hAnsi="Times New Roman" w:cs="Times New Roman"/>
          <w:b/>
          <w:bCs/>
          <w:sz w:val="28"/>
          <w:szCs w:val="28"/>
        </w:rPr>
      </w:pPr>
    </w:p>
    <w:p w14:paraId="46486F1C">
      <w:pPr>
        <w:rPr>
          <w:rFonts w:hint="eastAsia" w:ascii="Times New Roman" w:hAnsi="Times New Roman" w:cs="Times New Roman"/>
          <w:b/>
          <w:bCs/>
          <w:sz w:val="28"/>
          <w:szCs w:val="28"/>
        </w:rPr>
      </w:pPr>
    </w:p>
    <w:p w14:paraId="2B350C50">
      <w:pPr>
        <w:rPr>
          <w:rFonts w:hint="eastAsia" w:ascii="Times New Roman" w:hAnsi="Times New Roman" w:cs="Times New Roman"/>
          <w:b/>
          <w:bCs/>
          <w:sz w:val="28"/>
          <w:szCs w:val="28"/>
        </w:rPr>
      </w:pPr>
    </w:p>
    <w:p w14:paraId="6E509AEA">
      <w:pPr>
        <w:rPr>
          <w:rFonts w:hint="eastAsia" w:ascii="Times New Roman" w:hAnsi="Times New Roman" w:cs="Times New Roman"/>
          <w:b/>
          <w:bCs/>
          <w:sz w:val="28"/>
          <w:szCs w:val="28"/>
        </w:rPr>
      </w:pPr>
    </w:p>
    <w:p w14:paraId="72527ACD">
      <w:pPr>
        <w:rPr>
          <w:rFonts w:hint="eastAsia" w:ascii="Times New Roman" w:hAnsi="Times New Roman" w:cs="Times New Roman"/>
          <w:b/>
          <w:bCs/>
          <w:sz w:val="28"/>
          <w:szCs w:val="28"/>
        </w:rPr>
      </w:pPr>
    </w:p>
    <w:p w14:paraId="097EABA2">
      <w:pPr>
        <w:rPr>
          <w:rFonts w:hint="eastAsia" w:ascii="Times New Roman" w:hAnsi="Times New Roman" w:cs="Times New Roman"/>
          <w:b/>
          <w:bCs/>
          <w:sz w:val="28"/>
          <w:szCs w:val="28"/>
        </w:rPr>
      </w:pPr>
    </w:p>
    <w:p w14:paraId="5771ABEB">
      <w:pPr>
        <w:rPr>
          <w:rFonts w:hint="eastAsia" w:ascii="Times New Roman" w:hAnsi="Times New Roman" w:cs="Times New Roman"/>
          <w:b/>
          <w:bCs/>
          <w:sz w:val="28"/>
          <w:szCs w:val="28"/>
        </w:rPr>
      </w:pPr>
    </w:p>
    <w:p w14:paraId="76929630">
      <w:pPr>
        <w:rPr>
          <w:rFonts w:hint="eastAsia" w:ascii="Times New Roman" w:hAnsi="Times New Roman" w:cs="Times New Roman"/>
          <w:b/>
          <w:bCs/>
          <w:sz w:val="28"/>
          <w:szCs w:val="28"/>
        </w:rPr>
      </w:pPr>
    </w:p>
    <w:p w14:paraId="4EA63995">
      <w:pPr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 xml:space="preserve">Table S1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</w:rPr>
        <w:t xml:space="preserve">Pore structure parameters of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the samples</w:t>
      </w:r>
    </w:p>
    <w:tbl>
      <w:tblPr>
        <w:tblStyle w:val="4"/>
        <w:tblpPr w:leftFromText="180" w:rightFromText="180" w:vertAnchor="text" w:horzAnchor="page" w:tblpX="1892" w:tblpY="146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6"/>
        <w:gridCol w:w="1436"/>
        <w:gridCol w:w="1505"/>
        <w:gridCol w:w="1651"/>
        <w:gridCol w:w="1432"/>
      </w:tblGrid>
      <w:tr w14:paraId="0836B3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D9132C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1BCADA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BET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(m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CD4B4A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micro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(m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788603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V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>micro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(cm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4B234C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V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bscript"/>
              </w:rPr>
              <w:t xml:space="preserve">tol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(cm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g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14:paraId="3547CC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0" w:type="auto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149222FE">
            <w:pPr>
              <w:widowControl/>
              <w:ind w:firstLine="600" w:firstLineChars="250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49C68DB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.5</w:t>
            </w:r>
          </w:p>
        </w:tc>
        <w:tc>
          <w:tcPr>
            <w:tcW w:w="0" w:type="auto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33FFD84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33AB877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 w14:paraId="7544F93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14:paraId="485AEF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E9334C2"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C-C/Na/K-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1: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1.5:1.5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EB0C0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F7B857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.2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315CA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9D294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.0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0D8936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48E6996B"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CC-C/Na/K-1:1:2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E6FAF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164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.4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7531E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.6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3CD08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.0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FB6C6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.08</w:t>
            </w:r>
          </w:p>
        </w:tc>
      </w:tr>
      <w:tr w14:paraId="12C98F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07F8C75">
            <w:pPr>
              <w:widowControl/>
              <w:ind w:firstLine="240" w:firstLineChars="100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C-C/Na-1:3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14:paraId="26F9D2F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470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.9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05" w:type="dxa"/>
            <w:shd w:val="clear" w:color="auto" w:fill="auto"/>
            <w:noWrap/>
            <w:vAlign w:val="center"/>
          </w:tcPr>
          <w:p w14:paraId="0ECE39F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7DD1B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31873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14:paraId="22A918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0" w:type="auto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3FFBA27">
            <w:pPr>
              <w:spacing w:line="360" w:lineRule="auto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CC-C/Na/K-1:2:1</w:t>
            </w:r>
          </w:p>
        </w:tc>
        <w:tc>
          <w:tcPr>
            <w:tcW w:w="1436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866374B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88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.2</w:t>
            </w:r>
          </w:p>
        </w:tc>
        <w:tc>
          <w:tcPr>
            <w:tcW w:w="1505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4CCF724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69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  <w:lang w:val="en-US" w:eastAsia="zh-CN"/>
              </w:rPr>
              <w:t>.9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A3D0D3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.35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24A875F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.3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</w:tbl>
    <w:p w14:paraId="5DCAA9B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A959BC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586863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9EA036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3ED28D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B4E379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32DD8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1440" w:right="1134" w:bottom="1440" w:left="1134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yz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raeze0ovzzw1e9tzlxr0vyztxp9rz2x2ex&quot;&gt;My EndNote Library 11&lt;record-ids&gt;&lt;item&gt;34&lt;/item&gt;&lt;/record-ids&gt;&lt;/item&gt;&lt;/Libraries&gt;"/>
  </w:docVars>
  <w:rsids>
    <w:rsidRoot w:val="009B3D94"/>
    <w:rsid w:val="000115D2"/>
    <w:rsid w:val="00017852"/>
    <w:rsid w:val="00044EB1"/>
    <w:rsid w:val="00054092"/>
    <w:rsid w:val="000D4AAF"/>
    <w:rsid w:val="001048EB"/>
    <w:rsid w:val="001575A2"/>
    <w:rsid w:val="00171896"/>
    <w:rsid w:val="001927D8"/>
    <w:rsid w:val="001C363E"/>
    <w:rsid w:val="00205A74"/>
    <w:rsid w:val="00207C6D"/>
    <w:rsid w:val="0026276B"/>
    <w:rsid w:val="00277645"/>
    <w:rsid w:val="00287256"/>
    <w:rsid w:val="002D6E40"/>
    <w:rsid w:val="002F6013"/>
    <w:rsid w:val="00334753"/>
    <w:rsid w:val="00355360"/>
    <w:rsid w:val="00371F5B"/>
    <w:rsid w:val="003C0AED"/>
    <w:rsid w:val="003D4A1D"/>
    <w:rsid w:val="003D6C80"/>
    <w:rsid w:val="003F4178"/>
    <w:rsid w:val="00424A7B"/>
    <w:rsid w:val="004364DB"/>
    <w:rsid w:val="004B412E"/>
    <w:rsid w:val="004B7C2B"/>
    <w:rsid w:val="0054331B"/>
    <w:rsid w:val="00543C3A"/>
    <w:rsid w:val="00546FC8"/>
    <w:rsid w:val="005516C5"/>
    <w:rsid w:val="00556B3E"/>
    <w:rsid w:val="005C0EC8"/>
    <w:rsid w:val="005E6FAC"/>
    <w:rsid w:val="00610DB0"/>
    <w:rsid w:val="00661868"/>
    <w:rsid w:val="00661C77"/>
    <w:rsid w:val="006A0043"/>
    <w:rsid w:val="006F688A"/>
    <w:rsid w:val="0071067A"/>
    <w:rsid w:val="00721E36"/>
    <w:rsid w:val="007449D5"/>
    <w:rsid w:val="007554A0"/>
    <w:rsid w:val="007653E0"/>
    <w:rsid w:val="00792ADB"/>
    <w:rsid w:val="007C614D"/>
    <w:rsid w:val="007D4914"/>
    <w:rsid w:val="00803A87"/>
    <w:rsid w:val="008047F5"/>
    <w:rsid w:val="00892CE0"/>
    <w:rsid w:val="009541D2"/>
    <w:rsid w:val="009928E1"/>
    <w:rsid w:val="009B222F"/>
    <w:rsid w:val="009B3D94"/>
    <w:rsid w:val="00A4435C"/>
    <w:rsid w:val="00A55D85"/>
    <w:rsid w:val="00A824FE"/>
    <w:rsid w:val="00A84923"/>
    <w:rsid w:val="00B075CB"/>
    <w:rsid w:val="00B25876"/>
    <w:rsid w:val="00B64040"/>
    <w:rsid w:val="00B863F6"/>
    <w:rsid w:val="00B93D56"/>
    <w:rsid w:val="00C01263"/>
    <w:rsid w:val="00C50B09"/>
    <w:rsid w:val="00C55139"/>
    <w:rsid w:val="00CE03B0"/>
    <w:rsid w:val="00CE38F6"/>
    <w:rsid w:val="00CF1F9B"/>
    <w:rsid w:val="00D061D0"/>
    <w:rsid w:val="00D1278B"/>
    <w:rsid w:val="00D26352"/>
    <w:rsid w:val="00D3122C"/>
    <w:rsid w:val="00D315AD"/>
    <w:rsid w:val="00D53BBF"/>
    <w:rsid w:val="00D97DEC"/>
    <w:rsid w:val="00DA3E8B"/>
    <w:rsid w:val="00DB5AFB"/>
    <w:rsid w:val="00DE0636"/>
    <w:rsid w:val="00E50269"/>
    <w:rsid w:val="00E7551E"/>
    <w:rsid w:val="00E95A04"/>
    <w:rsid w:val="00EB5C7C"/>
    <w:rsid w:val="00EC4BA4"/>
    <w:rsid w:val="00F16E96"/>
    <w:rsid w:val="00F17459"/>
    <w:rsid w:val="00F82844"/>
    <w:rsid w:val="00F907CB"/>
    <w:rsid w:val="00FD64FD"/>
    <w:rsid w:val="00FE127F"/>
    <w:rsid w:val="00FE4E65"/>
    <w:rsid w:val="0BE34556"/>
    <w:rsid w:val="1AE24F0C"/>
    <w:rsid w:val="1E6269B2"/>
    <w:rsid w:val="1F1334DD"/>
    <w:rsid w:val="32045E5F"/>
    <w:rsid w:val="334678E4"/>
    <w:rsid w:val="62947820"/>
    <w:rsid w:val="656F3723"/>
    <w:rsid w:val="7723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line number"/>
    <w:basedOn w:val="6"/>
    <w:semiHidden/>
    <w:unhideWhenUsed/>
    <w:qFormat/>
    <w:uiPriority w:val="99"/>
  </w:style>
  <w:style w:type="character" w:styleId="8">
    <w:name w:val="Hyperlink"/>
    <w:basedOn w:val="6"/>
    <w:semiHidden/>
    <w:unhideWhenUsed/>
    <w:qFormat/>
    <w:uiPriority w:val="99"/>
    <w:rPr>
      <w:color w:val="467886"/>
      <w:u w:val="single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1">
    <w:name w:val="EndNote Bibliography Title"/>
    <w:basedOn w:val="1"/>
    <w:link w:val="12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12">
    <w:name w:val="EndNote Bibliography Title 字符"/>
    <w:basedOn w:val="6"/>
    <w:link w:val="11"/>
    <w:qFormat/>
    <w:uiPriority w:val="0"/>
    <w:rPr>
      <w:rFonts w:ascii="Calibri" w:hAnsi="Calibri" w:cs="Calibri"/>
      <w:sz w:val="20"/>
    </w:rPr>
  </w:style>
  <w:style w:type="paragraph" w:customStyle="1" w:styleId="13">
    <w:name w:val="EndNote Bibliography"/>
    <w:basedOn w:val="1"/>
    <w:link w:val="14"/>
    <w:qFormat/>
    <w:uiPriority w:val="0"/>
    <w:pPr>
      <w:jc w:val="left"/>
    </w:pPr>
    <w:rPr>
      <w:rFonts w:ascii="Calibri" w:hAnsi="Calibri" w:cs="Calibri"/>
      <w:sz w:val="20"/>
    </w:rPr>
  </w:style>
  <w:style w:type="character" w:customStyle="1" w:styleId="14">
    <w:name w:val="EndNote Bibliography 字符"/>
    <w:basedOn w:val="6"/>
    <w:link w:val="13"/>
    <w:qFormat/>
    <w:uiPriority w:val="0"/>
    <w:rPr>
      <w:rFonts w:ascii="Calibri" w:hAnsi="Calibri" w:cs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E489A-75AE-4613-944C-25B4230222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270</Words>
  <Characters>1626</Characters>
  <Lines>23</Lines>
  <Paragraphs>6</Paragraphs>
  <TotalTime>0</TotalTime>
  <ScaleCrop>false</ScaleCrop>
  <LinksUpToDate>false</LinksUpToDate>
  <CharactersWithSpaces>1855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2022-08-19T14:23:00Z</dcterms:created>
  <dc:creator>dell</dc:creator>
  <cp:lastModifiedBy>伊</cp:lastModifiedBy>
  <dcterms:modified xsi:type="dcterms:W3CDTF">2026-07-31T10:32:31Z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eyJoZGlkIjoiMzM3MDFhZTI1NTM2ZGQ1OWIwZDdlMjgwZDYyZWExYWYiLCJ1c2VySWQiOiIzMzcyOTE5OTkifQ==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0E5BF44FBEAC4A4CB040C414C29F58DF_12</vt:lpwstr>
  </property>
</Properties>
</file>