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BC02DB" w14:textId="77777777" w:rsidR="00BA5048" w:rsidRPr="0020479E" w:rsidRDefault="00BA5048" w:rsidP="00BA5048">
      <w:pPr>
        <w:spacing w:line="480" w:lineRule="auto"/>
        <w:rPr>
          <w:b/>
        </w:rPr>
      </w:pPr>
      <w:r>
        <w:rPr>
          <w:b/>
        </w:rPr>
        <w:t>Supplementary Methods</w:t>
      </w:r>
    </w:p>
    <w:p w14:paraId="5FC67DBF" w14:textId="77777777" w:rsidR="00BA5048" w:rsidRPr="006103AC" w:rsidRDefault="00BA5048" w:rsidP="00BA5048">
      <w:pPr>
        <w:spacing w:line="480" w:lineRule="auto"/>
        <w:rPr>
          <w:i/>
        </w:rPr>
      </w:pPr>
      <w:r w:rsidRPr="006103AC">
        <w:rPr>
          <w:i/>
        </w:rPr>
        <w:t>LA-ICPMS</w:t>
      </w:r>
    </w:p>
    <w:p w14:paraId="5CD301B2" w14:textId="6473C0E0" w:rsidR="00BA5048" w:rsidRPr="009F5D8C" w:rsidRDefault="00BA5048" w:rsidP="00BA5048">
      <w:pPr>
        <w:spacing w:line="480" w:lineRule="auto"/>
      </w:pPr>
      <w:r w:rsidRPr="00407BC9">
        <w:t>Zircon grains were separated from rocks using standard techniques, annealed at 900</w:t>
      </w:r>
      <w:r w:rsidRPr="00407BC9">
        <w:rPr>
          <w:vertAlign w:val="superscript"/>
        </w:rPr>
        <w:t>o</w:t>
      </w:r>
      <w:r w:rsidRPr="00407BC9">
        <w:t>C for 60 hours in a muffle furnace, and</w:t>
      </w:r>
      <w:r w:rsidRPr="009F5D8C">
        <w:t xml:space="preserve"> randomly selected grains were mounted in epoxy and polished until their centr</w:t>
      </w:r>
      <w:r>
        <w:t>e</w:t>
      </w:r>
      <w:r w:rsidRPr="00407BC9">
        <w:t xml:space="preserve">s were exposed. Cathodoluminescence (CL) images were obtained with a JEOL JSM-300 scanning electron microscope and </w:t>
      </w:r>
      <w:proofErr w:type="spellStart"/>
      <w:r w:rsidRPr="00407BC9">
        <w:t>Gatan</w:t>
      </w:r>
      <w:proofErr w:type="spellEnd"/>
      <w:r w:rsidRPr="00407BC9">
        <w:t xml:space="preserve"> </w:t>
      </w:r>
      <w:proofErr w:type="spellStart"/>
      <w:r w:rsidRPr="00407BC9">
        <w:t>MiniCL</w:t>
      </w:r>
      <w:proofErr w:type="spellEnd"/>
      <w:r w:rsidRPr="00407BC9">
        <w:t>. Zircon was analy</w:t>
      </w:r>
      <w:r>
        <w:t>s</w:t>
      </w:r>
      <w:r w:rsidRPr="00407BC9">
        <w:t xml:space="preserve">ed by laser ablation inductively coupled plasma mass spectrometry (LA-ICPMS) using a </w:t>
      </w:r>
      <w:proofErr w:type="spellStart"/>
      <w:r w:rsidRPr="00407BC9">
        <w:t>ThermoElectron</w:t>
      </w:r>
      <w:proofErr w:type="spellEnd"/>
      <w:r w:rsidRPr="00407BC9">
        <w:t xml:space="preserve"> X-Series II quadrupole ICPMS and New Wave Resear</w:t>
      </w:r>
      <w:r w:rsidRPr="009F5D8C">
        <w:t xml:space="preserve">ch UP-213 </w:t>
      </w:r>
      <w:proofErr w:type="spellStart"/>
      <w:proofErr w:type="gramStart"/>
      <w:r w:rsidRPr="009F5D8C">
        <w:t>Nd:YAG</w:t>
      </w:r>
      <w:proofErr w:type="spellEnd"/>
      <w:proofErr w:type="gramEnd"/>
      <w:r w:rsidRPr="009F5D8C">
        <w:t xml:space="preserve"> UV (213 nm) laser ablation system. In-house analytical protocols, standard materials, and data reduction software were used for acquisition and calibration of U</w:t>
      </w:r>
      <w:r>
        <w:t>–</w:t>
      </w:r>
      <w:r w:rsidRPr="00407BC9">
        <w:t>Pb dates and a suite of high field strength elements (HFSE) and rare earth ele</w:t>
      </w:r>
      <w:r w:rsidRPr="009F5D8C">
        <w:t>ments (REE). Zircon was ablated with a laser spot of 25 µm wide using fluence and pulse rates of 5 J/cm</w:t>
      </w:r>
      <w:r w:rsidRPr="009F5D8C">
        <w:rPr>
          <w:vertAlign w:val="superscript"/>
        </w:rPr>
        <w:t>2</w:t>
      </w:r>
      <w:r w:rsidRPr="009F5D8C">
        <w:t xml:space="preserve"> and 5 Hz, respectively, during a 45 second analysis (15 sec</w:t>
      </w:r>
      <w:r>
        <w:t>ond</w:t>
      </w:r>
      <w:r w:rsidRPr="009F5D8C">
        <w:t xml:space="preserve"> gas blank, 30 sec</w:t>
      </w:r>
      <w:r>
        <w:t>ond</w:t>
      </w:r>
      <w:r w:rsidRPr="009F5D8C">
        <w:t xml:space="preserve"> ablation) that excavated a pit ~25 µm deep. Ablated material was carried by a 1.2 L/min He gas stream to the nebulizer flow of the plasma. Quadrupole dwell times were 5 </w:t>
      </w:r>
      <w:proofErr w:type="spellStart"/>
      <w:r w:rsidRPr="009F5D8C">
        <w:t>ms</w:t>
      </w:r>
      <w:proofErr w:type="spellEnd"/>
      <w:r w:rsidRPr="009F5D8C">
        <w:t xml:space="preserve"> for Si and Zr, 200 </w:t>
      </w:r>
      <w:proofErr w:type="spellStart"/>
      <w:r w:rsidRPr="009F5D8C">
        <w:t>ms</w:t>
      </w:r>
      <w:proofErr w:type="spellEnd"/>
      <w:r w:rsidRPr="009F5D8C">
        <w:t xml:space="preserve"> for </w:t>
      </w:r>
      <w:r w:rsidRPr="009F5D8C">
        <w:rPr>
          <w:vertAlign w:val="superscript"/>
        </w:rPr>
        <w:t>49</w:t>
      </w:r>
      <w:r w:rsidRPr="009F5D8C">
        <w:t xml:space="preserve">Ti and </w:t>
      </w:r>
      <w:r w:rsidRPr="009F5D8C">
        <w:rPr>
          <w:vertAlign w:val="superscript"/>
        </w:rPr>
        <w:t>207</w:t>
      </w:r>
      <w:r w:rsidRPr="009F5D8C">
        <w:t xml:space="preserve">Pb, 80 </w:t>
      </w:r>
      <w:proofErr w:type="spellStart"/>
      <w:r w:rsidRPr="009F5D8C">
        <w:t>ms</w:t>
      </w:r>
      <w:proofErr w:type="spellEnd"/>
      <w:r w:rsidRPr="009F5D8C">
        <w:t xml:space="preserve"> for </w:t>
      </w:r>
      <w:r w:rsidRPr="009F5D8C">
        <w:rPr>
          <w:vertAlign w:val="superscript"/>
        </w:rPr>
        <w:t>206</w:t>
      </w:r>
      <w:r w:rsidRPr="009F5D8C">
        <w:t xml:space="preserve">Pb, 40 </w:t>
      </w:r>
      <w:proofErr w:type="spellStart"/>
      <w:r w:rsidRPr="009F5D8C">
        <w:t>ms</w:t>
      </w:r>
      <w:proofErr w:type="spellEnd"/>
      <w:r w:rsidRPr="009F5D8C">
        <w:t xml:space="preserve"> for </w:t>
      </w:r>
      <w:r w:rsidRPr="009F5D8C">
        <w:rPr>
          <w:vertAlign w:val="superscript"/>
        </w:rPr>
        <w:t>202</w:t>
      </w:r>
      <w:r w:rsidRPr="009F5D8C">
        <w:t xml:space="preserve">Hg, </w:t>
      </w:r>
      <w:r w:rsidRPr="009F5D8C">
        <w:rPr>
          <w:vertAlign w:val="superscript"/>
        </w:rPr>
        <w:t>204</w:t>
      </w:r>
      <w:r w:rsidRPr="009F5D8C">
        <w:t xml:space="preserve">Pb, </w:t>
      </w:r>
      <w:r w:rsidRPr="009F5D8C">
        <w:rPr>
          <w:vertAlign w:val="superscript"/>
        </w:rPr>
        <w:t>208</w:t>
      </w:r>
      <w:r w:rsidRPr="009F5D8C">
        <w:t xml:space="preserve">Pb, </w:t>
      </w:r>
      <w:r w:rsidRPr="009F5D8C">
        <w:rPr>
          <w:vertAlign w:val="superscript"/>
        </w:rPr>
        <w:t>232</w:t>
      </w:r>
      <w:r w:rsidRPr="009F5D8C">
        <w:t xml:space="preserve">Th, and </w:t>
      </w:r>
      <w:r w:rsidRPr="009F5D8C">
        <w:rPr>
          <w:vertAlign w:val="superscript"/>
        </w:rPr>
        <w:t>238</w:t>
      </w:r>
      <w:r w:rsidRPr="009F5D8C">
        <w:t xml:space="preserve">U and 10 </w:t>
      </w:r>
      <w:proofErr w:type="spellStart"/>
      <w:r w:rsidRPr="009F5D8C">
        <w:t>ms</w:t>
      </w:r>
      <w:proofErr w:type="spellEnd"/>
      <w:r w:rsidRPr="009F5D8C">
        <w:t xml:space="preserve"> for all other HFSE and REE; total sweep d</w:t>
      </w:r>
      <w:r w:rsidRPr="00513609">
        <w:t xml:space="preserve">uration is 950 </w:t>
      </w:r>
      <w:proofErr w:type="spellStart"/>
      <w:r w:rsidRPr="00513609">
        <w:t>ms</w:t>
      </w:r>
      <w:proofErr w:type="spellEnd"/>
      <w:r w:rsidRPr="00513609">
        <w:t xml:space="preserve">. Background count rates for each analyte were obtained prior to each spot analysis and subtracted from the raw count rate for each analyte. For concentration calculations, background-subtracted count rates for each analyte were internally normalized to </w:t>
      </w:r>
      <w:r w:rsidRPr="00513609">
        <w:rPr>
          <w:vertAlign w:val="superscript"/>
        </w:rPr>
        <w:t>29</w:t>
      </w:r>
      <w:r w:rsidRPr="00513609">
        <w:t xml:space="preserve">Si and calibrated with respect to NIST SRM-610 and -612 glasses as the primary standards. Ablations pits that appear to have intersected glass or mineral inclusions were identified based on </w:t>
      </w:r>
      <w:proofErr w:type="spellStart"/>
      <w:r w:rsidRPr="00513609">
        <w:t>Ti</w:t>
      </w:r>
      <w:proofErr w:type="spellEnd"/>
      <w:r w:rsidRPr="00513609">
        <w:t xml:space="preserve"> and P signal excursions, and associated sweeps were discarded. U</w:t>
      </w:r>
      <w:r>
        <w:t>–</w:t>
      </w:r>
      <w:r w:rsidRPr="00407BC9">
        <w:t>Pb dates from these analyses are considered valid if the U</w:t>
      </w:r>
      <w:r>
        <w:t>–</w:t>
      </w:r>
      <w:r w:rsidRPr="00407BC9">
        <w:t xml:space="preserve">Pb ratios appear to have been unaffected by the inclusions. Signals at mass 204 were normally indistinguishable from zero following subtraction of mercury backgrounds measured during </w:t>
      </w:r>
      <w:r w:rsidRPr="00407BC9">
        <w:lastRenderedPageBreak/>
        <w:t xml:space="preserve">the gas blank (&lt;1000 cps </w:t>
      </w:r>
      <w:r w:rsidRPr="009F5D8C">
        <w:rPr>
          <w:vertAlign w:val="superscript"/>
        </w:rPr>
        <w:t>202</w:t>
      </w:r>
      <w:r w:rsidRPr="009F5D8C">
        <w:t xml:space="preserve">Hg), and thus dates are reported without common Pb correction. Rare analyses that appear contaminated by common Pb were rejected based on mass 204 greater than baseline. Temperature was calculated from the </w:t>
      </w:r>
      <w:proofErr w:type="spellStart"/>
      <w:r w:rsidRPr="009F5D8C">
        <w:t>Ti</w:t>
      </w:r>
      <w:proofErr w:type="spellEnd"/>
      <w:r w:rsidRPr="009F5D8C">
        <w:t>-in-zircon thermometer</w:t>
      </w:r>
      <w:r>
        <w:fldChar w:fldCharType="begin"/>
      </w:r>
      <w:r>
        <w:instrText xml:space="preserve"> ADDIN EN.CITE &lt;EndNote&gt;&lt;Cite&gt;&lt;Author&gt;Watson&lt;/Author&gt;&lt;Year&gt;2006&lt;/Year&gt;&lt;RecNum&gt;55&lt;/RecNum&gt;&lt;DisplayText&gt;&lt;style face="superscript"&gt;1&lt;/style&gt;&lt;/DisplayText&gt;&lt;record&gt;&lt;rec-number&gt;55&lt;/rec-number&gt;&lt;foreign-keys&gt;&lt;key app="EN" db-id="epdfw2r9qt2dr1ep59j5sss0pr0vapa9rsfd" timestamp="1603163075"&gt;55&lt;/key&gt;&lt;/foreign-keys&gt;&lt;ref-type name="Journal Article"&gt;17&lt;/ref-type&gt;&lt;contributors&gt;&lt;authors&gt;&lt;author&gt;Watson, E. B.&lt;/author&gt;&lt;author&gt;Wark, D. A.&lt;/author&gt;&lt;author&gt;Thomas, J. B.&lt;/author&gt;&lt;/authors&gt;&lt;/contributors&gt;&lt;titles&gt;&lt;title&gt;Crystallization thermometers for zircon and rutile&lt;/title&gt;&lt;secondary-title&gt;Contributions to Mineralogy and Petrology&lt;/secondary-title&gt;&lt;/titles&gt;&lt;periodical&gt;&lt;full-title&gt;Contributions to Mineralogy and Petrology&lt;/full-title&gt;&lt;/periodical&gt;&lt;pages&gt;413–433&lt;/pages&gt;&lt;volume&gt;151&lt;/volume&gt;&lt;dates&gt;&lt;year&gt;2006&lt;/year&gt;&lt;/dates&gt;&lt;urls&gt;&lt;/urls&gt;&lt;/record&gt;&lt;/Cite&gt;&lt;/EndNote&gt;</w:instrText>
      </w:r>
      <w:r>
        <w:fldChar w:fldCharType="separate"/>
      </w:r>
      <w:r w:rsidRPr="00BA5048">
        <w:rPr>
          <w:noProof/>
          <w:vertAlign w:val="superscript"/>
        </w:rPr>
        <w:t>1</w:t>
      </w:r>
      <w:r>
        <w:fldChar w:fldCharType="end"/>
      </w:r>
      <w:r w:rsidRPr="00407BC9">
        <w:t>. Because there are no constraints on the activity of TiO</w:t>
      </w:r>
      <w:r w:rsidRPr="009F5D8C">
        <w:rPr>
          <w:vertAlign w:val="subscript"/>
        </w:rPr>
        <w:t>2</w:t>
      </w:r>
      <w:r w:rsidRPr="009F5D8C">
        <w:t xml:space="preserve"> in the source rocks, an average value in crustal rocks of 0.8 was used.</w:t>
      </w:r>
    </w:p>
    <w:p w14:paraId="25F4E66D" w14:textId="48EF80AD" w:rsidR="00BA5048" w:rsidRPr="009F5D8C" w:rsidRDefault="00BA5048" w:rsidP="00BA5048">
      <w:pPr>
        <w:pStyle w:val="BodyText"/>
        <w:spacing w:after="0" w:line="480" w:lineRule="auto"/>
      </w:pPr>
      <w:r>
        <w:tab/>
      </w:r>
      <w:r w:rsidRPr="00407BC9">
        <w:t>Data were collected in two experiments in August 2019 and February 2020</w:t>
      </w:r>
      <w:r>
        <w:t xml:space="preserve"> (Table S1)</w:t>
      </w:r>
      <w:r w:rsidRPr="00407BC9">
        <w:t>. For U</w:t>
      </w:r>
      <w:r>
        <w:t>–</w:t>
      </w:r>
      <w:r w:rsidRPr="00407BC9">
        <w:t xml:space="preserve">Pb and </w:t>
      </w:r>
      <w:r w:rsidRPr="00407BC9">
        <w:rPr>
          <w:vertAlign w:val="superscript"/>
        </w:rPr>
        <w:t>207</w:t>
      </w:r>
      <w:r w:rsidRPr="00407BC9">
        <w:t>Pb/</w:t>
      </w:r>
      <w:r w:rsidRPr="00407BC9">
        <w:rPr>
          <w:vertAlign w:val="superscript"/>
        </w:rPr>
        <w:t>206</w:t>
      </w:r>
      <w:r w:rsidRPr="00407BC9">
        <w:t xml:space="preserve">Pb dates, instrumental fractionation of the background-subtracted ratios was corrected, and dates were calibrated with respect to interspersed measurements of zircon standards and reference materials. The primary standards </w:t>
      </w:r>
      <w:proofErr w:type="spellStart"/>
      <w:r w:rsidRPr="00407BC9">
        <w:t>Plešovice</w:t>
      </w:r>
      <w:proofErr w:type="spellEnd"/>
      <w:r w:rsidRPr="00407BC9">
        <w:t xml:space="preserve"> zircon</w:t>
      </w:r>
      <w:r w:rsidR="005A6EB7">
        <w:fldChar w:fldCharType="begin"/>
      </w:r>
      <w:r w:rsidR="005A6EB7">
        <w:instrText xml:space="preserve"> ADDIN EN.CITE &lt;EndNote&gt;&lt;Cite&gt;&lt;Author&gt;Sláma&lt;/Author&gt;&lt;Year&gt;2008&lt;/Year&gt;&lt;RecNum&gt;57&lt;/RecNum&gt;&lt;DisplayText&gt;&lt;style face="superscript"&gt;2&lt;/style&gt;&lt;/DisplayText&gt;&lt;record&gt;&lt;rec-number&gt;57&lt;/rec-number&gt;&lt;foreign-keys&gt;&lt;key app="EN" db-id="epdfw2r9qt2dr1ep59j5sss0pr0vapa9rsfd" timestamp="1603163442"&gt;57&lt;/key&gt;&lt;/foreign-keys&gt;&lt;ref-type name="Journal Article"&gt;17&lt;/ref-type&gt;&lt;contributors&gt;&lt;authors&gt;&lt;author&gt;Sláma, Jiří&lt;/author&gt;&lt;author&gt;Košler, Jan&lt;/author&gt;&lt;author&gt;Condon, Daniel J.&lt;/author&gt;&lt;author&gt;Crowley, James L.&lt;/author&gt;&lt;author&gt;Gerdes, Axel&lt;/author&gt;&lt;author&gt;Hanchar, John M.&lt;/author&gt;&lt;author&gt;Horstwood, Matthew S. A.&lt;/author&gt;&lt;author&gt;Morris, George A.&lt;/author&gt;&lt;author&gt;Nasdala, Lutz&lt;/author&gt;&lt;author&gt;Norberg, Nicholas&lt;/author&gt;&lt;author&gt;Schaltegger, Urs&lt;/author&gt;&lt;author&gt;Schoene, Blair&lt;/author&gt;&lt;author&gt;Tubrett, Michael N.&lt;/author&gt;&lt;author&gt;Whitehouse, Martin J.&lt;/author&gt;&lt;/authors&gt;&lt;/contributors&gt;&lt;titles&gt;&lt;title&gt;Plešovice zircon — A new natural reference material for U–Pb and Hf isotopic microanalysis&lt;/title&gt;&lt;secondary-title&gt;Chemical Geology&lt;/secondary-title&gt;&lt;/titles&gt;&lt;periodical&gt;&lt;full-title&gt;Chemical Geology&lt;/full-title&gt;&lt;/periodical&gt;&lt;pages&gt;1–35&lt;/pages&gt;&lt;volume&gt;249&lt;/volume&gt;&lt;number&gt;1&lt;/number&gt;&lt;keywords&gt;&lt;keyword&gt;Zircon reference material&lt;/keyword&gt;&lt;keyword&gt;Laser ablation ICP-MS&lt;/keyword&gt;&lt;keyword&gt;Plešovice&lt;/keyword&gt;&lt;keyword&gt;U–Pb dating&lt;/keyword&gt;&lt;keyword&gt;Hf isotopes&lt;/keyword&gt;&lt;keyword&gt;Bohemian Massif&lt;/keyword&gt;&lt;/keywords&gt;&lt;dates&gt;&lt;year&gt;2008&lt;/year&gt;&lt;pub-dates&gt;&lt;date&gt;2008/03/30/&lt;/date&gt;&lt;/pub-dates&gt;&lt;/dates&gt;&lt;isbn&gt;0009-2541&lt;/isbn&gt;&lt;urls&gt;&lt;related-urls&gt;&lt;url&gt;http://www.sciencedirect.com/science/article/pii/S0009254107004883&lt;/url&gt;&lt;/related-urls&gt;&lt;/urls&gt;&lt;electronic-resource-num&gt;https://doi.org/10.1016/j.chemgeo.2007.11.005&lt;/electronic-resource-num&gt;&lt;/record&gt;&lt;/Cite&gt;&lt;/EndNote&gt;</w:instrText>
      </w:r>
      <w:r w:rsidR="005A6EB7">
        <w:fldChar w:fldCharType="separate"/>
      </w:r>
      <w:r w:rsidR="005A6EB7" w:rsidRPr="005A6EB7">
        <w:rPr>
          <w:noProof/>
          <w:vertAlign w:val="superscript"/>
        </w:rPr>
        <w:t>2</w:t>
      </w:r>
      <w:r w:rsidR="005A6EB7">
        <w:fldChar w:fldCharType="end"/>
      </w:r>
      <w:r w:rsidRPr="00407BC9">
        <w:t xml:space="preserve"> </w:t>
      </w:r>
      <w:r w:rsidRPr="009F5D8C">
        <w:t xml:space="preserve">or FC1 (1098 Ma, unpublished data, Boise State University) was used to monitor time-dependent instrumental fractionation based on two analyses for every 10 analyses of unknown zircon. A secondary correction to the </w:t>
      </w:r>
      <w:r w:rsidRPr="009F5D8C">
        <w:rPr>
          <w:vertAlign w:val="superscript"/>
        </w:rPr>
        <w:t>206</w:t>
      </w:r>
      <w:r w:rsidRPr="009F5D8C">
        <w:t>Pb/</w:t>
      </w:r>
      <w:r w:rsidRPr="009F5D8C">
        <w:rPr>
          <w:vertAlign w:val="superscript"/>
        </w:rPr>
        <w:t>238</w:t>
      </w:r>
      <w:r w:rsidRPr="009F5D8C">
        <w:t xml:space="preserve">U dates was made based on results from the zircon standards </w:t>
      </w:r>
      <w:proofErr w:type="spellStart"/>
      <w:r w:rsidRPr="009F5D8C">
        <w:t>Seiland</w:t>
      </w:r>
      <w:proofErr w:type="spellEnd"/>
      <w:r w:rsidRPr="009F5D8C">
        <w:t xml:space="preserve"> (530 Ma, unpublished data, Boise State University), Zirconia</w:t>
      </w:r>
      <w:r w:rsidRPr="007D6F0D">
        <w:t xml:space="preserve"> (327 Ma</w:t>
      </w:r>
      <w:r w:rsidRPr="00513609">
        <w:t>, unpublished data, Boise State University) and 91500</w:t>
      </w:r>
      <w:r>
        <w:t xml:space="preserve"> (ref</w:t>
      </w:r>
      <w:r w:rsidR="005A6EB7">
        <w:fldChar w:fldCharType="begin"/>
      </w:r>
      <w:r w:rsidR="005A6EB7">
        <w:instrText xml:space="preserve"> ADDIN EN.CITE &lt;EndNote&gt;&lt;Cite&gt;&lt;Author&gt;Wiedenbeck&lt;/Author&gt;&lt;Year&gt;1995&lt;/Year&gt;&lt;RecNum&gt;58&lt;/RecNum&gt;&lt;DisplayText&gt;&lt;style face="superscript"&gt;3&lt;/style&gt;&lt;/DisplayText&gt;&lt;record&gt;&lt;rec-number&gt;58&lt;/rec-number&gt;&lt;foreign-keys&gt;&lt;key app="EN" db-id="epdfw2r9qt2dr1ep59j5sss0pr0vapa9rsfd" timestamp="1603163555"&gt;58&lt;/key&gt;&lt;/foreign-keys&gt;&lt;ref-type name="Journal Article"&gt;17&lt;/ref-type&gt;&lt;contributors&gt;&lt;authors&gt;&lt;author&gt;Wiedenbeck, M.&lt;/author&gt;&lt;author&gt;Allé, P.&lt;/author&gt;&lt;author&gt;Corfu, F.&lt;/author&gt;&lt;author&gt;Griffin, W.L.&lt;/author&gt;&lt;author&gt;Meier, M.&lt;/author&gt;&lt;author&gt;Oberli, F.&lt;/author&gt;&lt;author&gt;Quadt, A. Von&lt;/author&gt;&lt;author&gt;Roddick, J.C.&lt;/author&gt;&lt;author&gt;Spiegel, W.&lt;/author&gt;&lt;/authors&gt;&lt;/contributors&gt;&lt;titles&gt;&lt;title&gt;Three natural zircon standards for U-Th-Pb, Lu-Hf, trace element and REE analyses&lt;/title&gt;&lt;secondary-title&gt;Geostandards Newsletter&lt;/secondary-title&gt;&lt;/titles&gt;&lt;periodical&gt;&lt;full-title&gt;Geostandards Newsletter&lt;/full-title&gt;&lt;/periodical&gt;&lt;pages&gt;1–23&lt;/pages&gt;&lt;volume&gt;19&lt;/volume&gt;&lt;number&gt;1&lt;/number&gt;&lt;dates&gt;&lt;year&gt;1995&lt;/year&gt;&lt;/dates&gt;&lt;isbn&gt;0150-5505&lt;/isbn&gt;&lt;urls&gt;&lt;related-urls&gt;&lt;url&gt;https://onlinelibrary.wiley.com/doi/abs/10.1111/j.1751-908X.1995.tb00147.x&lt;/url&gt;&lt;/related-urls&gt;&lt;/urls&gt;&lt;electronic-resource-num&gt;10.1111/j.1751-908X.1995.tb00147.x&lt;/electronic-resource-num&gt;&lt;/record&gt;&lt;/Cite&gt;&lt;/EndNote&gt;</w:instrText>
      </w:r>
      <w:r w:rsidR="005A6EB7">
        <w:fldChar w:fldCharType="separate"/>
      </w:r>
      <w:r w:rsidR="005A6EB7" w:rsidRPr="005A6EB7">
        <w:rPr>
          <w:noProof/>
          <w:vertAlign w:val="superscript"/>
        </w:rPr>
        <w:t>3</w:t>
      </w:r>
      <w:r w:rsidR="005A6EB7">
        <w:fldChar w:fldCharType="end"/>
      </w:r>
      <w:r>
        <w:t>)</w:t>
      </w:r>
      <w:r w:rsidRPr="00407BC9">
        <w:t xml:space="preserve">, which were treated as unknowns and measured once for every 10 analyses of unknown zircon. </w:t>
      </w:r>
      <w:r w:rsidRPr="009F5D8C">
        <w:t xml:space="preserve">These results showed a linear age bias of several percent that is related to the </w:t>
      </w:r>
      <w:r w:rsidRPr="009F5D8C">
        <w:rPr>
          <w:vertAlign w:val="superscript"/>
        </w:rPr>
        <w:t>206</w:t>
      </w:r>
      <w:r w:rsidRPr="009F5D8C">
        <w:t xml:space="preserve">Pb count rate. The secondary correction is thought to mitigate matrix-dependent variations due to contrasting compositions and ablation characteristics between the </w:t>
      </w:r>
      <w:proofErr w:type="spellStart"/>
      <w:r w:rsidRPr="009F5D8C">
        <w:t>Plešovice</w:t>
      </w:r>
      <w:proofErr w:type="spellEnd"/>
      <w:r w:rsidRPr="009F5D8C">
        <w:t xml:space="preserve"> zircon and other standards (and unknowns). </w:t>
      </w:r>
    </w:p>
    <w:p w14:paraId="3F38B87E" w14:textId="77777777" w:rsidR="00BA5048" w:rsidRPr="00513609" w:rsidRDefault="00BA5048" w:rsidP="00BA5048">
      <w:pPr>
        <w:pStyle w:val="BodyText"/>
        <w:spacing w:after="0" w:line="480" w:lineRule="auto"/>
      </w:pPr>
      <w:r>
        <w:tab/>
      </w:r>
      <w:r w:rsidRPr="00407BC9">
        <w:t xml:space="preserve">Radiogenic isotope ratio and age error propagation for all analyses includes uncertainty contributions from counting statistics and background subtraction. </w:t>
      </w:r>
      <w:r w:rsidRPr="00407BC9">
        <w:rPr>
          <w:color w:val="000000"/>
        </w:rPr>
        <w:t>The standard calibration uncertai</w:t>
      </w:r>
      <w:r w:rsidRPr="009F5D8C">
        <w:rPr>
          <w:color w:val="000000"/>
        </w:rPr>
        <w:t xml:space="preserve">nty for U/Pb is the local standard deviation of the polynomial fit to the fractionation factor of </w:t>
      </w:r>
      <w:proofErr w:type="spellStart"/>
      <w:r w:rsidRPr="009F5D8C">
        <w:rPr>
          <w:color w:val="000000"/>
        </w:rPr>
        <w:t>Plešovice</w:t>
      </w:r>
      <w:proofErr w:type="spellEnd"/>
      <w:r w:rsidRPr="009F5D8C">
        <w:rPr>
          <w:color w:val="000000"/>
        </w:rPr>
        <w:t xml:space="preserve"> versus time and for </w:t>
      </w:r>
      <w:r w:rsidRPr="009F5D8C">
        <w:rPr>
          <w:color w:val="000000"/>
          <w:vertAlign w:val="superscript"/>
        </w:rPr>
        <w:t>207</w:t>
      </w:r>
      <w:r w:rsidRPr="009F5D8C">
        <w:rPr>
          <w:color w:val="000000"/>
        </w:rPr>
        <w:t>Pb/</w:t>
      </w:r>
      <w:r w:rsidRPr="009F5D8C">
        <w:rPr>
          <w:color w:val="000000"/>
          <w:vertAlign w:val="superscript"/>
        </w:rPr>
        <w:t>206</w:t>
      </w:r>
      <w:r w:rsidRPr="009F5D8C">
        <w:rPr>
          <w:color w:val="000000"/>
        </w:rPr>
        <w:t xml:space="preserve">Pb is the standard error of the mean of the fractionation factor of </w:t>
      </w:r>
      <w:proofErr w:type="spellStart"/>
      <w:r w:rsidRPr="009F5D8C">
        <w:rPr>
          <w:color w:val="000000"/>
        </w:rPr>
        <w:t>Plešovice</w:t>
      </w:r>
      <w:proofErr w:type="spellEnd"/>
      <w:r w:rsidRPr="009F5D8C">
        <w:rPr>
          <w:color w:val="000000"/>
        </w:rPr>
        <w:t xml:space="preserve">. </w:t>
      </w:r>
      <w:r w:rsidRPr="009F5D8C">
        <w:t>These uncertainties are 0.5</w:t>
      </w:r>
      <w:r>
        <w:t>–</w:t>
      </w:r>
      <w:r w:rsidRPr="00407BC9">
        <w:t>0.7% (2</w:t>
      </w:r>
      <w:r w:rsidRPr="0021459B">
        <w:rPr>
          <w:rFonts w:ascii="Symbol" w:hAnsi="Symbol"/>
        </w:rPr>
        <w:t></w:t>
      </w:r>
      <w:r w:rsidRPr="00407BC9">
        <w:t xml:space="preserve">) for </w:t>
      </w:r>
      <w:r w:rsidRPr="00407BC9">
        <w:rPr>
          <w:vertAlign w:val="superscript"/>
        </w:rPr>
        <w:t>206</w:t>
      </w:r>
      <w:r w:rsidRPr="00407BC9">
        <w:t>Pb/</w:t>
      </w:r>
      <w:r w:rsidRPr="00407BC9">
        <w:rPr>
          <w:vertAlign w:val="superscript"/>
        </w:rPr>
        <w:t>238</w:t>
      </w:r>
      <w:r w:rsidRPr="00407BC9">
        <w:t>U and 0.4% (2</w:t>
      </w:r>
      <w:r w:rsidRPr="0021459B">
        <w:rPr>
          <w:rFonts w:ascii="Symbol" w:hAnsi="Symbol"/>
        </w:rPr>
        <w:t></w:t>
      </w:r>
      <w:r w:rsidRPr="00407BC9">
        <w:t xml:space="preserve">) for </w:t>
      </w:r>
      <w:r w:rsidRPr="00407BC9">
        <w:rPr>
          <w:vertAlign w:val="superscript"/>
        </w:rPr>
        <w:t>207</w:t>
      </w:r>
      <w:r w:rsidRPr="00407BC9">
        <w:t>Pb/</w:t>
      </w:r>
      <w:r w:rsidRPr="00407BC9">
        <w:rPr>
          <w:vertAlign w:val="superscript"/>
        </w:rPr>
        <w:t>206</w:t>
      </w:r>
      <w:r w:rsidRPr="00407BC9">
        <w:t xml:space="preserve">Pb. Age interpretations are based on </w:t>
      </w:r>
      <w:r w:rsidRPr="00407BC9">
        <w:rPr>
          <w:vertAlign w:val="superscript"/>
        </w:rPr>
        <w:t>206</w:t>
      </w:r>
      <w:r w:rsidRPr="00407BC9">
        <w:t>Pb/</w:t>
      </w:r>
      <w:r w:rsidRPr="00407BC9">
        <w:rPr>
          <w:vertAlign w:val="superscript"/>
        </w:rPr>
        <w:t>238</w:t>
      </w:r>
      <w:r w:rsidRPr="00407BC9">
        <w:t>U. Errors on dates are 2</w:t>
      </w:r>
      <w:r w:rsidRPr="0021459B">
        <w:rPr>
          <w:rFonts w:ascii="Symbol" w:hAnsi="Symbol"/>
        </w:rPr>
        <w:t></w:t>
      </w:r>
      <w:r w:rsidRPr="00407BC9">
        <w:t>.</w:t>
      </w:r>
    </w:p>
    <w:p w14:paraId="7E0A8BE4" w14:textId="77777777" w:rsidR="00BA5048" w:rsidRPr="00513609" w:rsidRDefault="00BA5048" w:rsidP="00BA5048">
      <w:pPr>
        <w:pStyle w:val="Heading2"/>
        <w:spacing w:line="480" w:lineRule="auto"/>
        <w:rPr>
          <w:b w:val="0"/>
        </w:rPr>
      </w:pPr>
      <w:r w:rsidRPr="00513609">
        <w:rPr>
          <w:b w:val="0"/>
        </w:rPr>
        <w:lastRenderedPageBreak/>
        <w:t>CA-TIMS</w:t>
      </w:r>
    </w:p>
    <w:p w14:paraId="75A5AD06" w14:textId="0417A460" w:rsidR="00BA5048" w:rsidRPr="009F5D8C" w:rsidRDefault="00BA5048" w:rsidP="00BA5048">
      <w:pPr>
        <w:spacing w:line="480" w:lineRule="auto"/>
        <w:rPr>
          <w:lang w:val="en-US"/>
        </w:rPr>
      </w:pPr>
      <w:r w:rsidRPr="00407BC9">
        <w:rPr>
          <w:lang w:val="en-US"/>
        </w:rPr>
        <w:t>U</w:t>
      </w:r>
      <w:r>
        <w:rPr>
          <w:lang w:val="en-US"/>
        </w:rPr>
        <w:t>–</w:t>
      </w:r>
      <w:r w:rsidRPr="00407BC9">
        <w:rPr>
          <w:lang w:val="en-US"/>
        </w:rPr>
        <w:t xml:space="preserve">Pb dates were obtained by the chemical abrasion isotope dilution thermal ionization mass spectrometry (CA-TIMS) method from analyses composed of single zircon grains or fragments of grains (Table </w:t>
      </w:r>
      <w:r>
        <w:rPr>
          <w:lang w:val="en-US"/>
        </w:rPr>
        <w:t>S2</w:t>
      </w:r>
      <w:r w:rsidR="00C4156D">
        <w:rPr>
          <w:lang w:val="en-US"/>
        </w:rPr>
        <w:t xml:space="preserve"> &amp; Figure S1</w:t>
      </w:r>
      <w:r w:rsidRPr="00407BC9">
        <w:rPr>
          <w:lang w:val="en-US"/>
        </w:rPr>
        <w:t>), modified after</w:t>
      </w:r>
      <w:r w:rsidR="005A6EB7">
        <w:rPr>
          <w:lang w:val="en-US"/>
        </w:rPr>
        <w:t xml:space="preserve"> </w:t>
      </w:r>
      <w:proofErr w:type="spellStart"/>
      <w:r w:rsidR="005A6EB7">
        <w:rPr>
          <w:lang w:val="en-US"/>
        </w:rPr>
        <w:t>Mattinson</w:t>
      </w:r>
      <w:proofErr w:type="spellEnd"/>
      <w:r w:rsidR="005A6EB7">
        <w:rPr>
          <w:lang w:val="en-US"/>
        </w:rPr>
        <w:t xml:space="preserve"> et al.</w:t>
      </w:r>
      <w:r w:rsidR="005A6EB7">
        <w:rPr>
          <w:lang w:val="en-US"/>
        </w:rPr>
        <w:fldChar w:fldCharType="begin"/>
      </w:r>
      <w:r w:rsidR="005A6EB7">
        <w:rPr>
          <w:lang w:val="en-US"/>
        </w:rPr>
        <w:instrText xml:space="preserve"> ADDIN EN.CITE &lt;EndNote&gt;&lt;Cite&gt;&lt;Author&gt;Mattinson&lt;/Author&gt;&lt;Year&gt;2005&lt;/Year&gt;&lt;RecNum&gt;60&lt;/RecNum&gt;&lt;DisplayText&gt;&lt;style face="superscript"&gt;4&lt;/style&gt;&lt;/DisplayText&gt;&lt;record&gt;&lt;rec-number&gt;60&lt;/rec-number&gt;&lt;foreign-keys&gt;&lt;key app="EN" db-id="epdfw2r9qt2dr1ep59j5sss0pr0vapa9rsfd" timestamp="1603165214"&gt;60&lt;/key&gt;&lt;/foreign-keys&gt;&lt;ref-type name="Journal Article"&gt;17&lt;/ref-type&gt;&lt;contributors&gt;&lt;authors&gt;&lt;author&gt;Mattinson, J. M.&lt;/author&gt;&lt;/authors&gt;&lt;/contributors&gt;&lt;titles&gt;&lt;title&gt;Zircon U–Pb chemical abrasion (“CA-TIMS”) method: Combined annealing and multi-step partial dissolution analysis for improved precision and accuracy of zircon ages&lt;/title&gt;&lt;secondary-title&gt;Chemical Geology&lt;/secondary-title&gt;&lt;/titles&gt;&lt;periodical&gt;&lt;full-title&gt;Chemical Geology&lt;/full-title&gt;&lt;/periodical&gt;&lt;pages&gt;47–66&lt;/pages&gt;&lt;volume&gt;220&lt;/volume&gt;&lt;number&gt;1&lt;/number&gt;&lt;keywords&gt;&lt;keyword&gt;Geochronology, Zircon, U–Pb, Annealing, Chemical abrasion&lt;/keyword&gt;&lt;/keywords&gt;&lt;dates&gt;&lt;year&gt;2005&lt;/year&gt;&lt;/dates&gt;&lt;isbn&gt;0009-2541&lt;/isbn&gt;&lt;accession-num&gt;MATTINSON200547&lt;/accession-num&gt;&lt;urls&gt;&lt;related-urls&gt;&lt;url&gt;http://www.sciencedirect.com/science/article/pii/S0009254105001452&lt;/url&gt;&lt;/related-urls&gt;&lt;/urls&gt;&lt;electronic-resource-num&gt;https://doi.org/10.1016/j.chemgeo.2005.03.011&lt;/electronic-resource-num&gt;&lt;/record&gt;&lt;/Cite&gt;&lt;/EndNote&gt;</w:instrText>
      </w:r>
      <w:r w:rsidR="005A6EB7">
        <w:rPr>
          <w:lang w:val="en-US"/>
        </w:rPr>
        <w:fldChar w:fldCharType="separate"/>
      </w:r>
      <w:r w:rsidR="005A6EB7" w:rsidRPr="005A6EB7">
        <w:rPr>
          <w:noProof/>
          <w:vertAlign w:val="superscript"/>
          <w:lang w:val="en-US"/>
        </w:rPr>
        <w:t>4</w:t>
      </w:r>
      <w:r w:rsidR="005A6EB7">
        <w:rPr>
          <w:lang w:val="en-US"/>
        </w:rPr>
        <w:fldChar w:fldCharType="end"/>
      </w:r>
      <w:r w:rsidRPr="00407BC9">
        <w:rPr>
          <w:lang w:val="en-US"/>
        </w:rPr>
        <w:t xml:space="preserve">. </w:t>
      </w:r>
      <w:r w:rsidRPr="00407BC9">
        <w:t xml:space="preserve">Zircon was separated from rocks using standard techniques, </w:t>
      </w:r>
      <w:r w:rsidRPr="00407BC9">
        <w:rPr>
          <w:lang w:val="en-US"/>
        </w:rPr>
        <w:t xml:space="preserve">placed in a muffle furnace at 900°C for 60 hours in quartz beakers, </w:t>
      </w:r>
      <w:r w:rsidRPr="009F5D8C">
        <w:t>mounted in epoxy, and polished until the centr</w:t>
      </w:r>
      <w:r>
        <w:t>e</w:t>
      </w:r>
      <w:r w:rsidRPr="009F5D8C">
        <w:t xml:space="preserve">s of the grains were exposed. Cathodoluminescence (CL) images were obtained with a JEOL JSM-1300 scanning electron microscope and </w:t>
      </w:r>
      <w:proofErr w:type="spellStart"/>
      <w:r w:rsidRPr="009F5D8C">
        <w:t>Gatan</w:t>
      </w:r>
      <w:proofErr w:type="spellEnd"/>
      <w:r w:rsidRPr="009F5D8C">
        <w:t xml:space="preserve"> </w:t>
      </w:r>
      <w:proofErr w:type="spellStart"/>
      <w:r w:rsidRPr="009F5D8C">
        <w:t>MiniCL</w:t>
      </w:r>
      <w:proofErr w:type="spellEnd"/>
      <w:r w:rsidR="00C4156D">
        <w:t xml:space="preserve"> (Figure S2 &amp; S3)</w:t>
      </w:r>
      <w:r w:rsidRPr="009F5D8C">
        <w:t xml:space="preserve">. </w:t>
      </w:r>
      <w:r w:rsidRPr="009F5D8C">
        <w:rPr>
          <w:lang w:val="en-US"/>
        </w:rPr>
        <w:t xml:space="preserve">Zircon was removed from the epoxy mounts for dating based on CL images for eight samples and based on LA-ICPMS dates from three samples. </w:t>
      </w:r>
    </w:p>
    <w:p w14:paraId="6FEBC17A" w14:textId="44607F7F" w:rsidR="00BA5048" w:rsidRPr="00407BC9" w:rsidRDefault="00BA5048" w:rsidP="00BA5048">
      <w:pPr>
        <w:pStyle w:val="BodyText"/>
        <w:spacing w:after="0" w:line="480" w:lineRule="auto"/>
        <w:rPr>
          <w:lang w:val="en-US"/>
        </w:rPr>
      </w:pPr>
      <w:r>
        <w:rPr>
          <w:lang w:val="en-US"/>
        </w:rPr>
        <w:tab/>
      </w:r>
      <w:r w:rsidRPr="00407BC9">
        <w:rPr>
          <w:lang w:val="en-US"/>
        </w:rPr>
        <w:t xml:space="preserve">Zircon was put into 3 ml Teflon PFA beakers and loaded into 300 </w:t>
      </w:r>
      <w:r>
        <w:rPr>
          <w:rFonts w:ascii="Symbol" w:hAnsi="Symbol"/>
          <w:lang w:val="en-US"/>
        </w:rPr>
        <w:t></w:t>
      </w:r>
      <w:r w:rsidRPr="00407BC9">
        <w:rPr>
          <w:lang w:val="en-US"/>
        </w:rPr>
        <w:t xml:space="preserve">l Teflon PFA microcapsules. Fifteen microcapsules were placed in a large-capacity Parr vessel and the zircon partially dissolved in 120 </w:t>
      </w:r>
      <w:r>
        <w:rPr>
          <w:rFonts w:ascii="Symbol" w:hAnsi="Symbol"/>
          <w:lang w:val="en-US"/>
        </w:rPr>
        <w:t></w:t>
      </w:r>
      <w:r w:rsidRPr="00407BC9">
        <w:rPr>
          <w:lang w:val="en-US"/>
        </w:rPr>
        <w:t>l of 29 M HF for 12 hours at 190°C. Zircon was returned to 3 ml Teflon PFA beakers, HF was removed, and zircon was immersed in 3.5 M HNO</w:t>
      </w:r>
      <w:r w:rsidRPr="00407BC9">
        <w:rPr>
          <w:vertAlign w:val="subscript"/>
          <w:lang w:val="en-US"/>
        </w:rPr>
        <w:t>3</w:t>
      </w:r>
      <w:r w:rsidRPr="00407BC9">
        <w:rPr>
          <w:lang w:val="en-US"/>
        </w:rPr>
        <w:t>, ultrasonically cleaned for an hour, and fluxed on a hotplate at 80°C for an hour. The HNO</w:t>
      </w:r>
      <w:r w:rsidRPr="00407BC9">
        <w:rPr>
          <w:vertAlign w:val="subscript"/>
          <w:lang w:val="en-US"/>
        </w:rPr>
        <w:t>3</w:t>
      </w:r>
      <w:r w:rsidRPr="00407BC9">
        <w:rPr>
          <w:lang w:val="en-US"/>
        </w:rPr>
        <w:t xml:space="preserve"> was </w:t>
      </w:r>
      <w:proofErr w:type="gramStart"/>
      <w:r w:rsidRPr="00407BC9">
        <w:rPr>
          <w:lang w:val="en-US"/>
        </w:rPr>
        <w:t>removed</w:t>
      </w:r>
      <w:proofErr w:type="gramEnd"/>
      <w:r w:rsidRPr="00407BC9">
        <w:rPr>
          <w:lang w:val="en-US"/>
        </w:rPr>
        <w:t xml:space="preserve"> and zircon was rinsed twice in ultrapure H</w:t>
      </w:r>
      <w:r w:rsidRPr="00407BC9">
        <w:rPr>
          <w:vertAlign w:val="subscript"/>
          <w:lang w:val="en-US"/>
        </w:rPr>
        <w:t>2</w:t>
      </w:r>
      <w:r w:rsidRPr="00407BC9">
        <w:rPr>
          <w:lang w:val="en-US"/>
        </w:rPr>
        <w:t xml:space="preserve">O before being reloaded into the 300 </w:t>
      </w:r>
      <w:r>
        <w:rPr>
          <w:rFonts w:ascii="Symbol" w:hAnsi="Symbol"/>
          <w:lang w:val="en-US"/>
        </w:rPr>
        <w:t></w:t>
      </w:r>
      <w:r w:rsidRPr="00407BC9">
        <w:rPr>
          <w:lang w:val="en-US"/>
        </w:rPr>
        <w:t xml:space="preserve">l Teflon PFA microcapsules (rinsed and fluxed in 6 M HCl during sonication and washing of the zircon) and spiked with the EARTHTIME mixed </w:t>
      </w:r>
      <w:r w:rsidRPr="00407BC9">
        <w:rPr>
          <w:vertAlign w:val="superscript"/>
          <w:lang w:val="en-US"/>
        </w:rPr>
        <w:t>233</w:t>
      </w:r>
      <w:r w:rsidRPr="00407BC9">
        <w:rPr>
          <w:lang w:val="en-US"/>
        </w:rPr>
        <w:t>U</w:t>
      </w:r>
      <w:r>
        <w:rPr>
          <w:lang w:val="en-US"/>
        </w:rPr>
        <w:t>–</w:t>
      </w:r>
      <w:r w:rsidRPr="00407BC9">
        <w:rPr>
          <w:vertAlign w:val="superscript"/>
          <w:lang w:val="en-US"/>
        </w:rPr>
        <w:t>235</w:t>
      </w:r>
      <w:r w:rsidRPr="00407BC9">
        <w:rPr>
          <w:lang w:val="en-US"/>
        </w:rPr>
        <w:t>U</w:t>
      </w:r>
      <w:r>
        <w:rPr>
          <w:lang w:val="en-US"/>
        </w:rPr>
        <w:t>–</w:t>
      </w:r>
      <w:r w:rsidRPr="00407BC9">
        <w:rPr>
          <w:vertAlign w:val="superscript"/>
          <w:lang w:val="en-US"/>
        </w:rPr>
        <w:t>205</w:t>
      </w:r>
      <w:r w:rsidRPr="00407BC9">
        <w:rPr>
          <w:lang w:val="en-US"/>
        </w:rPr>
        <w:t xml:space="preserve">Pb tracer solution or EARTHTIME mixed </w:t>
      </w:r>
      <w:r w:rsidRPr="00407BC9">
        <w:rPr>
          <w:vertAlign w:val="superscript"/>
          <w:lang w:val="en-US"/>
        </w:rPr>
        <w:t>233</w:t>
      </w:r>
      <w:r w:rsidRPr="00407BC9">
        <w:rPr>
          <w:lang w:val="en-US"/>
        </w:rPr>
        <w:t>U</w:t>
      </w:r>
      <w:r>
        <w:rPr>
          <w:lang w:val="en-US"/>
        </w:rPr>
        <w:t>–</w:t>
      </w:r>
      <w:r w:rsidRPr="00407BC9">
        <w:rPr>
          <w:vertAlign w:val="superscript"/>
          <w:lang w:val="en-US"/>
        </w:rPr>
        <w:t>235</w:t>
      </w:r>
      <w:r w:rsidRPr="00407BC9">
        <w:rPr>
          <w:lang w:val="en-US"/>
        </w:rPr>
        <w:t>U</w:t>
      </w:r>
      <w:r>
        <w:rPr>
          <w:lang w:val="en-US"/>
        </w:rPr>
        <w:t>–</w:t>
      </w:r>
      <w:r w:rsidRPr="00407BC9">
        <w:rPr>
          <w:vertAlign w:val="superscript"/>
          <w:lang w:val="en-US"/>
        </w:rPr>
        <w:t>202</w:t>
      </w:r>
      <w:r w:rsidRPr="00407BC9">
        <w:rPr>
          <w:lang w:val="en-US"/>
        </w:rPr>
        <w:t>Pb-</w:t>
      </w:r>
      <w:r>
        <w:rPr>
          <w:lang w:val="en-US"/>
        </w:rPr>
        <w:t>–</w:t>
      </w:r>
      <w:r w:rsidRPr="00407BC9">
        <w:rPr>
          <w:vertAlign w:val="superscript"/>
          <w:lang w:val="en-US"/>
        </w:rPr>
        <w:t>205</w:t>
      </w:r>
      <w:r w:rsidRPr="00407BC9">
        <w:rPr>
          <w:lang w:val="en-US"/>
        </w:rPr>
        <w:t xml:space="preserve">Pb tracer solution or Boise State University BSU-1B mixed </w:t>
      </w:r>
      <w:r w:rsidRPr="00407BC9">
        <w:rPr>
          <w:vertAlign w:val="superscript"/>
          <w:lang w:val="en-US"/>
        </w:rPr>
        <w:t>233</w:t>
      </w:r>
      <w:r w:rsidRPr="00407BC9">
        <w:rPr>
          <w:lang w:val="en-US"/>
        </w:rPr>
        <w:t>U</w:t>
      </w:r>
      <w:r>
        <w:rPr>
          <w:lang w:val="en-US"/>
        </w:rPr>
        <w:t>–</w:t>
      </w:r>
      <w:r w:rsidRPr="00407BC9">
        <w:rPr>
          <w:vertAlign w:val="superscript"/>
          <w:lang w:val="en-US"/>
        </w:rPr>
        <w:t>235</w:t>
      </w:r>
      <w:r w:rsidRPr="00407BC9">
        <w:rPr>
          <w:lang w:val="en-US"/>
        </w:rPr>
        <w:t>U</w:t>
      </w:r>
      <w:r>
        <w:rPr>
          <w:lang w:val="en-US"/>
        </w:rPr>
        <w:t>–</w:t>
      </w:r>
      <w:r w:rsidRPr="00407BC9">
        <w:rPr>
          <w:vertAlign w:val="superscript"/>
          <w:lang w:val="en-US"/>
        </w:rPr>
        <w:t>205</w:t>
      </w:r>
      <w:r w:rsidRPr="00407BC9">
        <w:rPr>
          <w:lang w:val="en-US"/>
        </w:rPr>
        <w:t xml:space="preserve">Pb tracer solution. Zircon was dissolved in Parr vessels in 120 </w:t>
      </w:r>
      <w:r>
        <w:rPr>
          <w:rFonts w:ascii="Symbol" w:hAnsi="Symbol"/>
          <w:lang w:val="en-US"/>
        </w:rPr>
        <w:t></w:t>
      </w:r>
      <w:r w:rsidRPr="00407BC9">
        <w:rPr>
          <w:lang w:val="en-US"/>
        </w:rPr>
        <w:t>l of 29 M HF with a trace of 3.5 M HNO</w:t>
      </w:r>
      <w:r w:rsidRPr="00407BC9">
        <w:rPr>
          <w:vertAlign w:val="subscript"/>
          <w:lang w:val="en-US"/>
        </w:rPr>
        <w:t>3</w:t>
      </w:r>
      <w:r w:rsidRPr="00407BC9">
        <w:rPr>
          <w:sz w:val="13"/>
          <w:szCs w:val="13"/>
          <w:lang w:val="en-US"/>
        </w:rPr>
        <w:t xml:space="preserve"> </w:t>
      </w:r>
      <w:r w:rsidRPr="00407BC9">
        <w:rPr>
          <w:lang w:val="en-US"/>
        </w:rPr>
        <w:t>at 220°C for 48 hours, dried to fluorides, and re-dissolved in 6 M HCl at 180°C overnight. U and Pb were separated from the zircon matrix using an HCl-based anion-exchange chromatographic procedure</w:t>
      </w:r>
      <w:r w:rsidR="005A6EB7">
        <w:rPr>
          <w:lang w:val="en-US"/>
        </w:rPr>
        <w:fldChar w:fldCharType="begin"/>
      </w:r>
      <w:r w:rsidR="005A6EB7">
        <w:rPr>
          <w:lang w:val="en-US"/>
        </w:rPr>
        <w:instrText xml:space="preserve"> ADDIN EN.CITE &lt;EndNote&gt;&lt;Cite&gt;&lt;Author&gt;Krogh&lt;/Author&gt;&lt;Year&gt;2005&lt;/Year&gt;&lt;RecNum&gt;59&lt;/RecNum&gt;&lt;DisplayText&gt;&lt;style face="superscript"&gt;5&lt;/style&gt;&lt;/DisplayText&gt;&lt;record&gt;&lt;rec-number&gt;59&lt;/rec-number&gt;&lt;foreign-keys&gt;&lt;key app="EN" db-id="epdfw2r9qt2dr1ep59j5sss0pr0vapa9rsfd" timestamp="1603164952"&gt;59&lt;/key&gt;&lt;/foreign-keys&gt;&lt;ref-type name="Journal Article"&gt;17&lt;/ref-type&gt;&lt;contributors&gt;&lt;authors&gt;&lt;author&gt;Krogh, T. E.&lt;/author&gt;&lt;/authors&gt;&lt;/contributors&gt;&lt;titles&gt;&lt;title&gt;Zircon U–Pb chemical abrasion (“CA-TIMS”) method: Combined annealing and multi-step partial dissolution analysis for improved precision and accuracy of zircon ages&lt;/title&gt;&lt;secondary-title&gt;Chemical Geology&lt;/secondary-title&gt;&lt;/titles&gt;&lt;periodical&gt;&lt;full-title&gt;Chemical Geology&lt;/full-title&gt;&lt;/periodical&gt;&lt;pages&gt;47–66&lt;/pages&gt;&lt;volume&gt;220&lt;/volume&gt;&lt;number&gt;1&lt;/number&gt;&lt;keywords&gt;&lt;keyword&gt;Geochronology, Zircon, U–Pb, Annealing, Chemical abrasion&lt;/keyword&gt;&lt;/keywords&gt;&lt;dates&gt;&lt;year&gt;2005&lt;/year&gt;&lt;/dates&gt;&lt;isbn&gt;0009-2541&lt;/isbn&gt;&lt;accession-num&gt;MATTINSON200547&lt;/accession-num&gt;&lt;urls&gt;&lt;related-urls&gt;&lt;url&gt;http://www.sciencedirect.com/science/article/pii/S0009254105001452&lt;/url&gt;&lt;/related-urls&gt;&lt;/urls&gt;&lt;electronic-resource-num&gt;https://doi.org/10.1016/j.chemgeo.2005.03.011&lt;/electronic-resource-num&gt;&lt;/record&gt;&lt;/Cite&gt;&lt;/EndNote&gt;</w:instrText>
      </w:r>
      <w:r w:rsidR="005A6EB7">
        <w:rPr>
          <w:lang w:val="en-US"/>
        </w:rPr>
        <w:fldChar w:fldCharType="separate"/>
      </w:r>
      <w:r w:rsidR="005A6EB7" w:rsidRPr="005A6EB7">
        <w:rPr>
          <w:noProof/>
          <w:vertAlign w:val="superscript"/>
          <w:lang w:val="en-US"/>
        </w:rPr>
        <w:t>5</w:t>
      </w:r>
      <w:r w:rsidR="005A6EB7">
        <w:rPr>
          <w:lang w:val="en-US"/>
        </w:rPr>
        <w:fldChar w:fldCharType="end"/>
      </w:r>
      <w:r w:rsidRPr="00407BC9">
        <w:rPr>
          <w:lang w:val="en-US"/>
        </w:rPr>
        <w:t>, eluted together and dried with 2 µl of 0.05 N H</w:t>
      </w:r>
      <w:r w:rsidRPr="00407BC9">
        <w:rPr>
          <w:vertAlign w:val="subscript"/>
          <w:lang w:val="en-US"/>
        </w:rPr>
        <w:t>3</w:t>
      </w:r>
      <w:r w:rsidRPr="00407BC9">
        <w:rPr>
          <w:lang w:val="en-US"/>
        </w:rPr>
        <w:t>PO</w:t>
      </w:r>
      <w:r w:rsidRPr="00407BC9">
        <w:rPr>
          <w:vertAlign w:val="subscript"/>
          <w:lang w:val="en-US"/>
        </w:rPr>
        <w:t>4</w:t>
      </w:r>
      <w:r w:rsidRPr="00407BC9">
        <w:rPr>
          <w:lang w:val="en-US"/>
        </w:rPr>
        <w:t>.</w:t>
      </w:r>
    </w:p>
    <w:p w14:paraId="426A60BA" w14:textId="1D1AC94B" w:rsidR="00BA5048" w:rsidRPr="00513609" w:rsidRDefault="00BA5048" w:rsidP="00BA5048">
      <w:pPr>
        <w:pStyle w:val="BodyText"/>
        <w:spacing w:after="0" w:line="480" w:lineRule="auto"/>
        <w:rPr>
          <w:lang w:val="en-US"/>
        </w:rPr>
      </w:pPr>
      <w:r>
        <w:rPr>
          <w:lang w:val="en-US"/>
        </w:rPr>
        <w:lastRenderedPageBreak/>
        <w:tab/>
      </w:r>
      <w:r w:rsidRPr="00407BC9">
        <w:rPr>
          <w:lang w:val="en-US"/>
        </w:rPr>
        <w:t>Pb and U were loaded on a single outgassed Re filament in 5 µl of a silica-gel/phosphoric acid mixture</w:t>
      </w:r>
      <w:r w:rsidR="005A6EB7">
        <w:rPr>
          <w:lang w:val="en-US"/>
        </w:rPr>
        <w:fldChar w:fldCharType="begin"/>
      </w:r>
      <w:r w:rsidR="005A6EB7">
        <w:rPr>
          <w:lang w:val="en-US"/>
        </w:rPr>
        <w:instrText xml:space="preserve"> ADDIN EN.CITE &lt;EndNote&gt;&lt;Cite&gt;&lt;Author&gt;Gerstenberger&lt;/Author&gt;&lt;Year&gt;1997&lt;/Year&gt;&lt;RecNum&gt;61&lt;/RecNum&gt;&lt;DisplayText&gt;&lt;style face="superscript"&gt;6&lt;/style&gt;&lt;/DisplayText&gt;&lt;record&gt;&lt;rec-number&gt;61&lt;/rec-number&gt;&lt;foreign-keys&gt;&lt;key app="EN" db-id="epdfw2r9qt2dr1ep59j5sss0pr0vapa9rsfd" timestamp="1603165390"&gt;61&lt;/key&gt;&lt;/foreign-keys&gt;&lt;ref-type name="Journal Article"&gt;17&lt;/ref-type&gt;&lt;contributors&gt;&lt;authors&gt;&lt;author&gt;Gerstenberger, H.&lt;/author&gt;&lt;author&gt;Haase, G.&lt;/author&gt;&lt;/authors&gt;&lt;/contributors&gt;&lt;titles&gt;&lt;title&gt;A highly effective emitter substance for mass spectrometric Pb isotope ratio determinations&lt;/title&gt;&lt;secondary-title&gt;Chemical Geology&lt;/secondary-title&gt;&lt;/titles&gt;&lt;periodical&gt;&lt;full-title&gt;Chemical Geology&lt;/full-title&gt;&lt;/periodical&gt;&lt;pages&gt;309–312&lt;/pages&gt;&lt;volume&gt;136&lt;/volume&gt;&lt;number&gt;3&lt;/number&gt;&lt;keywords&gt;&lt;keyword&gt;Isotope ratios&lt;/keyword&gt;&lt;keyword&gt;Lead isotope&lt;/keyword&gt;&lt;keyword&gt;Methods&lt;/keyword&gt;&lt;keyword&gt;Mass spectrometry&lt;/keyword&gt;&lt;keyword&gt;Uranium isotopes&lt;/keyword&gt;&lt;/keywords&gt;&lt;dates&gt;&lt;year&gt;1997&lt;/year&gt;&lt;pub-dates&gt;&lt;date&gt;1997/04/25/&lt;/date&gt;&lt;/pub-dates&gt;&lt;/dates&gt;&lt;isbn&gt;0009-2541&lt;/isbn&gt;&lt;urls&gt;&lt;related-urls&gt;&lt;url&gt;http://www.sciencedirect.com/science/article/pii/S0009254196000332&lt;/url&gt;&lt;/related-urls&gt;&lt;/urls&gt;&lt;electronic-resource-num&gt;https://doi.org/10.1016/S0009-2541(96)00033-2&lt;/electronic-resource-num&gt;&lt;/record&gt;&lt;/Cite&gt;&lt;/EndNote&gt;</w:instrText>
      </w:r>
      <w:r w:rsidR="005A6EB7">
        <w:rPr>
          <w:lang w:val="en-US"/>
        </w:rPr>
        <w:fldChar w:fldCharType="separate"/>
      </w:r>
      <w:r w:rsidR="005A6EB7" w:rsidRPr="005A6EB7">
        <w:rPr>
          <w:noProof/>
          <w:vertAlign w:val="superscript"/>
          <w:lang w:val="en-US"/>
        </w:rPr>
        <w:t>6</w:t>
      </w:r>
      <w:r w:rsidR="005A6EB7">
        <w:rPr>
          <w:lang w:val="en-US"/>
        </w:rPr>
        <w:fldChar w:fldCharType="end"/>
      </w:r>
      <w:r w:rsidRPr="00407BC9">
        <w:rPr>
          <w:lang w:val="en-US"/>
        </w:rPr>
        <w:t xml:space="preserve">, and U and Pb isotopic measurements made on a GV </w:t>
      </w:r>
      <w:proofErr w:type="spellStart"/>
      <w:r w:rsidRPr="00407BC9">
        <w:rPr>
          <w:lang w:val="en-US"/>
        </w:rPr>
        <w:t>Isoprobe</w:t>
      </w:r>
      <w:proofErr w:type="spellEnd"/>
      <w:r w:rsidRPr="00407BC9">
        <w:rPr>
          <w:lang w:val="en-US"/>
        </w:rPr>
        <w:t xml:space="preserve">-T </w:t>
      </w:r>
      <w:proofErr w:type="spellStart"/>
      <w:r w:rsidRPr="00407BC9">
        <w:rPr>
          <w:lang w:val="en-US"/>
        </w:rPr>
        <w:t>multicollector</w:t>
      </w:r>
      <w:proofErr w:type="spellEnd"/>
      <w:r w:rsidRPr="00407BC9">
        <w:rPr>
          <w:lang w:val="en-US"/>
        </w:rPr>
        <w:t xml:space="preserve"> thermal ionization mass spectrometer equipped with an </w:t>
      </w:r>
      <w:proofErr w:type="spellStart"/>
      <w:r w:rsidRPr="00407BC9">
        <w:rPr>
          <w:lang w:val="en-US"/>
        </w:rPr>
        <w:t>ion</w:t>
      </w:r>
      <w:proofErr w:type="spellEnd"/>
      <w:r w:rsidRPr="00407BC9">
        <w:rPr>
          <w:lang w:val="en-US"/>
        </w:rPr>
        <w:t xml:space="preserve">-counting Daly detector. Pb isotopes were measured by peak-jumping all isotopes on the Daly detector for 100 to 160 </w:t>
      </w:r>
      <w:r w:rsidR="00F14FB7" w:rsidRPr="00407BC9">
        <w:rPr>
          <w:lang w:val="en-US"/>
        </w:rPr>
        <w:t>cycles and</w:t>
      </w:r>
      <w:r w:rsidRPr="00407BC9">
        <w:rPr>
          <w:lang w:val="en-US"/>
        </w:rPr>
        <w:t xml:space="preserve"> corrected for 0.16 ± 0.03%/</w:t>
      </w:r>
      <w:proofErr w:type="spellStart"/>
      <w:r w:rsidRPr="00407BC9">
        <w:rPr>
          <w:lang w:val="en-US"/>
        </w:rPr>
        <w:t>a.m.u.</w:t>
      </w:r>
      <w:proofErr w:type="spellEnd"/>
      <w:r w:rsidRPr="00407BC9">
        <w:rPr>
          <w:lang w:val="en-US"/>
        </w:rPr>
        <w:t xml:space="preserve"> (1</w:t>
      </w:r>
      <w:r w:rsidRPr="0021459B">
        <w:rPr>
          <w:rFonts w:ascii="Symbol" w:hAnsi="Symbol"/>
        </w:rPr>
        <w:t></w:t>
      </w:r>
      <w:r>
        <w:rPr>
          <w:rFonts w:ascii="Symbol" w:hAnsi="Symbol"/>
        </w:rPr>
        <w:t></w:t>
      </w:r>
      <w:r w:rsidRPr="00407BC9">
        <w:rPr>
          <w:lang w:val="en-US"/>
        </w:rPr>
        <w:t xml:space="preserve">error) mass fractionation. </w:t>
      </w:r>
      <w:r w:rsidRPr="009F5D8C">
        <w:rPr>
          <w:lang w:val="en-US"/>
        </w:rPr>
        <w:t xml:space="preserve">Transitory isobaric interferences due to high-molecular weight organics, particularly on </w:t>
      </w:r>
      <w:r w:rsidRPr="009F5D8C">
        <w:rPr>
          <w:vertAlign w:val="superscript"/>
          <w:lang w:val="en-US"/>
        </w:rPr>
        <w:t>204</w:t>
      </w:r>
      <w:r w:rsidRPr="009F5D8C">
        <w:rPr>
          <w:lang w:val="en-US"/>
        </w:rPr>
        <w:t xml:space="preserve">Pb and </w:t>
      </w:r>
      <w:r w:rsidRPr="009F5D8C">
        <w:rPr>
          <w:vertAlign w:val="superscript"/>
          <w:lang w:val="en-US"/>
        </w:rPr>
        <w:t>207</w:t>
      </w:r>
      <w:r w:rsidRPr="009F5D8C">
        <w:rPr>
          <w:lang w:val="en-US"/>
        </w:rPr>
        <w:t>Pb, disappeared within approximately 60 cycles, while ionization efficiency averaged 10</w:t>
      </w:r>
      <w:r w:rsidRPr="009F5D8C">
        <w:rPr>
          <w:vertAlign w:val="superscript"/>
          <w:lang w:val="en-US"/>
        </w:rPr>
        <w:t>4</w:t>
      </w:r>
      <w:r w:rsidRPr="009F5D8C">
        <w:rPr>
          <w:lang w:val="en-US"/>
        </w:rPr>
        <w:t xml:space="preserve"> cps/</w:t>
      </w:r>
      <w:proofErr w:type="spellStart"/>
      <w:r w:rsidRPr="009F5D8C">
        <w:rPr>
          <w:lang w:val="en-US"/>
        </w:rPr>
        <w:t>pg</w:t>
      </w:r>
      <w:proofErr w:type="spellEnd"/>
      <w:r w:rsidRPr="009F5D8C">
        <w:rPr>
          <w:lang w:val="en-US"/>
        </w:rPr>
        <w:t xml:space="preserve"> of each Pb isotope. Linearity (to ≥1.4 x 10</w:t>
      </w:r>
      <w:r w:rsidRPr="009F5D8C">
        <w:rPr>
          <w:vertAlign w:val="superscript"/>
          <w:lang w:val="en-US"/>
        </w:rPr>
        <w:t>6</w:t>
      </w:r>
      <w:r w:rsidRPr="009F5D8C">
        <w:rPr>
          <w:lang w:val="en-US"/>
        </w:rPr>
        <w:t xml:space="preserve"> cps) and the associated deadtime correction of the Daly detector were monitored by repeated analyses of </w:t>
      </w:r>
      <w:proofErr w:type="gramStart"/>
      <w:r w:rsidRPr="009F5D8C">
        <w:rPr>
          <w:lang w:val="en-US"/>
        </w:rPr>
        <w:t>NBS982, and</w:t>
      </w:r>
      <w:proofErr w:type="gramEnd"/>
      <w:r w:rsidRPr="009F5D8C">
        <w:rPr>
          <w:lang w:val="en-US"/>
        </w:rPr>
        <w:t xml:space="preserve"> have been constant since installation. Uranium was analyzed as UO</w:t>
      </w:r>
      <w:r w:rsidRPr="009F5D8C">
        <w:rPr>
          <w:vertAlign w:val="subscript"/>
          <w:lang w:val="en-US"/>
        </w:rPr>
        <w:t>2</w:t>
      </w:r>
      <w:r w:rsidRPr="009F5D8C">
        <w:rPr>
          <w:vertAlign w:val="superscript"/>
          <w:lang w:val="en-US"/>
        </w:rPr>
        <w:t>+</w:t>
      </w:r>
      <w:r w:rsidRPr="009F5D8C">
        <w:rPr>
          <w:lang w:val="en-US"/>
        </w:rPr>
        <w:t xml:space="preserve"> ions in static Faraday mode on </w:t>
      </w:r>
      <w:proofErr w:type="gramStart"/>
      <w:r w:rsidRPr="009F5D8C">
        <w:rPr>
          <w:lang w:val="en-US"/>
        </w:rPr>
        <w:t>10</w:t>
      </w:r>
      <w:r w:rsidRPr="009F5D8C">
        <w:rPr>
          <w:vertAlign w:val="superscript"/>
          <w:lang w:val="en-US"/>
        </w:rPr>
        <w:t>12</w:t>
      </w:r>
      <w:r>
        <w:rPr>
          <w:lang w:val="en-US"/>
        </w:rPr>
        <w:t> </w:t>
      </w:r>
      <w:r w:rsidRPr="009F5D8C">
        <w:rPr>
          <w:lang w:val="en-US"/>
        </w:rPr>
        <w:t>ohm</w:t>
      </w:r>
      <w:proofErr w:type="gramEnd"/>
      <w:r w:rsidRPr="009F5D8C">
        <w:rPr>
          <w:lang w:val="en-US"/>
        </w:rPr>
        <w:t xml:space="preserve"> resistors for 300 cycles, and corrected for isobaric interference of </w:t>
      </w:r>
      <w:r w:rsidRPr="009F5D8C">
        <w:rPr>
          <w:vertAlign w:val="superscript"/>
          <w:lang w:val="en-US"/>
        </w:rPr>
        <w:t>233</w:t>
      </w:r>
      <w:r w:rsidRPr="009F5D8C">
        <w:rPr>
          <w:lang w:val="en-US"/>
        </w:rPr>
        <w:t>U</w:t>
      </w:r>
      <w:r w:rsidRPr="009F5D8C">
        <w:rPr>
          <w:vertAlign w:val="superscript"/>
          <w:lang w:val="en-US"/>
        </w:rPr>
        <w:t>18</w:t>
      </w:r>
      <w:r w:rsidRPr="009F5D8C">
        <w:rPr>
          <w:lang w:val="en-US"/>
        </w:rPr>
        <w:t>O</w:t>
      </w:r>
      <w:r w:rsidRPr="009F5D8C">
        <w:rPr>
          <w:vertAlign w:val="superscript"/>
          <w:lang w:val="en-US"/>
        </w:rPr>
        <w:t>16</w:t>
      </w:r>
      <w:r w:rsidRPr="009F5D8C">
        <w:rPr>
          <w:lang w:val="en-US"/>
        </w:rPr>
        <w:t xml:space="preserve">O on </w:t>
      </w:r>
      <w:r w:rsidRPr="00513609">
        <w:rPr>
          <w:vertAlign w:val="superscript"/>
          <w:lang w:val="en-US"/>
        </w:rPr>
        <w:t>235</w:t>
      </w:r>
      <w:r w:rsidRPr="00513609">
        <w:rPr>
          <w:lang w:val="en-US"/>
        </w:rPr>
        <w:t>U</w:t>
      </w:r>
      <w:r w:rsidRPr="00513609">
        <w:rPr>
          <w:vertAlign w:val="superscript"/>
          <w:lang w:val="en-US"/>
        </w:rPr>
        <w:t>16</w:t>
      </w:r>
      <w:r w:rsidRPr="00513609">
        <w:rPr>
          <w:lang w:val="en-US"/>
        </w:rPr>
        <w:t>O</w:t>
      </w:r>
      <w:r w:rsidRPr="00513609">
        <w:rPr>
          <w:vertAlign w:val="superscript"/>
          <w:lang w:val="en-US"/>
        </w:rPr>
        <w:t>16</w:t>
      </w:r>
      <w:r w:rsidRPr="00513609">
        <w:rPr>
          <w:lang w:val="en-US"/>
        </w:rPr>
        <w:t xml:space="preserve">O with an </w:t>
      </w:r>
      <w:r w:rsidRPr="00513609">
        <w:rPr>
          <w:vertAlign w:val="superscript"/>
          <w:lang w:val="en-US"/>
        </w:rPr>
        <w:t>18</w:t>
      </w:r>
      <w:r w:rsidRPr="00513609">
        <w:rPr>
          <w:lang w:val="en-US"/>
        </w:rPr>
        <w:t>O/</w:t>
      </w:r>
      <w:r w:rsidRPr="00513609">
        <w:rPr>
          <w:vertAlign w:val="superscript"/>
          <w:lang w:val="en-US"/>
        </w:rPr>
        <w:t>16</w:t>
      </w:r>
      <w:r w:rsidRPr="00513609">
        <w:rPr>
          <w:lang w:val="en-US"/>
        </w:rPr>
        <w:t xml:space="preserve">O of 0.00206. Ionization efficiency averaged 20 mV/ng of each U isotope. U mass fractionation was corrected using the known </w:t>
      </w:r>
      <w:r w:rsidRPr="00513609">
        <w:rPr>
          <w:vertAlign w:val="superscript"/>
          <w:lang w:val="en-US"/>
        </w:rPr>
        <w:t>233</w:t>
      </w:r>
      <w:r w:rsidRPr="00513609">
        <w:rPr>
          <w:lang w:val="en-US"/>
        </w:rPr>
        <w:t>U/</w:t>
      </w:r>
      <w:r w:rsidRPr="00513609">
        <w:rPr>
          <w:vertAlign w:val="superscript"/>
          <w:lang w:val="en-US"/>
        </w:rPr>
        <w:t>235</w:t>
      </w:r>
      <w:r w:rsidRPr="00513609">
        <w:rPr>
          <w:lang w:val="en-US"/>
        </w:rPr>
        <w:t xml:space="preserve">U ratio of the </w:t>
      </w:r>
      <w:r w:rsidRPr="00513609">
        <w:t>tracer solution</w:t>
      </w:r>
      <w:r w:rsidRPr="00513609">
        <w:rPr>
          <w:lang w:val="en-US"/>
        </w:rPr>
        <w:t xml:space="preserve">. </w:t>
      </w:r>
    </w:p>
    <w:p w14:paraId="060D9FB5" w14:textId="08FF0E2C" w:rsidR="00BA5048" w:rsidRPr="00407BC9" w:rsidRDefault="00BA5048" w:rsidP="00BA5048">
      <w:pPr>
        <w:pStyle w:val="BodyText"/>
        <w:spacing w:after="0" w:line="480" w:lineRule="auto"/>
      </w:pPr>
      <w:r>
        <w:rPr>
          <w:lang w:val="en-US"/>
        </w:rPr>
        <w:tab/>
      </w:r>
      <w:r w:rsidRPr="00513609">
        <w:rPr>
          <w:lang w:val="en-US"/>
        </w:rPr>
        <w:t>U</w:t>
      </w:r>
      <w:r>
        <w:rPr>
          <w:lang w:val="en-US"/>
        </w:rPr>
        <w:t>–</w:t>
      </w:r>
      <w:r w:rsidRPr="00513609">
        <w:rPr>
          <w:lang w:val="en-US"/>
        </w:rPr>
        <w:t xml:space="preserve">Pb dates and uncertainties were calculated using the algorithms of </w:t>
      </w:r>
      <w:r w:rsidRPr="00407BC9">
        <w:rPr>
          <w:lang w:val="en-US"/>
        </w:rPr>
        <w:t xml:space="preserve">Schmitz </w:t>
      </w:r>
      <w:r w:rsidR="005A6EB7">
        <w:rPr>
          <w:lang w:val="en-US"/>
        </w:rPr>
        <w:t>&amp;</w:t>
      </w:r>
      <w:r w:rsidRPr="00407BC9">
        <w:rPr>
          <w:lang w:val="en-US"/>
        </w:rPr>
        <w:t xml:space="preserve"> Schoene</w:t>
      </w:r>
      <w:r w:rsidR="005A6EB7">
        <w:rPr>
          <w:lang w:val="en-US"/>
        </w:rPr>
        <w:fldChar w:fldCharType="begin"/>
      </w:r>
      <w:r w:rsidR="005A6EB7">
        <w:rPr>
          <w:lang w:val="en-US"/>
        </w:rPr>
        <w:instrText xml:space="preserve"> ADDIN EN.CITE &lt;EndNote&gt;&lt;Cite&gt;&lt;Author&gt;Schmitz&lt;/Author&gt;&lt;Year&gt;2007&lt;/Year&gt;&lt;RecNum&gt;62&lt;/RecNum&gt;&lt;DisplayText&gt;&lt;style face="superscript"&gt;7&lt;/style&gt;&lt;/DisplayText&gt;&lt;record&gt;&lt;rec-number&gt;62&lt;/rec-number&gt;&lt;foreign-keys&gt;&lt;key app="EN" db-id="epdfw2r9qt2dr1ep59j5sss0pr0vapa9rsfd" timestamp="1603165605"&gt;62&lt;/key&gt;&lt;/foreign-keys&gt;&lt;ref-type name="Journal Article"&gt;17&lt;/ref-type&gt;&lt;contributors&gt;&lt;authors&gt;&lt;author&gt;Schmitz, Mark D.&lt;/author&gt;&lt;author&gt;Schoene, Blair&lt;/author&gt;&lt;/authors&gt;&lt;/contributors&gt;&lt;titles&gt;&lt;title&gt;Derivation of isotope ratios, errors, and error correlations for U-Pb geochronology using 205Pb-235U-(233U)-spiked isotope dilution thermal ionization mass spectrometric data&lt;/title&gt;&lt;secondary-title&gt;Geochemistry, Geophysics, Geosystems&lt;/secondary-title&gt;&lt;/titles&gt;&lt;periodical&gt;&lt;full-title&gt;Geochemistry, Geophysics, Geosystems&lt;/full-title&gt;&lt;/periodical&gt;&lt;volume&gt;8&lt;/volume&gt;&lt;number&gt;8&lt;/number&gt;&lt;dates&gt;&lt;year&gt;2007&lt;/year&gt;&lt;/dates&gt;&lt;isbn&gt;1525-2027&lt;/isbn&gt;&lt;urls&gt;&lt;related-urls&gt;&lt;url&gt;https://agupubs.onlinelibrary.wiley.com/doi/abs/10.1029/2006GC001492&lt;/url&gt;&lt;/related-urls&gt;&lt;/urls&gt;&lt;electronic-resource-num&gt;10.1029/2006gc001492&lt;/electronic-resource-num&gt;&lt;/record&gt;&lt;/Cite&gt;&lt;/EndNote&gt;</w:instrText>
      </w:r>
      <w:r w:rsidR="005A6EB7">
        <w:rPr>
          <w:lang w:val="en-US"/>
        </w:rPr>
        <w:fldChar w:fldCharType="separate"/>
      </w:r>
      <w:r w:rsidR="005A6EB7" w:rsidRPr="005A6EB7">
        <w:rPr>
          <w:noProof/>
          <w:vertAlign w:val="superscript"/>
          <w:lang w:val="en-US"/>
        </w:rPr>
        <w:t>7</w:t>
      </w:r>
      <w:r w:rsidR="005A6EB7">
        <w:rPr>
          <w:lang w:val="en-US"/>
        </w:rPr>
        <w:fldChar w:fldCharType="end"/>
      </w:r>
      <w:r w:rsidRPr="00407BC9">
        <w:rPr>
          <w:lang w:val="en-US"/>
        </w:rPr>
        <w:t xml:space="preserve">, calibration of the </w:t>
      </w:r>
      <w:r w:rsidRPr="00407BC9">
        <w:t xml:space="preserve">Boise State University </w:t>
      </w:r>
      <w:r w:rsidRPr="00407BC9">
        <w:rPr>
          <w:lang w:val="en-US"/>
        </w:rPr>
        <w:t xml:space="preserve">BSU-1B </w:t>
      </w:r>
      <w:r w:rsidRPr="00407BC9">
        <w:t>tracer solution of</w:t>
      </w:r>
      <w:r w:rsidRPr="00407BC9">
        <w:rPr>
          <w:vertAlign w:val="superscript"/>
        </w:rPr>
        <w:t xml:space="preserve"> 235</w:t>
      </w:r>
      <w:r w:rsidRPr="00407BC9">
        <w:t>U/</w:t>
      </w:r>
      <w:r w:rsidRPr="00407BC9">
        <w:rPr>
          <w:vertAlign w:val="superscript"/>
        </w:rPr>
        <w:t>205</w:t>
      </w:r>
      <w:r w:rsidRPr="00407BC9">
        <w:t xml:space="preserve">Pb of 77.93 and </w:t>
      </w:r>
      <w:r w:rsidRPr="00407BC9">
        <w:rPr>
          <w:vertAlign w:val="superscript"/>
        </w:rPr>
        <w:t>233</w:t>
      </w:r>
      <w:r w:rsidRPr="00407BC9">
        <w:t>U/</w:t>
      </w:r>
      <w:r w:rsidRPr="00407BC9">
        <w:rPr>
          <w:vertAlign w:val="superscript"/>
        </w:rPr>
        <w:t>235</w:t>
      </w:r>
      <w:r w:rsidRPr="009F5D8C">
        <w:t>U of 1.007066</w:t>
      </w:r>
      <w:r w:rsidRPr="009F5D8C">
        <w:rPr>
          <w:lang w:val="en-US"/>
        </w:rPr>
        <w:t xml:space="preserve">, calibration of the </w:t>
      </w:r>
      <w:r w:rsidRPr="009F5D8C">
        <w:t>ET535 tracer solution</w:t>
      </w:r>
      <w:r w:rsidR="005A6EB7">
        <w:fldChar w:fldCharType="begin"/>
      </w:r>
      <w:r w:rsidR="005A6EB7">
        <w:instrText xml:space="preserve"> ADDIN EN.CITE &lt;EndNote&gt;&lt;Cite&gt;&lt;Author&gt;Condon&lt;/Author&gt;&lt;Year&gt;2015&lt;/Year&gt;&lt;RecNum&gt;64&lt;/RecNum&gt;&lt;DisplayText&gt;&lt;style face="superscript"&gt;8&lt;/style&gt;&lt;/DisplayText&gt;&lt;record&gt;&lt;rec-number&gt;64&lt;/rec-number&gt;&lt;foreign-keys&gt;&lt;key app="EN" db-id="epdfw2r9qt2dr1ep59j5sss0pr0vapa9rsfd" timestamp="1603165846"&gt;64&lt;/key&gt;&lt;/foreign-keys&gt;&lt;ref-type name="Journal Article"&gt;17&lt;/ref-type&gt;&lt;contributors&gt;&lt;authors&gt;&lt;author&gt;Condon, D. J.&lt;/author&gt;&lt;author&gt;Schoene, B.&lt;/author&gt;&lt;author&gt;McLean, N. M.&lt;/author&gt;&lt;author&gt;Bowring, S. A.&lt;/author&gt;&lt;author&gt;Parrish, R. R.&lt;/author&gt;&lt;/authors&gt;&lt;/contributors&gt;&lt;titles&gt;&lt;title&gt;Metrology and traceability of U–Pb isotope dilution geochronology (EARTHTIME Tracer Calibration Part I)&lt;/title&gt;&lt;secondary-title&gt;Geochimica et Cosmochimica Acta&lt;/secondary-title&gt;&lt;/titles&gt;&lt;periodical&gt;&lt;full-title&gt;Geochimica et Cosmochimica Acta&lt;/full-title&gt;&lt;/periodical&gt;&lt;pages&gt;464–480&lt;/pages&gt;&lt;volume&gt;164&lt;/volume&gt;&lt;dates&gt;&lt;year&gt;2015&lt;/year&gt;&lt;pub-dates&gt;&lt;date&gt;2015/09/01/&lt;/date&gt;&lt;/pub-dates&gt;&lt;/dates&gt;&lt;isbn&gt;0016-7037&lt;/isbn&gt;&lt;urls&gt;&lt;related-urls&gt;&lt;url&gt;http://www.sciencedirect.com/science/article/pii/S001670371500321X&lt;/url&gt;&lt;/related-urls&gt;&lt;/urls&gt;&lt;electronic-resource-num&gt;https://doi.org/10.1016/j.gca.2015.05.026&lt;/electronic-resource-num&gt;&lt;/record&gt;&lt;/Cite&gt;&lt;/EndNote&gt;</w:instrText>
      </w:r>
      <w:r w:rsidR="005A6EB7">
        <w:fldChar w:fldCharType="separate"/>
      </w:r>
      <w:r w:rsidR="005A6EB7" w:rsidRPr="005A6EB7">
        <w:rPr>
          <w:noProof/>
          <w:vertAlign w:val="superscript"/>
        </w:rPr>
        <w:t>8</w:t>
      </w:r>
      <w:r w:rsidR="005A6EB7">
        <w:fldChar w:fldCharType="end"/>
      </w:r>
      <w:r w:rsidRPr="00407BC9">
        <w:t xml:space="preserve"> </w:t>
      </w:r>
      <w:r w:rsidRPr="009F5D8C">
        <w:t xml:space="preserve">of </w:t>
      </w:r>
      <w:r w:rsidRPr="009F5D8C">
        <w:rPr>
          <w:vertAlign w:val="superscript"/>
        </w:rPr>
        <w:t>235</w:t>
      </w:r>
      <w:r w:rsidRPr="009F5D8C">
        <w:t>U/</w:t>
      </w:r>
      <w:r w:rsidRPr="009F5D8C">
        <w:rPr>
          <w:vertAlign w:val="superscript"/>
        </w:rPr>
        <w:t>205</w:t>
      </w:r>
      <w:r w:rsidRPr="009F5D8C">
        <w:t xml:space="preserve">Pb = 100.233, </w:t>
      </w:r>
      <w:r w:rsidRPr="009F5D8C">
        <w:rPr>
          <w:vertAlign w:val="superscript"/>
        </w:rPr>
        <w:t>233</w:t>
      </w:r>
      <w:r w:rsidRPr="009F5D8C">
        <w:t>U/</w:t>
      </w:r>
      <w:r w:rsidRPr="009F5D8C">
        <w:rPr>
          <w:vertAlign w:val="superscript"/>
        </w:rPr>
        <w:t>235</w:t>
      </w:r>
      <w:r w:rsidRPr="009F5D8C">
        <w:t xml:space="preserve">U = 0.99506, and </w:t>
      </w:r>
      <w:r w:rsidRPr="009F5D8C">
        <w:rPr>
          <w:vertAlign w:val="superscript"/>
        </w:rPr>
        <w:t>205</w:t>
      </w:r>
      <w:r w:rsidRPr="009F5D8C">
        <w:t>Pb/</w:t>
      </w:r>
      <w:r w:rsidRPr="009F5D8C">
        <w:rPr>
          <w:vertAlign w:val="superscript"/>
        </w:rPr>
        <w:t>204</w:t>
      </w:r>
      <w:r w:rsidRPr="009F5D8C">
        <w:t xml:space="preserve">Pb = 11268, </w:t>
      </w:r>
      <w:r w:rsidRPr="009F5D8C">
        <w:rPr>
          <w:lang w:val="en-US"/>
        </w:rPr>
        <w:t xml:space="preserve">calibration of the </w:t>
      </w:r>
      <w:r w:rsidRPr="009F5D8C">
        <w:t>ET2535 tracer solution</w:t>
      </w:r>
      <w:r>
        <w:rPr>
          <w:vertAlign w:val="superscript"/>
        </w:rPr>
        <w:t>51</w:t>
      </w:r>
      <w:r w:rsidRPr="00407BC9">
        <w:t xml:space="preserve"> of </w:t>
      </w:r>
      <w:r w:rsidRPr="00407BC9">
        <w:rPr>
          <w:vertAlign w:val="superscript"/>
        </w:rPr>
        <w:t>235</w:t>
      </w:r>
      <w:r w:rsidRPr="00407BC9">
        <w:t>U/</w:t>
      </w:r>
      <w:r w:rsidRPr="009F5D8C">
        <w:rPr>
          <w:vertAlign w:val="superscript"/>
        </w:rPr>
        <w:t>205</w:t>
      </w:r>
      <w:r w:rsidRPr="009F5D8C">
        <w:t xml:space="preserve">Pb = 100.233, </w:t>
      </w:r>
      <w:r w:rsidRPr="009F5D8C">
        <w:rPr>
          <w:vertAlign w:val="superscript"/>
        </w:rPr>
        <w:t>233</w:t>
      </w:r>
      <w:r w:rsidRPr="009F5D8C">
        <w:t>U/</w:t>
      </w:r>
      <w:r w:rsidRPr="009F5D8C">
        <w:rPr>
          <w:vertAlign w:val="superscript"/>
        </w:rPr>
        <w:t>235</w:t>
      </w:r>
      <w:r w:rsidRPr="009F5D8C">
        <w:t xml:space="preserve">U = 0.99506, </w:t>
      </w:r>
      <w:r w:rsidRPr="009F5D8C">
        <w:rPr>
          <w:vertAlign w:val="superscript"/>
        </w:rPr>
        <w:t>205</w:t>
      </w:r>
      <w:r w:rsidRPr="009F5D8C">
        <w:t>Pb/</w:t>
      </w:r>
      <w:r w:rsidRPr="009F5D8C">
        <w:rPr>
          <w:vertAlign w:val="superscript"/>
        </w:rPr>
        <w:t>204</w:t>
      </w:r>
      <w:r w:rsidRPr="009F5D8C">
        <w:t>Pb = 8474, and</w:t>
      </w:r>
      <w:r w:rsidRPr="009F5D8C">
        <w:rPr>
          <w:lang w:val="en-US"/>
        </w:rPr>
        <w:t xml:space="preserve"> </w:t>
      </w:r>
      <w:r w:rsidRPr="009F5D8C">
        <w:rPr>
          <w:vertAlign w:val="superscript"/>
        </w:rPr>
        <w:t>202</w:t>
      </w:r>
      <w:r w:rsidRPr="009F5D8C">
        <w:t>Pb/</w:t>
      </w:r>
      <w:r w:rsidRPr="009F5D8C">
        <w:rPr>
          <w:vertAlign w:val="superscript"/>
        </w:rPr>
        <w:t>205</w:t>
      </w:r>
      <w:r w:rsidRPr="009F5D8C">
        <w:t>Pb</w:t>
      </w:r>
      <w:r w:rsidRPr="009F5D8C">
        <w:rPr>
          <w:lang w:val="en-US"/>
        </w:rPr>
        <w:t xml:space="preserve"> = 0.99924, U decay constants recommended by </w:t>
      </w:r>
      <w:r>
        <w:rPr>
          <w:lang w:val="en-US"/>
        </w:rPr>
        <w:t>ref</w:t>
      </w:r>
      <w:r w:rsidR="005A6EB7">
        <w:rPr>
          <w:lang w:val="en-US"/>
        </w:rPr>
        <w:t>.</w:t>
      </w:r>
      <w:r w:rsidR="005A6EB7">
        <w:rPr>
          <w:lang w:val="en-US"/>
        </w:rPr>
        <w:fldChar w:fldCharType="begin"/>
      </w:r>
      <w:r w:rsidR="005A6EB7">
        <w:rPr>
          <w:lang w:val="en-US"/>
        </w:rPr>
        <w:instrText xml:space="preserve"> ADDIN EN.CITE &lt;EndNote&gt;&lt;Cite&gt;&lt;Author&gt;Jaffey&lt;/Author&gt;&lt;Year&gt;1971&lt;/Year&gt;&lt;RecNum&gt;63&lt;/RecNum&gt;&lt;DisplayText&gt;&lt;style face="superscript"&gt;9&lt;/style&gt;&lt;/DisplayText&gt;&lt;record&gt;&lt;rec-number&gt;63&lt;/rec-number&gt;&lt;foreign-keys&gt;&lt;key app="EN" db-id="epdfw2r9qt2dr1ep59j5sss0pr0vapa9rsfd" timestamp="1603165750"&gt;63&lt;/key&gt;&lt;/foreign-keys&gt;&lt;ref-type name="Journal Article"&gt;17&lt;/ref-type&gt;&lt;contributors&gt;&lt;authors&gt;&lt;author&gt;Jaffey, A. H.&lt;/author&gt;&lt;author&gt;Flynn, K. F.&lt;/author&gt;&lt;author&gt;Glendenin, L. E.&lt;/author&gt;&lt;author&gt;Bentley, W. C.&lt;/author&gt;&lt;author&gt;Essling, A. M.&lt;/author&gt;&lt;/authors&gt;&lt;/contributors&gt;&lt;titles&gt;&lt;title&gt;Precision Measurement of Half-Lives and Specific Activities of $^{235}\mathrm{U}$ and $^{238}\mathrm{U}$&lt;/title&gt;&lt;secondary-title&gt;Physical Review C&lt;/secondary-title&gt;&lt;/titles&gt;&lt;periodical&gt;&lt;full-title&gt;Physical Review C&lt;/full-title&gt;&lt;/periodical&gt;&lt;pages&gt;1889–1906&lt;/pages&gt;&lt;volume&gt;4&lt;/volume&gt;&lt;number&gt;5&lt;/number&gt;&lt;dates&gt;&lt;year&gt;1971&lt;/year&gt;&lt;pub-dates&gt;&lt;date&gt;11/01/&lt;/date&gt;&lt;/pub-dates&gt;&lt;/dates&gt;&lt;publisher&gt;American Physical Society&lt;/publisher&gt;&lt;urls&gt;&lt;related-urls&gt;&lt;url&gt;https://link.aps.org/doi/10.1103/PhysRevC.4.1889&lt;/url&gt;&lt;/related-urls&gt;&lt;/urls&gt;&lt;electronic-resource-num&gt;10.1103/PhysRevC.4.1889&lt;/electronic-resource-num&gt;&lt;/record&gt;&lt;/Cite&gt;&lt;/EndNote&gt;</w:instrText>
      </w:r>
      <w:r w:rsidR="005A6EB7">
        <w:rPr>
          <w:lang w:val="en-US"/>
        </w:rPr>
        <w:fldChar w:fldCharType="separate"/>
      </w:r>
      <w:r w:rsidR="005A6EB7" w:rsidRPr="005A6EB7">
        <w:rPr>
          <w:noProof/>
          <w:vertAlign w:val="superscript"/>
          <w:lang w:val="en-US"/>
        </w:rPr>
        <w:t>9</w:t>
      </w:r>
      <w:r w:rsidR="005A6EB7">
        <w:rPr>
          <w:lang w:val="en-US"/>
        </w:rPr>
        <w:fldChar w:fldCharType="end"/>
      </w:r>
      <w:r w:rsidRPr="009F5D8C">
        <w:rPr>
          <w:lang w:val="en-US"/>
        </w:rPr>
        <w:t>,</w:t>
      </w:r>
      <w:r w:rsidRPr="009F5D8C">
        <w:rPr>
          <w:color w:val="FF0000"/>
          <w:lang w:val="en-US"/>
        </w:rPr>
        <w:t xml:space="preserve"> </w:t>
      </w:r>
      <w:r w:rsidRPr="009F5D8C">
        <w:rPr>
          <w:lang w:val="en-US"/>
        </w:rPr>
        <w:t xml:space="preserve">and </w:t>
      </w:r>
      <w:r w:rsidRPr="009F5D8C">
        <w:rPr>
          <w:vertAlign w:val="superscript"/>
          <w:lang w:val="en-US"/>
        </w:rPr>
        <w:t>238</w:t>
      </w:r>
      <w:r w:rsidRPr="009F5D8C">
        <w:rPr>
          <w:lang w:val="en-US"/>
        </w:rPr>
        <w:t>U/</w:t>
      </w:r>
      <w:r w:rsidRPr="009F5D8C">
        <w:rPr>
          <w:vertAlign w:val="superscript"/>
          <w:lang w:val="en-US"/>
        </w:rPr>
        <w:t>235</w:t>
      </w:r>
      <w:r w:rsidRPr="009F5D8C">
        <w:rPr>
          <w:lang w:val="en-US"/>
        </w:rPr>
        <w:t xml:space="preserve">U of 137.818 </w:t>
      </w:r>
      <w:r>
        <w:rPr>
          <w:lang w:val="en-US"/>
        </w:rPr>
        <w:t>(ref</w:t>
      </w:r>
      <w:r w:rsidR="005A6EB7">
        <w:rPr>
          <w:lang w:val="en-US"/>
        </w:rPr>
        <w:t>.</w:t>
      </w:r>
      <w:r w:rsidR="005A6EB7">
        <w:rPr>
          <w:lang w:val="en-US"/>
        </w:rPr>
        <w:fldChar w:fldCharType="begin"/>
      </w:r>
      <w:r w:rsidR="005A6EB7">
        <w:rPr>
          <w:lang w:val="en-US"/>
        </w:rPr>
        <w:instrText xml:space="preserve"> ADDIN EN.CITE &lt;EndNote&gt;&lt;Cite&gt;&lt;Author&gt;Hiess&lt;/Author&gt;&lt;Year&gt;2012&lt;/Year&gt;&lt;RecNum&gt;65&lt;/RecNum&gt;&lt;DisplayText&gt;&lt;style face="superscript"&gt;10&lt;/style&gt;&lt;/DisplayText&gt;&lt;record&gt;&lt;rec-number&gt;65&lt;/rec-number&gt;&lt;foreign-keys&gt;&lt;key app="EN" db-id="epdfw2r9qt2dr1ep59j5sss0pr0vapa9rsfd" timestamp="1603166010"&gt;65&lt;/key&gt;&lt;/foreign-keys&gt;&lt;ref-type name="Journal Article"&gt;17&lt;/ref-type&gt;&lt;contributors&gt;&lt;authors&gt;&lt;author&gt;Hiess, Joe&lt;/author&gt;&lt;author&gt;Condon, Daniel J.&lt;/author&gt;&lt;author&gt;McLean, Noah&lt;/author&gt;&lt;author&gt;Noble, Stephen R.&lt;/author&gt;&lt;/authors&gt;&lt;/contributors&gt;&lt;titles&gt;&lt;title&gt;238U/235U Systematics in Terrestrial Uranium-Bearing Minerals&lt;/title&gt;&lt;secondary-title&gt;Science&lt;/secondary-title&gt;&lt;/titles&gt;&lt;periodical&gt;&lt;full-title&gt;Science&lt;/full-title&gt;&lt;/periodical&gt;&lt;pages&gt;1610–1614&lt;/pages&gt;&lt;volume&gt;335&lt;/volume&gt;&lt;number&gt;6076&lt;/number&gt;&lt;dates&gt;&lt;year&gt;2012&lt;/year&gt;&lt;/dates&gt;&lt;urls&gt;&lt;related-urls&gt;&lt;url&gt;https://science.sciencemag.org/content/sci/335/6076/1610.full.pdf&lt;/url&gt;&lt;/related-urls&gt;&lt;/urls&gt;&lt;electronic-resource-num&gt;10.1126/science.1215507&lt;/electronic-resource-num&gt;&lt;/record&gt;&lt;/Cite&gt;&lt;/EndNote&gt;</w:instrText>
      </w:r>
      <w:r w:rsidR="005A6EB7">
        <w:rPr>
          <w:lang w:val="en-US"/>
        </w:rPr>
        <w:fldChar w:fldCharType="separate"/>
      </w:r>
      <w:r w:rsidR="005A6EB7" w:rsidRPr="005A6EB7">
        <w:rPr>
          <w:noProof/>
          <w:vertAlign w:val="superscript"/>
          <w:lang w:val="en-US"/>
        </w:rPr>
        <w:t>10</w:t>
      </w:r>
      <w:r w:rsidR="005A6EB7">
        <w:rPr>
          <w:lang w:val="en-US"/>
        </w:rPr>
        <w:fldChar w:fldCharType="end"/>
      </w:r>
      <w:r>
        <w:rPr>
          <w:lang w:val="en-US"/>
        </w:rPr>
        <w:t>)</w:t>
      </w:r>
      <w:r w:rsidRPr="00407BC9">
        <w:rPr>
          <w:lang w:val="en-US"/>
        </w:rPr>
        <w:t xml:space="preserve">. </w:t>
      </w:r>
      <w:r w:rsidRPr="009F5D8C">
        <w:rPr>
          <w:vertAlign w:val="superscript"/>
          <w:lang w:val="en-US"/>
        </w:rPr>
        <w:t>206</w:t>
      </w:r>
      <w:r w:rsidRPr="009F5D8C">
        <w:rPr>
          <w:lang w:val="en-US"/>
        </w:rPr>
        <w:t>Pb/</w:t>
      </w:r>
      <w:r w:rsidRPr="009F5D8C">
        <w:rPr>
          <w:vertAlign w:val="superscript"/>
          <w:lang w:val="en-US"/>
        </w:rPr>
        <w:t>238</w:t>
      </w:r>
      <w:r w:rsidRPr="009F5D8C">
        <w:rPr>
          <w:lang w:val="en-US"/>
        </w:rPr>
        <w:t xml:space="preserve">U ratios and dates were corrected for initial </w:t>
      </w:r>
      <w:r w:rsidRPr="009F5D8C">
        <w:rPr>
          <w:vertAlign w:val="superscript"/>
          <w:lang w:val="en-US"/>
        </w:rPr>
        <w:t>230</w:t>
      </w:r>
      <w:r w:rsidRPr="009F5D8C">
        <w:rPr>
          <w:lang w:val="en-US"/>
        </w:rPr>
        <w:t>Th disequilibrium using D</w:t>
      </w:r>
      <w:r w:rsidRPr="009F5D8C">
        <w:rPr>
          <w:vertAlign w:val="subscript"/>
          <w:lang w:val="en-US"/>
        </w:rPr>
        <w:t>Th/U</w:t>
      </w:r>
      <w:r w:rsidRPr="009F5D8C">
        <w:rPr>
          <w:lang w:val="en-US"/>
        </w:rPr>
        <w:t xml:space="preserve"> = 0.20 ± 0.05 (1</w:t>
      </w:r>
      <w:r w:rsidRPr="0021459B">
        <w:rPr>
          <w:rFonts w:ascii="Symbol" w:hAnsi="Symbol"/>
        </w:rPr>
        <w:t></w:t>
      </w:r>
      <w:r w:rsidRPr="00407BC9">
        <w:rPr>
          <w:lang w:val="en-US"/>
        </w:rPr>
        <w:t>) and the algorithms of Crowley et al.</w:t>
      </w:r>
      <w:r w:rsidR="005A6EB7">
        <w:rPr>
          <w:lang w:val="en-US"/>
        </w:rPr>
        <w:fldChar w:fldCharType="begin"/>
      </w:r>
      <w:r w:rsidR="005A6EB7">
        <w:rPr>
          <w:lang w:val="en-US"/>
        </w:rPr>
        <w:instrText xml:space="preserve"> ADDIN EN.CITE &lt;EndNote&gt;&lt;Cite&gt;&lt;Author&gt;Crowley&lt;/Author&gt;&lt;Year&gt;2007&lt;/Year&gt;&lt;RecNum&gt;66&lt;/RecNum&gt;&lt;DisplayText&gt;&lt;style face="superscript"&gt;11&lt;/style&gt;&lt;/DisplayText&gt;&lt;record&gt;&lt;rec-number&gt;66&lt;/rec-number&gt;&lt;foreign-keys&gt;&lt;key app="EN" db-id="epdfw2r9qt2dr1ep59j5sss0pr0vapa9rsfd" timestamp="1603166125"&gt;66&lt;/key&gt;&lt;/foreign-keys&gt;&lt;ref-type name="Journal Article"&gt;17&lt;/ref-type&gt;&lt;contributors&gt;&lt;authors&gt;&lt;author&gt;Crowley, J.L.&lt;/author&gt;&lt;author&gt;Schoene, B.&lt;/author&gt;&lt;author&gt;Bowring, S.A.&lt;/author&gt;&lt;/authors&gt;&lt;/contributors&gt;&lt;titles&gt;&lt;title&gt;U-Pb dating of zircon in the Bishop Tuff at the millennial scale&lt;/title&gt;&lt;secondary-title&gt;Geology&lt;/secondary-title&gt;&lt;/titles&gt;&lt;periodical&gt;&lt;full-title&gt;Geology&lt;/full-title&gt;&lt;/periodical&gt;&lt;pages&gt;1123–1126&lt;/pages&gt;&lt;volume&gt;35&lt;/volume&gt;&lt;number&gt;12&lt;/number&gt;&lt;dates&gt;&lt;year&gt;2007&lt;/year&gt;&lt;/dates&gt;&lt;isbn&gt;0091-7613&lt;/isbn&gt;&lt;urls&gt;&lt;related-urls&gt;&lt;url&gt;https://doi.org/10.1130/G24017A.1&lt;/url&gt;&lt;/related-urls&gt;&lt;/urls&gt;&lt;electronic-resource-num&gt;10.1130/g24017a.1&lt;/electronic-resource-num&gt;&lt;access-date&gt;10/20/2020&lt;/access-date&gt;&lt;/record&gt;&lt;/Cite&gt;&lt;/EndNote&gt;</w:instrText>
      </w:r>
      <w:r w:rsidR="005A6EB7">
        <w:rPr>
          <w:lang w:val="en-US"/>
        </w:rPr>
        <w:fldChar w:fldCharType="separate"/>
      </w:r>
      <w:r w:rsidR="005A6EB7" w:rsidRPr="005A6EB7">
        <w:rPr>
          <w:noProof/>
          <w:vertAlign w:val="superscript"/>
          <w:lang w:val="en-US"/>
        </w:rPr>
        <w:t>11</w:t>
      </w:r>
      <w:r w:rsidR="005A6EB7">
        <w:rPr>
          <w:lang w:val="en-US"/>
        </w:rPr>
        <w:fldChar w:fldCharType="end"/>
      </w:r>
      <w:r w:rsidRPr="00407BC9">
        <w:rPr>
          <w:lang w:val="en-US"/>
        </w:rPr>
        <w:t xml:space="preserve">, resulting in an increase in the </w:t>
      </w:r>
      <w:r w:rsidRPr="00407BC9">
        <w:rPr>
          <w:vertAlign w:val="superscript"/>
          <w:lang w:val="en-US"/>
        </w:rPr>
        <w:t>206</w:t>
      </w:r>
      <w:r w:rsidRPr="00407BC9">
        <w:rPr>
          <w:lang w:val="en-US"/>
        </w:rPr>
        <w:t>Pb/</w:t>
      </w:r>
      <w:r w:rsidRPr="00407BC9">
        <w:rPr>
          <w:vertAlign w:val="superscript"/>
          <w:lang w:val="en-US"/>
        </w:rPr>
        <w:t>238</w:t>
      </w:r>
      <w:r w:rsidRPr="00407BC9">
        <w:rPr>
          <w:lang w:val="en-US"/>
        </w:rPr>
        <w:t xml:space="preserve">U dates of ~0.09 Ma. All common Pb in analyses was </w:t>
      </w:r>
      <w:r w:rsidRPr="00407BC9" w:rsidDel="007132FE">
        <w:rPr>
          <w:lang w:val="en-US"/>
        </w:rPr>
        <w:t xml:space="preserve">attributed to laboratory </w:t>
      </w:r>
      <w:r w:rsidRPr="00407BC9">
        <w:rPr>
          <w:lang w:val="en-US"/>
        </w:rPr>
        <w:t xml:space="preserve">blank and subtracted based on the measured laboratory Pb isotopic composition and associated uncertainty. U blanks are estimated at 0.013 ± 0.009 </w:t>
      </w:r>
      <w:proofErr w:type="spellStart"/>
      <w:r w:rsidRPr="00407BC9">
        <w:rPr>
          <w:lang w:val="en-US"/>
        </w:rPr>
        <w:t>pg</w:t>
      </w:r>
      <w:proofErr w:type="spellEnd"/>
      <w:r w:rsidRPr="00407BC9">
        <w:rPr>
          <w:lang w:val="en-US"/>
        </w:rPr>
        <w:t xml:space="preserve"> (1</w:t>
      </w:r>
      <w:r w:rsidRPr="0021459B">
        <w:rPr>
          <w:rFonts w:ascii="Symbol" w:hAnsi="Symbol"/>
        </w:rPr>
        <w:t></w:t>
      </w:r>
      <w:r w:rsidRPr="00407BC9">
        <w:rPr>
          <w:lang w:val="en-US"/>
        </w:rPr>
        <w:t>)</w:t>
      </w:r>
      <w:r w:rsidRPr="00407BC9">
        <w:t xml:space="preserve">. </w:t>
      </w:r>
    </w:p>
    <w:p w14:paraId="53B497F4" w14:textId="340A9FEF" w:rsidR="00BA5048" w:rsidRPr="00513609" w:rsidRDefault="00BA5048" w:rsidP="00BA5048">
      <w:pPr>
        <w:spacing w:line="480" w:lineRule="auto"/>
        <w:rPr>
          <w:lang w:val="en-US"/>
        </w:rPr>
      </w:pPr>
      <w:r>
        <w:rPr>
          <w:lang w:val="en-US"/>
        </w:rPr>
        <w:lastRenderedPageBreak/>
        <w:tab/>
      </w:r>
      <w:r w:rsidRPr="00407BC9">
        <w:rPr>
          <w:lang w:val="en-US"/>
        </w:rPr>
        <w:t xml:space="preserve">Weighted mean </w:t>
      </w:r>
      <w:r w:rsidRPr="00407BC9">
        <w:rPr>
          <w:vertAlign w:val="superscript"/>
          <w:lang w:val="en-US"/>
        </w:rPr>
        <w:t>206</w:t>
      </w:r>
      <w:r w:rsidRPr="00407BC9">
        <w:rPr>
          <w:lang w:val="en-US"/>
        </w:rPr>
        <w:t>Pb/</w:t>
      </w:r>
      <w:r w:rsidRPr="00407BC9">
        <w:rPr>
          <w:vertAlign w:val="superscript"/>
          <w:lang w:val="en-US"/>
        </w:rPr>
        <w:t>238</w:t>
      </w:r>
      <w:r w:rsidRPr="00407BC9">
        <w:rPr>
          <w:lang w:val="en-US"/>
        </w:rPr>
        <w:t>U dates were calculated from equivalent dates (probability of fit (</w:t>
      </w:r>
      <w:proofErr w:type="spellStart"/>
      <w:r w:rsidRPr="00407BC9">
        <w:rPr>
          <w:lang w:val="en-US"/>
        </w:rPr>
        <w:t>pof</w:t>
      </w:r>
      <w:proofErr w:type="spellEnd"/>
      <w:r w:rsidRPr="00407BC9">
        <w:rPr>
          <w:lang w:val="en-US"/>
        </w:rPr>
        <w:t xml:space="preserve">) &gt;0.05) at the young end of age spectra in the igneous samples using </w:t>
      </w:r>
      <w:proofErr w:type="spellStart"/>
      <w:r w:rsidRPr="00407BC9">
        <w:rPr>
          <w:lang w:val="en-US"/>
        </w:rPr>
        <w:t>Isoplot</w:t>
      </w:r>
      <w:proofErr w:type="spellEnd"/>
      <w:r w:rsidRPr="00407BC9">
        <w:rPr>
          <w:lang w:val="en-US"/>
        </w:rPr>
        <w:t xml:space="preserve"> 3.0</w:t>
      </w:r>
      <w:r>
        <w:rPr>
          <w:lang w:val="en-US"/>
        </w:rPr>
        <w:t xml:space="preserve"> (ref</w:t>
      </w:r>
      <w:r w:rsidR="005A6EB7">
        <w:rPr>
          <w:lang w:val="en-US"/>
        </w:rPr>
        <w:t>.</w:t>
      </w:r>
      <w:r w:rsidR="005A6EB7">
        <w:rPr>
          <w:lang w:val="en-US"/>
        </w:rPr>
        <w:fldChar w:fldCharType="begin"/>
      </w:r>
      <w:r w:rsidR="002E073A">
        <w:rPr>
          <w:lang w:val="en-US"/>
        </w:rPr>
        <w:instrText xml:space="preserve"> ADDIN EN.CITE &lt;EndNote&gt;&lt;Cite&gt;&lt;Author&gt;Hiess&lt;/Author&gt;&lt;Year&gt;2012&lt;/Year&gt;&lt;RecNum&gt;65&lt;/RecNum&gt;&lt;DisplayText&gt;&lt;style face="superscript"&gt;10,12&lt;/style&gt;&lt;/DisplayText&gt;&lt;record&gt;&lt;rec-number&gt;65&lt;/rec-number&gt;&lt;foreign-keys&gt;&lt;key app="EN" db-id="epdfw2r9qt2dr1ep59j5sss0pr0vapa9rsfd" timestamp="1603166010"&gt;65&lt;/key&gt;&lt;/foreign-keys&gt;&lt;ref-type name="Journal Article"&gt;17&lt;/ref-type&gt;&lt;contributors&gt;&lt;authors&gt;&lt;author&gt;Hiess, Joe&lt;/author&gt;&lt;author&gt;Condon, Daniel J.&lt;/author&gt;&lt;author&gt;McLean, Noah&lt;/author&gt;&lt;author&gt;Noble, Stephen R.&lt;/author&gt;&lt;/authors&gt;&lt;/contributors&gt;&lt;titles&gt;&lt;title&gt;238U/235U Systematics in Terrestrial Uranium-Bearing Minerals&lt;/title&gt;&lt;secondary-title&gt;Science&lt;/secondary-title&gt;&lt;/titles&gt;&lt;periodical&gt;&lt;full-title&gt;Science&lt;/full-title&gt;&lt;/periodical&gt;&lt;pages&gt;1610–1614&lt;/pages&gt;&lt;volume&gt;335&lt;/volume&gt;&lt;number&gt;6076&lt;/number&gt;&lt;dates&gt;&lt;year&gt;2012&lt;/year&gt;&lt;/dates&gt;&lt;urls&gt;&lt;related-urls&gt;&lt;url&gt;https://science.sciencemag.org/content/sci/335/6076/1610.full.pdf&lt;/url&gt;&lt;/related-urls&gt;&lt;/urls&gt;&lt;electronic-resource-num&gt;10.1126/science.1215507&lt;/electronic-resource-num&gt;&lt;/record&gt;&lt;/Cite&gt;&lt;Cite&gt;&lt;Author&gt;Ludwig&lt;/Author&gt;&lt;Year&gt;2003&lt;/Year&gt;&lt;RecNum&gt;75&lt;/RecNum&gt;&lt;record&gt;&lt;rec-number&gt;75&lt;/rec-number&gt;&lt;foreign-keys&gt;&lt;key app="EN" db-id="epdfw2r9qt2dr1ep59j5sss0pr0vapa9rsfd" timestamp="1603168004"&gt;75&lt;/key&gt;&lt;/foreign-keys&gt;&lt;ref-type name="Book"&gt;6&lt;/ref-type&gt;&lt;contributors&gt;&lt;authors&gt;&lt;author&gt;Ludwig, K. R.&lt;/author&gt;&lt;/authors&gt;&lt;/contributors&gt;&lt;titles&gt;&lt;title&gt;User’s manual for Isoplot 3.00&lt;/title&gt;&lt;/titles&gt;&lt;pages&gt;70&lt;/pages&gt;&lt;dates&gt;&lt;year&gt;2003&lt;/year&gt;&lt;/dates&gt;&lt;pub-location&gt;Berkley, USA&lt;/pub-location&gt;&lt;publisher&gt;Berkley Geochronology Center&lt;/publisher&gt;&lt;urls&gt;&lt;/urls&gt;&lt;/record&gt;&lt;/Cite&gt;&lt;/EndNote&gt;</w:instrText>
      </w:r>
      <w:r w:rsidR="005A6EB7">
        <w:rPr>
          <w:lang w:val="en-US"/>
        </w:rPr>
        <w:fldChar w:fldCharType="separate"/>
      </w:r>
      <w:r w:rsidR="002E073A" w:rsidRPr="002E073A">
        <w:rPr>
          <w:noProof/>
          <w:vertAlign w:val="superscript"/>
          <w:lang w:val="en-US"/>
        </w:rPr>
        <w:t>10,12</w:t>
      </w:r>
      <w:r w:rsidR="005A6EB7">
        <w:rPr>
          <w:lang w:val="en-US"/>
        </w:rPr>
        <w:fldChar w:fldCharType="end"/>
      </w:r>
      <w:r>
        <w:rPr>
          <w:lang w:val="en-US"/>
        </w:rPr>
        <w:t>)</w:t>
      </w:r>
      <w:r w:rsidRPr="00407BC9">
        <w:rPr>
          <w:lang w:val="en-US"/>
        </w:rPr>
        <w:t xml:space="preserve">. </w:t>
      </w:r>
      <w:r w:rsidRPr="009F5D8C">
        <w:rPr>
          <w:lang w:val="en-US"/>
        </w:rPr>
        <w:t xml:space="preserve">Errors on the weighted mean dates are given as ± </w:t>
      </w:r>
      <w:r w:rsidRPr="002E073A">
        <w:rPr>
          <w:i/>
          <w:iCs/>
          <w:lang w:val="en-US"/>
        </w:rPr>
        <w:t>x</w:t>
      </w:r>
      <w:r w:rsidRPr="009F5D8C">
        <w:rPr>
          <w:lang w:val="en-US"/>
        </w:rPr>
        <w:t xml:space="preserve"> / </w:t>
      </w:r>
      <w:r w:rsidRPr="002E073A">
        <w:rPr>
          <w:i/>
          <w:iCs/>
          <w:lang w:val="en-US"/>
        </w:rPr>
        <w:t>y</w:t>
      </w:r>
      <w:r w:rsidRPr="009F5D8C">
        <w:rPr>
          <w:lang w:val="en-US"/>
        </w:rPr>
        <w:t xml:space="preserve"> / </w:t>
      </w:r>
      <w:r w:rsidRPr="002E073A">
        <w:rPr>
          <w:i/>
          <w:iCs/>
          <w:lang w:val="en-US"/>
        </w:rPr>
        <w:t>z</w:t>
      </w:r>
      <w:r w:rsidRPr="009F5D8C">
        <w:rPr>
          <w:lang w:val="en-US"/>
        </w:rPr>
        <w:t xml:space="preserve">, where </w:t>
      </w:r>
      <w:r w:rsidRPr="002E073A">
        <w:rPr>
          <w:i/>
          <w:iCs/>
          <w:lang w:val="en-US"/>
        </w:rPr>
        <w:t>x</w:t>
      </w:r>
      <w:r w:rsidRPr="009F5D8C">
        <w:rPr>
          <w:lang w:val="en-US"/>
        </w:rPr>
        <w:t xml:space="preserve"> is the internal error based on analytical uncertainties only, including counting statistics, subtraction of tracer solution, and blank and initial common Pb subtraction, </w:t>
      </w:r>
      <w:r w:rsidRPr="002E073A">
        <w:rPr>
          <w:i/>
          <w:iCs/>
          <w:lang w:val="en-US"/>
        </w:rPr>
        <w:t>y</w:t>
      </w:r>
      <w:r w:rsidRPr="009F5D8C">
        <w:rPr>
          <w:lang w:val="en-US"/>
        </w:rPr>
        <w:t xml:space="preserve"> includes the tracer calibration uncertainty propagated in quadrature, and </w:t>
      </w:r>
      <w:r w:rsidRPr="002E073A">
        <w:rPr>
          <w:i/>
          <w:iCs/>
          <w:lang w:val="en-US"/>
        </w:rPr>
        <w:t>z</w:t>
      </w:r>
      <w:r w:rsidRPr="009F5D8C">
        <w:rPr>
          <w:lang w:val="en-US"/>
        </w:rPr>
        <w:t xml:space="preserve"> includes the </w:t>
      </w:r>
      <w:r w:rsidRPr="009F5D8C">
        <w:rPr>
          <w:vertAlign w:val="superscript"/>
        </w:rPr>
        <w:t>238</w:t>
      </w:r>
      <w:r w:rsidRPr="009F5D8C">
        <w:t xml:space="preserve">U </w:t>
      </w:r>
      <w:r w:rsidRPr="009F5D8C">
        <w:rPr>
          <w:lang w:val="en-US"/>
        </w:rPr>
        <w:t xml:space="preserve">decay constant uncertainty propagated in quadrature. Internal errors should be considered when comparing our dates with </w:t>
      </w:r>
      <w:r w:rsidRPr="009F5D8C">
        <w:rPr>
          <w:vertAlign w:val="superscript"/>
          <w:lang w:val="en-US"/>
        </w:rPr>
        <w:t>206</w:t>
      </w:r>
      <w:r w:rsidRPr="009F5D8C">
        <w:rPr>
          <w:lang w:val="en-US"/>
        </w:rPr>
        <w:t>Pb/</w:t>
      </w:r>
      <w:r w:rsidRPr="009F5D8C">
        <w:rPr>
          <w:vertAlign w:val="superscript"/>
          <w:lang w:val="en-US"/>
        </w:rPr>
        <w:t>238</w:t>
      </w:r>
      <w:r w:rsidRPr="009F5D8C">
        <w:rPr>
          <w:lang w:val="en-US"/>
        </w:rPr>
        <w:t xml:space="preserve">U dates from other laboratories that used the same </w:t>
      </w:r>
      <w:r w:rsidRPr="009F5D8C">
        <w:t>tracer solutions</w:t>
      </w:r>
      <w:r w:rsidRPr="009F5D8C">
        <w:rPr>
          <w:lang w:val="en-US"/>
        </w:rPr>
        <w:t xml:space="preserve"> or a tracer solution that was </w:t>
      </w:r>
      <w:r w:rsidR="005A6EB7" w:rsidRPr="009F5D8C">
        <w:rPr>
          <w:lang w:val="en-US"/>
        </w:rPr>
        <w:t>cross calibrated</w:t>
      </w:r>
      <w:r w:rsidRPr="009F5D8C">
        <w:rPr>
          <w:lang w:val="en-US"/>
        </w:rPr>
        <w:t xml:space="preserve"> using EARTHTIME gravimetric standards. Errors including the </w:t>
      </w:r>
      <w:r w:rsidRPr="009F5D8C">
        <w:t>uncertainty in the tracer calibration should be considered</w:t>
      </w:r>
      <w:r w:rsidRPr="009F5D8C">
        <w:rPr>
          <w:lang w:val="en-US"/>
        </w:rPr>
        <w:t xml:space="preserve"> when comparing our dates with those derived from other geochronological methods using the U-Pb decay scheme (e.g., laser ablation ICPMS). Errors including </w:t>
      </w:r>
      <w:r w:rsidRPr="009F5D8C">
        <w:t xml:space="preserve">uncertainties in the tracer calibration and </w:t>
      </w:r>
      <w:r w:rsidRPr="009F5D8C">
        <w:rPr>
          <w:vertAlign w:val="superscript"/>
        </w:rPr>
        <w:t>238</w:t>
      </w:r>
      <w:r w:rsidRPr="009F5D8C">
        <w:t>U decay constant</w:t>
      </w:r>
      <w:r w:rsidR="005A6EB7">
        <w:fldChar w:fldCharType="begin"/>
      </w:r>
      <w:r w:rsidR="002E073A">
        <w:instrText xml:space="preserve"> ADDIN EN.CITE &lt;EndNote&gt;&lt;Cite&gt;&lt;Author&gt;Hiess&lt;/Author&gt;&lt;Year&gt;2012&lt;/Year&gt;&lt;RecNum&gt;65&lt;/RecNum&gt;&lt;DisplayText&gt;&lt;style face="superscript"&gt;10&lt;/style&gt;&lt;/DisplayText&gt;&lt;record&gt;&lt;rec-number&gt;65&lt;/rec-number&gt;&lt;foreign-keys&gt;&lt;key app="EN" db-id="epdfw2r9qt2dr1ep59j5sss0pr0vapa9rsfd" timestamp="1603166010"&gt;65&lt;/key&gt;&lt;/foreign-keys&gt;&lt;ref-type name="Journal Article"&gt;17&lt;/ref-type&gt;&lt;contributors&gt;&lt;authors&gt;&lt;author&gt;Hiess, Joe&lt;/author&gt;&lt;author&gt;Condon, Daniel J.&lt;/author&gt;&lt;author&gt;McLean, Noah&lt;/author&gt;&lt;author&gt;Noble, Stephen R.&lt;/author&gt;&lt;/authors&gt;&lt;/contributors&gt;&lt;titles&gt;&lt;title&gt;238U/235U Systematics in Terrestrial Uranium-Bearing Minerals&lt;/title&gt;&lt;secondary-title&gt;Science&lt;/secondary-title&gt;&lt;/titles&gt;&lt;periodical&gt;&lt;full-title&gt;Science&lt;/full-title&gt;&lt;/periodical&gt;&lt;pages&gt;1610–1614&lt;/pages&gt;&lt;volume&gt;335&lt;/volume&gt;&lt;number&gt;6076&lt;/number&gt;&lt;dates&gt;&lt;year&gt;2012&lt;/year&gt;&lt;/dates&gt;&lt;urls&gt;&lt;related-urls&gt;&lt;url&gt;https://science.sciencemag.org/content/sci/335/6076/1610.full.pdf&lt;/url&gt;&lt;/related-urls&gt;&lt;/urls&gt;&lt;electronic-resource-num&gt;10.1126/science.1215507&lt;/electronic-resource-num&gt;&lt;/record&gt;&lt;/Cite&gt;&lt;/EndNote&gt;</w:instrText>
      </w:r>
      <w:r w:rsidR="005A6EB7">
        <w:fldChar w:fldCharType="separate"/>
      </w:r>
      <w:r w:rsidR="002E073A" w:rsidRPr="002E073A">
        <w:rPr>
          <w:noProof/>
          <w:vertAlign w:val="superscript"/>
        </w:rPr>
        <w:t>10</w:t>
      </w:r>
      <w:r w:rsidR="005A6EB7">
        <w:fldChar w:fldCharType="end"/>
      </w:r>
      <w:r w:rsidRPr="009F5D8C">
        <w:t xml:space="preserve"> should be considered </w:t>
      </w:r>
      <w:r w:rsidRPr="009F5D8C">
        <w:rPr>
          <w:lang w:val="en-US"/>
        </w:rPr>
        <w:t xml:space="preserve">when comparing our dates with those derived from other decay schemes (e.g., </w:t>
      </w:r>
      <w:r w:rsidRPr="009F5D8C">
        <w:rPr>
          <w:vertAlign w:val="superscript"/>
          <w:lang w:val="en-US"/>
        </w:rPr>
        <w:t>40</w:t>
      </w:r>
      <w:r w:rsidRPr="009F5D8C">
        <w:rPr>
          <w:lang w:val="en-US"/>
        </w:rPr>
        <w:t>Ar/</w:t>
      </w:r>
      <w:r w:rsidRPr="009F5D8C">
        <w:rPr>
          <w:vertAlign w:val="superscript"/>
          <w:lang w:val="en-US"/>
        </w:rPr>
        <w:t>39</w:t>
      </w:r>
      <w:r w:rsidRPr="009F5D8C">
        <w:rPr>
          <w:lang w:val="en-US"/>
        </w:rPr>
        <w:t xml:space="preserve">Ar, </w:t>
      </w:r>
      <w:r w:rsidRPr="009F5D8C">
        <w:rPr>
          <w:vertAlign w:val="superscript"/>
          <w:lang w:val="en-US"/>
        </w:rPr>
        <w:t>187</w:t>
      </w:r>
      <w:r w:rsidRPr="009F5D8C">
        <w:rPr>
          <w:lang w:val="en-US"/>
        </w:rPr>
        <w:t>Re</w:t>
      </w:r>
      <w:r>
        <w:rPr>
          <w:lang w:val="en-US"/>
        </w:rPr>
        <w:t>–</w:t>
      </w:r>
      <w:r w:rsidRPr="00407BC9">
        <w:rPr>
          <w:vertAlign w:val="superscript"/>
          <w:lang w:val="en-US"/>
        </w:rPr>
        <w:t>187</w:t>
      </w:r>
      <w:r w:rsidRPr="00407BC9">
        <w:rPr>
          <w:lang w:val="en-US"/>
        </w:rPr>
        <w:t>Os). Errors for weighted mean dates and dates from individual grains are given at 2</w:t>
      </w:r>
      <w:r w:rsidRPr="0021459B">
        <w:rPr>
          <w:rFonts w:ascii="Symbol" w:hAnsi="Symbol"/>
        </w:rPr>
        <w:t></w:t>
      </w:r>
      <w:r w:rsidRPr="00407BC9">
        <w:rPr>
          <w:lang w:val="en-US"/>
        </w:rPr>
        <w:t>.</w:t>
      </w:r>
    </w:p>
    <w:p w14:paraId="52364421" w14:textId="77777777" w:rsidR="00BA5048" w:rsidRPr="00407BC9" w:rsidRDefault="00BA5048" w:rsidP="00BA5048">
      <w:pPr>
        <w:pStyle w:val="Heading2"/>
        <w:spacing w:line="480" w:lineRule="auto"/>
      </w:pPr>
      <w:r w:rsidRPr="00407BC9">
        <w:t>Results</w:t>
      </w:r>
    </w:p>
    <w:p w14:paraId="06E093B0" w14:textId="57FD3D15" w:rsidR="00BA5048" w:rsidRPr="00407BC9" w:rsidRDefault="00BA5048" w:rsidP="00BA5048">
      <w:pPr>
        <w:spacing w:line="480" w:lineRule="auto"/>
      </w:pPr>
      <w:r w:rsidRPr="00407BC9">
        <w:t>Six grains from</w:t>
      </w:r>
      <w:r w:rsidR="00EC7491">
        <w:t xml:space="preserve"> the Dundee </w:t>
      </w:r>
      <w:r w:rsidR="00D47E8E">
        <w:t>Rhyodacite</w:t>
      </w:r>
      <w:r w:rsidRPr="00407BC9">
        <w:t xml:space="preserve"> </w:t>
      </w:r>
      <w:r w:rsidR="00EC7491">
        <w:t xml:space="preserve">(sample </w:t>
      </w:r>
      <w:r w:rsidRPr="00407BC9">
        <w:t>1683223</w:t>
      </w:r>
      <w:r w:rsidR="00EC7491">
        <w:t>)</w:t>
      </w:r>
      <w:r w:rsidRPr="00407BC9">
        <w:t xml:space="preserve"> yield CA-TIMS dates with a weighted mean of 253.10 ± 0.07 / 0.14 / 0.30 Ma (MSWD = 0.6, </w:t>
      </w:r>
      <w:proofErr w:type="spellStart"/>
      <w:r w:rsidRPr="00407BC9">
        <w:t>p</w:t>
      </w:r>
      <w:r>
        <w:t>of</w:t>
      </w:r>
      <w:proofErr w:type="spellEnd"/>
      <w:r w:rsidRPr="00407BC9">
        <w:t xml:space="preserve"> = 0.68). This is the interpreted eruption age</w:t>
      </w:r>
      <w:r>
        <w:t xml:space="preserve"> </w:t>
      </w:r>
      <w:r w:rsidR="00EC7491">
        <w:t xml:space="preserve">of the </w:t>
      </w:r>
      <w:r w:rsidR="00D47E8E">
        <w:t>rhyodacite</w:t>
      </w:r>
      <w:r w:rsidR="00EC7491">
        <w:t xml:space="preserve"> </w:t>
      </w:r>
      <w:r>
        <w:t>(Table S3)</w:t>
      </w:r>
      <w:r w:rsidRPr="00407BC9">
        <w:t>.</w:t>
      </w:r>
    </w:p>
    <w:p w14:paraId="708E776A" w14:textId="5A5E8620" w:rsidR="00BA5048" w:rsidRDefault="00BA5048" w:rsidP="00BA5048">
      <w:pPr>
        <w:spacing w:line="480" w:lineRule="auto"/>
        <w:ind w:firstLine="187"/>
      </w:pPr>
      <w:r>
        <w:tab/>
      </w:r>
      <w:r w:rsidRPr="00407BC9">
        <w:t xml:space="preserve">Five grains from </w:t>
      </w:r>
      <w:r w:rsidR="00EC7491">
        <w:t xml:space="preserve">the Magistrate Ignimbrite (sample </w:t>
      </w:r>
      <w:r w:rsidRPr="00407BC9">
        <w:t>1683222</w:t>
      </w:r>
      <w:r w:rsidR="00EC7491">
        <w:t>)</w:t>
      </w:r>
      <w:r w:rsidRPr="00407BC9">
        <w:t xml:space="preserve"> yield CA-TIMS dates with a weighted mean of 253.46 ± 0.09 / 0.16 / 0.31 Ma (MSWD = 1.3, </w:t>
      </w:r>
      <w:proofErr w:type="spellStart"/>
      <w:r w:rsidRPr="00407BC9">
        <w:t>p</w:t>
      </w:r>
      <w:r>
        <w:t>o</w:t>
      </w:r>
      <w:r w:rsidRPr="00407BC9">
        <w:t>f</w:t>
      </w:r>
      <w:proofErr w:type="spellEnd"/>
      <w:r w:rsidRPr="00407BC9">
        <w:t xml:space="preserve"> = 0.29). This is the interpreted eruption age</w:t>
      </w:r>
      <w:r>
        <w:t xml:space="preserve"> </w:t>
      </w:r>
      <w:r w:rsidR="00EC7491">
        <w:t xml:space="preserve">of the ignimbrite deposit </w:t>
      </w:r>
      <w:r>
        <w:t>(Fig. S1)</w:t>
      </w:r>
      <w:r w:rsidRPr="00407BC9">
        <w:t>.</w:t>
      </w:r>
    </w:p>
    <w:p w14:paraId="302C316A" w14:textId="7A50B8EE" w:rsidR="00EC7491" w:rsidRDefault="00EC7491" w:rsidP="00EC7491">
      <w:pPr>
        <w:spacing w:line="480" w:lineRule="auto"/>
        <w:ind w:firstLine="187"/>
      </w:pPr>
      <w:r>
        <w:t xml:space="preserve">Six grains from </w:t>
      </w:r>
      <w:r w:rsidR="00D47E8E">
        <w:t xml:space="preserve">the Parlour Mountain </w:t>
      </w:r>
      <w:proofErr w:type="spellStart"/>
      <w:r w:rsidR="00D47E8E">
        <w:t>Leucomonzogranite</w:t>
      </w:r>
      <w:proofErr w:type="spellEnd"/>
      <w:r w:rsidR="00D47E8E">
        <w:t xml:space="preserve"> </w:t>
      </w:r>
      <w:r>
        <w:t>(sample 1954029) yield CA-TIMS dates with a weighted mean of 255.08 ± 0.08 / 0.15 / 0.31 Ma (MSWD = 1.2, probability of fit = 0.29). This is the interpreted emplacement age</w:t>
      </w:r>
      <w:r w:rsidR="00D47E8E">
        <w:t xml:space="preserve"> of the </w:t>
      </w:r>
      <w:proofErr w:type="spellStart"/>
      <w:r w:rsidR="00D47E8E">
        <w:t>leucomonzogranite</w:t>
      </w:r>
      <w:proofErr w:type="spellEnd"/>
      <w:r>
        <w:t>.</w:t>
      </w:r>
    </w:p>
    <w:p w14:paraId="545A2176" w14:textId="16954D0A" w:rsidR="00EC7491" w:rsidRDefault="00EC7491" w:rsidP="00EC7491">
      <w:pPr>
        <w:spacing w:line="480" w:lineRule="auto"/>
        <w:ind w:firstLine="187"/>
      </w:pPr>
      <w:r>
        <w:lastRenderedPageBreak/>
        <w:t xml:space="preserve">Six grains from </w:t>
      </w:r>
      <w:r w:rsidR="00D47E8E">
        <w:t xml:space="preserve">the Gwydir River monzogranite (sample </w:t>
      </w:r>
      <w:r>
        <w:t>1954030</w:t>
      </w:r>
      <w:r w:rsidR="00D47E8E">
        <w:t>)</w:t>
      </w:r>
      <w:r>
        <w:t xml:space="preserve"> were analysed by CA-TIMS, and the three youngest dates yield a weighted mean of 252.76 ± 0.12 / 0.17 / 0.32 Ma (MSWD = 2.6, probability of fit = 0.08). This is the interpreted emplacement age</w:t>
      </w:r>
      <w:r w:rsidR="00D47E8E">
        <w:t xml:space="preserve"> of the monzogranite</w:t>
      </w:r>
      <w:r>
        <w:t>. Three grains that yielded dates of 253.14 ± 0.17 to 252.95 ± 0.19 Ma are interpreted as having inherited components.</w:t>
      </w:r>
    </w:p>
    <w:p w14:paraId="1F61E10A" w14:textId="1F56D047" w:rsidR="00EC7491" w:rsidRPr="00407BC9" w:rsidRDefault="00EC7491" w:rsidP="00EC7491">
      <w:pPr>
        <w:spacing w:line="480" w:lineRule="auto"/>
        <w:ind w:firstLine="187"/>
      </w:pPr>
      <w:r>
        <w:t xml:space="preserve">Six grains from </w:t>
      </w:r>
      <w:r w:rsidR="00D47E8E">
        <w:t xml:space="preserve">the Regional Felsic Dyke Swarm (sample </w:t>
      </w:r>
      <w:r>
        <w:t xml:space="preserve">1954031 </w:t>
      </w:r>
      <w:r w:rsidR="00D47E8E">
        <w:t>[</w:t>
      </w:r>
      <w:r>
        <w:t>200801607</w:t>
      </w:r>
      <w:r w:rsidR="00D47E8E">
        <w:t>])</w:t>
      </w:r>
      <w:r>
        <w:t xml:space="preserve"> were analysed by CA-TIMS, and the three youngest dates yield a weighted mean of 254.62 ± 0.13 / 0.18 / 0.32 Ma (MSWD = 0.2, probability of fit = 0.83). This is the interpreted emplacement age</w:t>
      </w:r>
      <w:r w:rsidR="00D47E8E">
        <w:t xml:space="preserve"> of the dyke swarm</w:t>
      </w:r>
      <w:r>
        <w:t>. Three grains that yielded dates of 256.01 ± 0.22 to 255.19 ± 0.17 Ma are interpreted as having inherited components.</w:t>
      </w:r>
    </w:p>
    <w:p w14:paraId="24880B5B" w14:textId="6AF8938A" w:rsidR="00BA5048" w:rsidRPr="00407BC9" w:rsidRDefault="00BA5048" w:rsidP="00BA5048">
      <w:pPr>
        <w:spacing w:line="480" w:lineRule="auto"/>
      </w:pPr>
      <w:r>
        <w:tab/>
      </w:r>
      <w:r w:rsidRPr="00407BC9">
        <w:t xml:space="preserve">Six grains from </w:t>
      </w:r>
      <w:r w:rsidR="00D47E8E">
        <w:t xml:space="preserve">the Emmaville rhyolite (sample </w:t>
      </w:r>
      <w:r w:rsidRPr="00407BC9">
        <w:t>2105111</w:t>
      </w:r>
      <w:r w:rsidR="00D47E8E">
        <w:t>)</w:t>
      </w:r>
      <w:r w:rsidRPr="00407BC9">
        <w:t xml:space="preserve"> were analy</w:t>
      </w:r>
      <w:r>
        <w:t>s</w:t>
      </w:r>
      <w:r w:rsidRPr="00407BC9">
        <w:t xml:space="preserve">ed by CA-TIMS, and the five youngest dates yield a weighted mean of 253.59 ± 0.08 / 0.15 / 0.31 Ma (MSWD = 1.5, </w:t>
      </w:r>
      <w:proofErr w:type="spellStart"/>
      <w:r>
        <w:t>pof</w:t>
      </w:r>
      <w:proofErr w:type="spellEnd"/>
      <w:r w:rsidRPr="00407BC9">
        <w:t xml:space="preserve"> = 0.20). This is the interpreted eruption age</w:t>
      </w:r>
      <w:r>
        <w:t xml:space="preserve"> </w:t>
      </w:r>
      <w:r w:rsidR="00EC7491">
        <w:t xml:space="preserve">of the </w:t>
      </w:r>
      <w:r w:rsidR="00D47E8E">
        <w:t>Emmaville</w:t>
      </w:r>
      <w:r w:rsidR="00EC7491">
        <w:t xml:space="preserve"> deposit </w:t>
      </w:r>
      <w:r>
        <w:t>(Fig. S1)</w:t>
      </w:r>
      <w:r w:rsidRPr="00407BC9">
        <w:t>. One grain that yielded a date of 253.80 ± 0.18 Ma is interpreted as having an inherited component.</w:t>
      </w:r>
    </w:p>
    <w:p w14:paraId="122860A0" w14:textId="6186ABDB" w:rsidR="00BA5048" w:rsidRPr="009F5D8C" w:rsidRDefault="00BA5048" w:rsidP="00BA5048">
      <w:pPr>
        <w:spacing w:line="480" w:lineRule="auto"/>
      </w:pPr>
      <w:r>
        <w:tab/>
      </w:r>
      <w:r w:rsidRPr="00407BC9">
        <w:t xml:space="preserve">Six grains from </w:t>
      </w:r>
      <w:r w:rsidR="00D47E8E">
        <w:t xml:space="preserve">the Attunga </w:t>
      </w:r>
      <w:proofErr w:type="spellStart"/>
      <w:r w:rsidR="00D47E8E">
        <w:t>Volcanics</w:t>
      </w:r>
      <w:proofErr w:type="spellEnd"/>
      <w:r w:rsidR="00D47E8E">
        <w:t xml:space="preserve"> (sample </w:t>
      </w:r>
      <w:r w:rsidRPr="00407BC9">
        <w:t>2120076</w:t>
      </w:r>
      <w:r w:rsidR="00D47E8E">
        <w:t>)</w:t>
      </w:r>
      <w:r w:rsidRPr="00407BC9">
        <w:t xml:space="preserve"> yield CA-TIMS dates with a weighted mean of 254.58 ± 0.07 / 0.14 / 0.31 Ma (MSWD = 0.3, </w:t>
      </w:r>
      <w:proofErr w:type="spellStart"/>
      <w:r>
        <w:t>pof</w:t>
      </w:r>
      <w:proofErr w:type="spellEnd"/>
      <w:r w:rsidRPr="00407BC9">
        <w:t xml:space="preserve"> = 0.89).</w:t>
      </w:r>
      <w:r w:rsidRPr="009F5D8C">
        <w:t xml:space="preserve"> This is the interpreted eruption age</w:t>
      </w:r>
      <w:r>
        <w:t xml:space="preserve"> </w:t>
      </w:r>
      <w:r w:rsidR="00EC7491">
        <w:t xml:space="preserve">of the </w:t>
      </w:r>
      <w:r w:rsidR="00D47E8E">
        <w:t>volcanic</w:t>
      </w:r>
      <w:r w:rsidR="00EC7491">
        <w:t xml:space="preserve"> deposit </w:t>
      </w:r>
      <w:r>
        <w:t>(Fig. S1)</w:t>
      </w:r>
      <w:r w:rsidRPr="009F5D8C">
        <w:t xml:space="preserve">. </w:t>
      </w:r>
    </w:p>
    <w:p w14:paraId="320FA74D" w14:textId="33788282" w:rsidR="00BA5048" w:rsidRPr="009F5D8C" w:rsidRDefault="00BA5048" w:rsidP="00BA5048">
      <w:pPr>
        <w:spacing w:line="480" w:lineRule="auto"/>
      </w:pPr>
      <w:r>
        <w:tab/>
      </w:r>
      <w:r w:rsidRPr="00407BC9">
        <w:t xml:space="preserve">Six grains from </w:t>
      </w:r>
      <w:r w:rsidR="00D47E8E">
        <w:t xml:space="preserve">the Uralla </w:t>
      </w:r>
      <w:proofErr w:type="spellStart"/>
      <w:r w:rsidR="00D47E8E">
        <w:t>Volcanics</w:t>
      </w:r>
      <w:proofErr w:type="spellEnd"/>
      <w:r w:rsidR="00D47E8E">
        <w:t xml:space="preserve"> (sample </w:t>
      </w:r>
      <w:r w:rsidRPr="00407BC9">
        <w:t>2120074</w:t>
      </w:r>
      <w:r w:rsidR="00D47E8E">
        <w:t>)</w:t>
      </w:r>
      <w:r w:rsidRPr="00407BC9">
        <w:t xml:space="preserve"> were analy</w:t>
      </w:r>
      <w:r>
        <w:t>s</w:t>
      </w:r>
      <w:r w:rsidRPr="00407BC9">
        <w:t xml:space="preserve">ed by CA-TIMS, and the four youngest dates yield a weighted mean of 253.70 ± 0.11 / 0.16 / 0.32 Ma (MSWD = 1.3, </w:t>
      </w:r>
      <w:proofErr w:type="spellStart"/>
      <w:r>
        <w:t>pof</w:t>
      </w:r>
      <w:proofErr w:type="spellEnd"/>
      <w:r w:rsidRPr="00407BC9">
        <w:t xml:space="preserve"> = 0.26).</w:t>
      </w:r>
      <w:r w:rsidRPr="009F5D8C">
        <w:t xml:space="preserve"> This is the interpreted eruption age</w:t>
      </w:r>
      <w:r>
        <w:t xml:space="preserve"> </w:t>
      </w:r>
      <w:r w:rsidR="00EC7491">
        <w:t xml:space="preserve">of the </w:t>
      </w:r>
      <w:r w:rsidR="00D47E8E">
        <w:t>volcanic</w:t>
      </w:r>
      <w:r w:rsidR="00EC7491">
        <w:t xml:space="preserve"> deposit </w:t>
      </w:r>
      <w:r>
        <w:t>(Fig. S1)</w:t>
      </w:r>
      <w:r w:rsidRPr="009F5D8C">
        <w:t>. Two grains that yielded dates of 255.18 ± 0.18 and 255.17 ± 0.27 Ma are interpreted as having inherited components.</w:t>
      </w:r>
    </w:p>
    <w:p w14:paraId="1D921243" w14:textId="7DA388B0" w:rsidR="00BA5048" w:rsidRPr="009F5D8C" w:rsidRDefault="00BA5048" w:rsidP="00BA5048">
      <w:pPr>
        <w:spacing w:line="480" w:lineRule="auto"/>
      </w:pPr>
      <w:r>
        <w:tab/>
      </w:r>
      <w:r w:rsidRPr="00407BC9">
        <w:t xml:space="preserve">Six grains from </w:t>
      </w:r>
      <w:r w:rsidR="00D47E8E">
        <w:t xml:space="preserve">the Kurrajong Park </w:t>
      </w:r>
      <w:proofErr w:type="spellStart"/>
      <w:r w:rsidR="00D47E8E">
        <w:t>Volcanics</w:t>
      </w:r>
      <w:proofErr w:type="spellEnd"/>
      <w:r w:rsidR="00D47E8E">
        <w:t xml:space="preserve"> (sample </w:t>
      </w:r>
      <w:r w:rsidRPr="00407BC9">
        <w:t>2120077</w:t>
      </w:r>
      <w:r w:rsidR="00D47E8E">
        <w:t>)</w:t>
      </w:r>
      <w:r w:rsidRPr="00407BC9">
        <w:t xml:space="preserve"> were analy</w:t>
      </w:r>
      <w:r>
        <w:t>s</w:t>
      </w:r>
      <w:r w:rsidRPr="00407BC9">
        <w:t xml:space="preserve">ed by CA-TIMS, and the four youngest dates yield a weighted mean of 255.48 ± 0.07 / 0.15 / 0.31 </w:t>
      </w:r>
      <w:r w:rsidRPr="00407BC9">
        <w:lastRenderedPageBreak/>
        <w:t xml:space="preserve">Ma (MSWD = 1.4, </w:t>
      </w:r>
      <w:proofErr w:type="spellStart"/>
      <w:r>
        <w:t>pof</w:t>
      </w:r>
      <w:proofErr w:type="spellEnd"/>
      <w:r w:rsidRPr="00407BC9">
        <w:t xml:space="preserve"> = 0.23). This is the interpreted eruption age</w:t>
      </w:r>
      <w:r>
        <w:t xml:space="preserve"> </w:t>
      </w:r>
      <w:r w:rsidR="00EC7491">
        <w:t xml:space="preserve">of the </w:t>
      </w:r>
      <w:r w:rsidR="00D47E8E">
        <w:t>volcanic</w:t>
      </w:r>
      <w:r w:rsidR="00EC7491">
        <w:t xml:space="preserve"> deposit </w:t>
      </w:r>
      <w:r>
        <w:t>(Fig. S1)</w:t>
      </w:r>
      <w:r w:rsidRPr="00407BC9">
        <w:t>. One grain that yielded a date of 255.96 ± 0.17 Ma is interpreted as having an inherited component.</w:t>
      </w:r>
    </w:p>
    <w:p w14:paraId="07D34D4A" w14:textId="70F7A892" w:rsidR="00BA5048" w:rsidRPr="009F5D8C" w:rsidRDefault="00BA5048" w:rsidP="00BA5048">
      <w:pPr>
        <w:spacing w:line="480" w:lineRule="auto"/>
      </w:pPr>
      <w:r>
        <w:tab/>
      </w:r>
      <w:r w:rsidRPr="00407BC9">
        <w:t xml:space="preserve">Forty grains from </w:t>
      </w:r>
      <w:r w:rsidR="00D47E8E">
        <w:t xml:space="preserve">the Kings Plain Ignimbrite (sample </w:t>
      </w:r>
      <w:r w:rsidRPr="00407BC9">
        <w:t>19KP02</w:t>
      </w:r>
      <w:r w:rsidR="00D47E8E">
        <w:t>)</w:t>
      </w:r>
      <w:r w:rsidRPr="00407BC9">
        <w:t xml:space="preserve"> analy</w:t>
      </w:r>
      <w:r>
        <w:t>s</w:t>
      </w:r>
      <w:r w:rsidRPr="00407BC9">
        <w:t>ed by LA-ICPMS yield dates of 272 ± 12 to 246 ± 5 Ma. Seven grains were analy</w:t>
      </w:r>
      <w:r>
        <w:t>s</w:t>
      </w:r>
      <w:r w:rsidRPr="00407BC9">
        <w:t xml:space="preserve">ed by CA-TIMS, and the four youngest dates yield a weighted mean of </w:t>
      </w:r>
      <w:r w:rsidRPr="009F5D8C">
        <w:t xml:space="preserve">253.70 ± 0.11 / 0.16 / 0.32 Ma (MSWD = 1.3, </w:t>
      </w:r>
      <w:proofErr w:type="spellStart"/>
      <w:r>
        <w:t>pof</w:t>
      </w:r>
      <w:proofErr w:type="spellEnd"/>
      <w:r w:rsidRPr="009F5D8C">
        <w:t xml:space="preserve"> = 0.26). This is the interpreted eruption age</w:t>
      </w:r>
      <w:r>
        <w:t xml:space="preserve"> </w:t>
      </w:r>
      <w:r w:rsidR="00EC7491">
        <w:t xml:space="preserve">of the ignimbrite deposit </w:t>
      </w:r>
      <w:r>
        <w:t>(Fig. S1)</w:t>
      </w:r>
      <w:r w:rsidRPr="009F5D8C">
        <w:t>. Two grains that yielded dates of 256.34 ± 0.08 and 256.20 ± 0.08 Ma are interpreted as having inherited components.</w:t>
      </w:r>
    </w:p>
    <w:p w14:paraId="5048C528" w14:textId="225D0101" w:rsidR="00BA5048" w:rsidRPr="009F5D8C" w:rsidRDefault="00BA5048" w:rsidP="00BA5048">
      <w:pPr>
        <w:spacing w:line="480" w:lineRule="auto"/>
      </w:pPr>
      <w:r>
        <w:tab/>
      </w:r>
      <w:r w:rsidRPr="00407BC9">
        <w:t xml:space="preserve">Fifty-three grains from </w:t>
      </w:r>
      <w:r w:rsidR="00D47E8E">
        <w:t xml:space="preserve">the Annalee </w:t>
      </w:r>
      <w:proofErr w:type="spellStart"/>
      <w:r w:rsidR="00D47E8E">
        <w:t>Pyroclastics</w:t>
      </w:r>
      <w:proofErr w:type="spellEnd"/>
      <w:r w:rsidR="00D47E8E">
        <w:t xml:space="preserve"> (sample </w:t>
      </w:r>
      <w:r w:rsidRPr="00407BC9">
        <w:t>PB-19-WVG-01B</w:t>
      </w:r>
      <w:r w:rsidR="00D47E8E">
        <w:t>)</w:t>
      </w:r>
      <w:r w:rsidRPr="00407BC9">
        <w:t xml:space="preserve"> analy</w:t>
      </w:r>
      <w:r>
        <w:t>s</w:t>
      </w:r>
      <w:r w:rsidRPr="00407BC9">
        <w:t xml:space="preserve">ed by LA-ICPMS yield dates of 264 ± 9 to 227 ± 13 Ma. </w:t>
      </w:r>
      <w:r w:rsidRPr="009F5D8C">
        <w:t>Eight grains were analy</w:t>
      </w:r>
      <w:r>
        <w:t>s</w:t>
      </w:r>
      <w:r w:rsidRPr="009F5D8C">
        <w:t xml:space="preserve">ed by CA-TIMS, and the four youngest dates yield a weighted mean of 256.19 ± 0.09 / 0.16 / 0.31 Ma (MSWD = 1.2, </w:t>
      </w:r>
      <w:proofErr w:type="spellStart"/>
      <w:r>
        <w:t>pof</w:t>
      </w:r>
      <w:proofErr w:type="spellEnd"/>
      <w:r w:rsidRPr="009F5D8C">
        <w:t xml:space="preserve"> = 0.32). This is the interpreted eruption age</w:t>
      </w:r>
      <w:r>
        <w:t xml:space="preserve"> </w:t>
      </w:r>
      <w:r w:rsidR="00EC7491">
        <w:t xml:space="preserve">of the </w:t>
      </w:r>
      <w:r w:rsidR="00D47E8E">
        <w:t>pyroclastic</w:t>
      </w:r>
      <w:r w:rsidR="00EC7491">
        <w:t xml:space="preserve"> deposit </w:t>
      </w:r>
      <w:r>
        <w:t>(Fig. S1)</w:t>
      </w:r>
      <w:r w:rsidRPr="009F5D8C">
        <w:t>. Four grains that yielded dates of 257.41 ± 0.19 to 256.58 ± 0.18 Ma are interpreted as having inherited components.</w:t>
      </w:r>
    </w:p>
    <w:p w14:paraId="12C06EFE" w14:textId="6910494C" w:rsidR="00BA5048" w:rsidRPr="00513609" w:rsidRDefault="00BA5048" w:rsidP="00BA5048">
      <w:pPr>
        <w:spacing w:line="480" w:lineRule="auto"/>
        <w:rPr>
          <w:lang w:val="en-US"/>
        </w:rPr>
      </w:pPr>
      <w:r>
        <w:tab/>
      </w:r>
      <w:r w:rsidRPr="00407BC9">
        <w:t xml:space="preserve">Thirty-nine grains from </w:t>
      </w:r>
      <w:r w:rsidR="00D47E8E">
        <w:t xml:space="preserve">the </w:t>
      </w:r>
      <w:proofErr w:type="spellStart"/>
      <w:r w:rsidR="00D47E8E">
        <w:t>Weean</w:t>
      </w:r>
      <w:proofErr w:type="spellEnd"/>
      <w:r w:rsidR="00D47E8E">
        <w:t xml:space="preserve"> Ignimbrite (sample </w:t>
      </w:r>
      <w:r w:rsidRPr="00407BC9">
        <w:t>19GI05</w:t>
      </w:r>
      <w:r w:rsidR="00D47E8E">
        <w:t>)</w:t>
      </w:r>
      <w:r w:rsidRPr="00407BC9">
        <w:t xml:space="preserve"> analy</w:t>
      </w:r>
      <w:r>
        <w:t>s</w:t>
      </w:r>
      <w:r w:rsidRPr="00407BC9">
        <w:t>ed by LA-ICPMS yield dates of 270 ± 10 to 248 ± 8 Ma. Ten grains were analy</w:t>
      </w:r>
      <w:r>
        <w:t>s</w:t>
      </w:r>
      <w:r w:rsidRPr="00407BC9">
        <w:t>ed by CA-TIM</w:t>
      </w:r>
      <w:r w:rsidRPr="009F5D8C">
        <w:t xml:space="preserve">S, and the four youngest dates yield a weighted mean of 257.55 ± 0.05 / 0.13 / 0.30 Ma (MSWD = 2.0, </w:t>
      </w:r>
      <w:proofErr w:type="spellStart"/>
      <w:r>
        <w:t>pof</w:t>
      </w:r>
      <w:proofErr w:type="spellEnd"/>
      <w:r w:rsidRPr="009F5D8C">
        <w:t xml:space="preserve"> = 0.12). Six grains that yielded dates of 258.97 ± 0.11 to 257.76 ± 0.12 Ma are interpreted as having inherited components</w:t>
      </w:r>
      <w:r>
        <w:t xml:space="preserve"> (Fig. S1)</w:t>
      </w:r>
      <w:r w:rsidRPr="009F5D8C">
        <w:t>.</w:t>
      </w:r>
    </w:p>
    <w:p w14:paraId="7B6EC97B" w14:textId="77777777" w:rsidR="00BA5048" w:rsidRPr="005D204D" w:rsidRDefault="00BA5048" w:rsidP="00BA5048">
      <w:pPr>
        <w:spacing w:line="480" w:lineRule="auto"/>
        <w:rPr>
          <w:rFonts w:ascii="Times" w:hAnsi="Times"/>
        </w:rPr>
      </w:pPr>
    </w:p>
    <w:p w14:paraId="64347143" w14:textId="77777777" w:rsidR="00BA5048" w:rsidRPr="005465E6" w:rsidRDefault="00BA5048" w:rsidP="00BA5048">
      <w:pPr>
        <w:spacing w:line="480" w:lineRule="auto"/>
        <w:rPr>
          <w:i/>
          <w:color w:val="000000" w:themeColor="text1"/>
        </w:rPr>
      </w:pPr>
      <w:r>
        <w:rPr>
          <w:i/>
          <w:color w:val="000000" w:themeColor="text1"/>
        </w:rPr>
        <w:t>Volume calculations</w:t>
      </w:r>
    </w:p>
    <w:p w14:paraId="4AEA01AA" w14:textId="1400D388" w:rsidR="00BA5048" w:rsidRDefault="00BA5048" w:rsidP="00BA5048">
      <w:pPr>
        <w:spacing w:line="480" w:lineRule="auto"/>
        <w:rPr>
          <w:color w:val="000000" w:themeColor="text1"/>
        </w:rPr>
      </w:pPr>
      <w:r>
        <w:rPr>
          <w:color w:val="000000" w:themeColor="text1"/>
        </w:rPr>
        <w:t>Surface area calculations were based on geological maps from the southern New England Orogen in New South Wales and Queensland provided by the appropriate government surveys</w:t>
      </w:r>
      <w:r w:rsidR="00CE5D28">
        <w:rPr>
          <w:color w:val="000000" w:themeColor="text1"/>
        </w:rPr>
        <w:t xml:space="preserve"> </w:t>
      </w:r>
      <w:r w:rsidR="00F673BA">
        <w:rPr>
          <w:color w:val="000000" w:themeColor="text1"/>
        </w:rPr>
        <w:t xml:space="preserve">and refined based on direct field observations </w:t>
      </w:r>
      <w:r w:rsidR="00CE5D28">
        <w:rPr>
          <w:color w:val="000000" w:themeColor="text1"/>
        </w:rPr>
        <w:t>(Figs 2 &amp; S4)</w:t>
      </w:r>
      <w:r w:rsidR="002E073A">
        <w:rPr>
          <w:color w:val="000000" w:themeColor="text1"/>
        </w:rPr>
        <w:fldChar w:fldCharType="begin">
          <w:fldData xml:space="preserve">PEVuZE5vdGU+PENpdGU+PEF1dGhvcj5PZmZlbmJ1cmc8L0F1dGhvcj48WWVhcj4xOTczPC9ZZWFy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</w:fldData>
        </w:fldChar>
      </w:r>
      <w:r w:rsidR="002E073A">
        <w:rPr>
          <w:color w:val="000000" w:themeColor="text1"/>
        </w:rPr>
        <w:instrText xml:space="preserve"> ADDIN EN.CITE </w:instrText>
      </w:r>
      <w:r w:rsidR="002E073A">
        <w:rPr>
          <w:color w:val="000000" w:themeColor="text1"/>
        </w:rPr>
        <w:fldChar w:fldCharType="begin">
          <w:fldData xml:space="preserve">PEVuZE5vdGU+PENpdGU+PEF1dGhvcj5PZmZlbmJ1cmc8L0F1dGhvcj48WWVhcj4xOTczPC9ZZWFy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</w:fldData>
        </w:fldChar>
      </w:r>
      <w:r w:rsidR="002E073A">
        <w:rPr>
          <w:color w:val="000000" w:themeColor="text1"/>
        </w:rPr>
        <w:instrText xml:space="preserve"> ADDIN EN.CITE.DATA </w:instrText>
      </w:r>
      <w:r w:rsidR="002E073A">
        <w:rPr>
          <w:color w:val="000000" w:themeColor="text1"/>
        </w:rPr>
      </w:r>
      <w:r w:rsidR="002E073A">
        <w:rPr>
          <w:color w:val="000000" w:themeColor="text1"/>
        </w:rPr>
        <w:fldChar w:fldCharType="end"/>
      </w:r>
      <w:r w:rsidR="002E073A">
        <w:rPr>
          <w:color w:val="000000" w:themeColor="text1"/>
        </w:rPr>
      </w:r>
      <w:r w:rsidR="002E073A">
        <w:rPr>
          <w:color w:val="000000" w:themeColor="text1"/>
        </w:rPr>
        <w:fldChar w:fldCharType="separate"/>
      </w:r>
      <w:r w:rsidR="002E073A" w:rsidRPr="002E073A">
        <w:rPr>
          <w:noProof/>
          <w:color w:val="000000" w:themeColor="text1"/>
          <w:vertAlign w:val="superscript"/>
        </w:rPr>
        <w:t>13-15</w:t>
      </w:r>
      <w:r w:rsidR="002E073A">
        <w:rPr>
          <w:color w:val="000000" w:themeColor="text1"/>
        </w:rPr>
        <w:fldChar w:fldCharType="end"/>
      </w:r>
      <w:r>
        <w:rPr>
          <w:color w:val="000000" w:themeColor="text1"/>
        </w:rPr>
        <w:t xml:space="preserve">. The contiguous </w:t>
      </w:r>
      <w:r>
        <w:rPr>
          <w:color w:val="000000" w:themeColor="text1"/>
        </w:rPr>
        <w:lastRenderedPageBreak/>
        <w:t>volcanic and plutonic outcrop in the southern New England Orogen is the most representative of addition rates along the Eastern Australia margin in the Permian (Fig. 2). Much of the arc in northern Queensland is poorly exposed due to the occurrence of abundant younger sedimentary cover sequences</w:t>
      </w:r>
      <w:r w:rsidR="00F673BA">
        <w:rPr>
          <w:color w:val="000000" w:themeColor="text1"/>
        </w:rPr>
        <w:t>,</w:t>
      </w:r>
      <w:r>
        <w:rPr>
          <w:color w:val="000000" w:themeColor="text1"/>
        </w:rPr>
        <w:t xml:space="preserve"> and </w:t>
      </w:r>
      <w:r w:rsidR="00F673BA">
        <w:rPr>
          <w:color w:val="000000" w:themeColor="text1"/>
        </w:rPr>
        <w:t xml:space="preserve">it </w:t>
      </w:r>
      <w:r>
        <w:rPr>
          <w:color w:val="000000" w:themeColor="text1"/>
        </w:rPr>
        <w:t xml:space="preserve">also lacks abundant volcanic material. The surface areas were determined for regions via the removal of appropriate Tertiary basaltic </w:t>
      </w:r>
      <w:r w:rsidR="00F673BA">
        <w:rPr>
          <w:color w:val="000000" w:themeColor="text1"/>
        </w:rPr>
        <w:t xml:space="preserve">and alluvial </w:t>
      </w:r>
      <w:r>
        <w:rPr>
          <w:color w:val="000000" w:themeColor="text1"/>
        </w:rPr>
        <w:t xml:space="preserve">cover that obscures clear geological relationships (Fig. </w:t>
      </w:r>
      <w:r w:rsidR="00EA6B60">
        <w:rPr>
          <w:color w:val="000000" w:themeColor="text1"/>
        </w:rPr>
        <w:t>S</w:t>
      </w:r>
      <w:r w:rsidR="00CE5D28">
        <w:rPr>
          <w:color w:val="000000" w:themeColor="text1"/>
        </w:rPr>
        <w:t>5</w:t>
      </w:r>
      <w:r w:rsidR="00EA6B60">
        <w:rPr>
          <w:color w:val="000000" w:themeColor="text1"/>
        </w:rPr>
        <w:t>a</w:t>
      </w:r>
      <w:r>
        <w:rPr>
          <w:color w:val="000000" w:themeColor="text1"/>
        </w:rPr>
        <w:t xml:space="preserve">). </w:t>
      </w:r>
      <w:r w:rsidR="00F673BA">
        <w:rPr>
          <w:color w:val="000000" w:themeColor="text1"/>
        </w:rPr>
        <w:t xml:space="preserve">The volcanic and plutonic outcrops occur as inliers within the Tertiary basalt flows across most of the southern New England Orogen, consistent with the lateral continuity across the field area. </w:t>
      </w:r>
      <w:r w:rsidR="0067319D">
        <w:rPr>
          <w:color w:val="000000" w:themeColor="text1"/>
        </w:rPr>
        <w:t xml:space="preserve">A map of the geological relationships with the Tertiary cover is provided in Figure </w:t>
      </w:r>
      <w:r w:rsidR="00F673BA">
        <w:rPr>
          <w:color w:val="000000" w:themeColor="text1"/>
        </w:rPr>
        <w:t>S4</w:t>
      </w:r>
      <w:r w:rsidR="0067319D">
        <w:rPr>
          <w:color w:val="000000" w:themeColor="text1"/>
        </w:rPr>
        <w:t xml:space="preserve">. </w:t>
      </w:r>
      <w:r>
        <w:rPr>
          <w:color w:val="000000" w:themeColor="text1"/>
        </w:rPr>
        <w:t xml:space="preserve">Much of the Wandsworth Volcanic Group is weathered away or </w:t>
      </w:r>
      <w:proofErr w:type="spellStart"/>
      <w:r>
        <w:rPr>
          <w:color w:val="000000" w:themeColor="text1"/>
        </w:rPr>
        <w:t>stoped</w:t>
      </w:r>
      <w:proofErr w:type="spellEnd"/>
      <w:r>
        <w:rPr>
          <w:color w:val="000000" w:themeColor="text1"/>
        </w:rPr>
        <w:t xml:space="preserve"> out by extensive younger plutonism. The total volcanic sequence is predicted to have a thickness of 6500–8000 m based on mapped relationships and geophysical surveys</w:t>
      </w:r>
      <w:r w:rsidR="0067319D">
        <w:rPr>
          <w:color w:val="000000" w:themeColor="text1"/>
        </w:rPr>
        <w:fldChar w:fldCharType="begin"/>
      </w:r>
      <w:r w:rsidR="0067319D">
        <w:rPr>
          <w:color w:val="000000" w:themeColor="text1"/>
        </w:rPr>
        <w:instrText xml:space="preserve"> ADDIN EN.CITE &lt;EndNote&gt;&lt;Cite&gt;&lt;Author&gt;Barnes&lt;/Author&gt;&lt;Year&gt;1991&lt;/Year&gt;&lt;RecNum&gt;87&lt;/RecNum&gt;&lt;DisplayText&gt;&lt;style face="superscript"&gt;16,17&lt;/style&gt;&lt;/DisplayText&gt;&lt;record&gt;&lt;rec-number&gt;87&lt;/rec-number&gt;&lt;foreign-keys&gt;&lt;key app="EN" db-id="epdfw2r9qt2dr1ep59j5sss0pr0vapa9rsfd" timestamp="1603170561"&gt;87&lt;/key&gt;&lt;/foreign-keys&gt;&lt;ref-type name="Journal Article"&gt;17&lt;/ref-type&gt;&lt;contributors&gt;&lt;authors&gt;&lt;author&gt;Barnes, R. G.&lt;/author&gt;&lt;author&gt;Brown, R. E.&lt;/author&gt;&lt;author&gt;Brownlow, J. W.&lt;/author&gt;&lt;author&gt;Stroud, W. J.&lt;/author&gt;&lt;/authors&gt;&lt;/contributors&gt;&lt;titles&gt;&lt;title&gt;Late Permian volcanics in New England&lt;/title&gt;&lt;secondary-title&gt;Quarterly Note of the Geological Survey of New South Wales&lt;/secondary-title&gt;&lt;/titles&gt;&lt;periodical&gt;&lt;full-title&gt;Quarterly Note of the Geological Survey of New South Wales&lt;/full-title&gt;&lt;/periodical&gt;&lt;pages&gt;1–36&lt;/pages&gt;&lt;volume&gt;84&lt;/volume&gt;&lt;dates&gt;&lt;year&gt;1991&lt;/year&gt;&lt;/dates&gt;&lt;urls&gt;&lt;/urls&gt;&lt;/record&gt;&lt;/Cite&gt;&lt;Cite&gt;&lt;Author&gt;Finlayson&lt;/Author&gt;&lt;Year&gt;1993&lt;/Year&gt;&lt;RecNum&gt;68&lt;/RecNum&gt;&lt;record&gt;&lt;rec-number&gt;68&lt;/rec-number&gt;&lt;foreign-keys&gt;&lt;key app="EN" db-id="epdfw2r9qt2dr1ep59j5sss0pr0vapa9rsfd" timestamp="1603166606"&gt;68&lt;/key&gt;&lt;/foreign-keys&gt;&lt;ref-type name="Journal Article"&gt;17&lt;/ref-type&gt;&lt;contributors&gt;&lt;authors&gt;&lt;author&gt;Finlayson, D. M.&lt;/author&gt;&lt;author&gt;Collins, C. D. N.&lt;/author&gt;&lt;/authors&gt;&lt;/contributors&gt;&lt;titles&gt;&lt;title&gt;Lithospheric velocity structures under the southern New England Orogen: Evidence for underplating at the Tasman Sea margin&lt;/title&gt;&lt;secondary-title&gt;Australian Journal of Earth Sciences&lt;/secondary-title&gt;&lt;/titles&gt;&lt;periodical&gt;&lt;full-title&gt;Australian Journal of Earth Sciences&lt;/full-title&gt;&lt;/periodical&gt;&lt;pages&gt;141–153&lt;/pages&gt;&lt;volume&gt;40&lt;/volume&gt;&lt;number&gt;2&lt;/number&gt;&lt;dates&gt;&lt;year&gt;1993&lt;/year&gt;&lt;pub-dates&gt;&lt;date&gt;1993/04/01&lt;/date&gt;&lt;/pub-dates&gt;&lt;/dates&gt;&lt;publisher&gt;Taylor &amp;amp; Francis&lt;/publisher&gt;&lt;isbn&gt;0812-0099&lt;/isbn&gt;&lt;urls&gt;&lt;related-urls&gt;&lt;url&gt;https://doi.org/10.1080/08120099308728071&lt;/url&gt;&lt;/related-urls&gt;&lt;/urls&gt;&lt;electronic-resource-num&gt;10.1080/08120099308728071&lt;/electronic-resource-num&gt;&lt;/record&gt;&lt;/Cite&gt;&lt;/EndNote&gt;</w:instrText>
      </w:r>
      <w:r w:rsidR="0067319D">
        <w:rPr>
          <w:color w:val="000000" w:themeColor="text1"/>
        </w:rPr>
        <w:fldChar w:fldCharType="separate"/>
      </w:r>
      <w:r w:rsidR="0067319D" w:rsidRPr="0067319D">
        <w:rPr>
          <w:noProof/>
          <w:color w:val="000000" w:themeColor="text1"/>
          <w:vertAlign w:val="superscript"/>
        </w:rPr>
        <w:t>16,17</w:t>
      </w:r>
      <w:r w:rsidR="0067319D">
        <w:rPr>
          <w:color w:val="000000" w:themeColor="text1"/>
        </w:rPr>
        <w:fldChar w:fldCharType="end"/>
      </w:r>
      <w:r>
        <w:rPr>
          <w:color w:val="000000" w:themeColor="text1"/>
        </w:rPr>
        <w:t xml:space="preserve">. </w:t>
      </w:r>
      <w:r w:rsidR="00F673BA">
        <w:rPr>
          <w:color w:val="000000" w:themeColor="text1"/>
        </w:rPr>
        <w:t>The exposed domains primarily reflect thick ignimbrite deposits preserved in caldera infill, with erosion of up to 3–4 km apparent in surrounding areas</w:t>
      </w:r>
      <w:r w:rsidR="00F673BA">
        <w:rPr>
          <w:color w:val="000000" w:themeColor="text1"/>
        </w:rPr>
        <w:fldChar w:fldCharType="begin"/>
      </w:r>
      <w:r w:rsidR="00F673BA">
        <w:rPr>
          <w:color w:val="000000" w:themeColor="text1"/>
        </w:rPr>
        <w:instrText xml:space="preserve"> ADDIN EN.CITE &lt;EndNote&gt;&lt;Cite&gt;&lt;Author&gt;Kohn&lt;/Author&gt;&lt;Year&gt;2002&lt;/Year&gt;&lt;RecNum&gt;3&lt;/RecNum&gt;&lt;DisplayText&gt;&lt;style face="superscript"&gt;18&lt;/style&gt;&lt;/DisplayText&gt;&lt;record&gt;&lt;rec-number&gt;3&lt;/rec-number&gt;&lt;foreign-keys&gt;&lt;key app="EN" db-id="epdfw2r9qt2dr1ep59j5sss0pr0vapa9rsfd" timestamp="1602641742"&gt;3&lt;/key&gt;&lt;/foreign-keys&gt;&lt;ref-type name="Journal Article"&gt;17&lt;/ref-type&gt;&lt;contributors&gt;&lt;authors&gt;&lt;author&gt;Kohn, BP&lt;/author&gt;&lt;author&gt;Gleadow, AJW&lt;/author&gt;&lt;author&gt;Brown, RW&lt;/author&gt;&lt;author&gt;Gallagher, K&lt;/author&gt;&lt;author&gt;O&amp;apos;sullivan, PB&lt;/author&gt;&lt;author&gt;Foster, DA&lt;/author&gt;&lt;/authors&gt;&lt;/contributors&gt;&lt;titles&gt;&lt;title&gt;Shaping the Australian crust over the last 300 million years: insights from fission track thermotectonic imaging and denudation studies of key terranes&lt;/title&gt;&lt;secondary-title&gt;Australian Journal of Earth Sciences&lt;/secondary-title&gt;&lt;/titles&gt;&lt;periodical&gt;&lt;full-title&gt;Australian Journal of Earth Sciences&lt;/full-title&gt;&lt;/periodical&gt;&lt;pages&gt;697–717&lt;/pages&gt;&lt;volume&gt;49&lt;/volume&gt;&lt;number&gt;4&lt;/number&gt;&lt;dates&gt;&lt;year&gt;2002&lt;/year&gt;&lt;/dates&gt;&lt;isbn&gt;0812-0099&lt;/isbn&gt;&lt;urls&gt;&lt;/urls&gt;&lt;/record&gt;&lt;/Cite&gt;&lt;/EndNote&gt;</w:instrText>
      </w:r>
      <w:r w:rsidR="00F673BA">
        <w:rPr>
          <w:color w:val="000000" w:themeColor="text1"/>
        </w:rPr>
        <w:fldChar w:fldCharType="separate"/>
      </w:r>
      <w:r w:rsidR="00F673BA" w:rsidRPr="00F673BA">
        <w:rPr>
          <w:noProof/>
          <w:color w:val="000000" w:themeColor="text1"/>
          <w:vertAlign w:val="superscript"/>
        </w:rPr>
        <w:t>18</w:t>
      </w:r>
      <w:r w:rsidR="00F673BA">
        <w:rPr>
          <w:color w:val="000000" w:themeColor="text1"/>
        </w:rPr>
        <w:fldChar w:fldCharType="end"/>
      </w:r>
      <w:r w:rsidR="00F673BA">
        <w:rPr>
          <w:color w:val="000000" w:themeColor="text1"/>
        </w:rPr>
        <w:t xml:space="preserve">. It is unclear how much erosion occurred between individual ignimbrite deposits, although thick coeval volcaniclastic sediments are common. </w:t>
      </w:r>
      <w:r>
        <w:rPr>
          <w:color w:val="000000" w:themeColor="text1"/>
        </w:rPr>
        <w:t xml:space="preserve">A more conservative estimate </w:t>
      </w:r>
      <w:r w:rsidR="00F673BA">
        <w:rPr>
          <w:color w:val="000000" w:themeColor="text1"/>
        </w:rPr>
        <w:t xml:space="preserve">of the eruption volume </w:t>
      </w:r>
      <w:r>
        <w:rPr>
          <w:color w:val="000000" w:themeColor="text1"/>
        </w:rPr>
        <w:t xml:space="preserve">was established based on the full aerial extent of all Wandsworth members and their mapped thicknesses in the </w:t>
      </w:r>
      <w:r w:rsidR="00656A01">
        <w:rPr>
          <w:color w:val="000000" w:themeColor="text1"/>
        </w:rPr>
        <w:t xml:space="preserve">orogen </w:t>
      </w:r>
      <w:r>
        <w:rPr>
          <w:color w:val="000000" w:themeColor="text1"/>
        </w:rPr>
        <w:t xml:space="preserve">(Fig. 2). </w:t>
      </w:r>
    </w:p>
    <w:p w14:paraId="7ED6D790" w14:textId="66D4C0AC" w:rsidR="00D47E8E" w:rsidRDefault="00BA5048" w:rsidP="00BA5048">
      <w:pPr>
        <w:spacing w:line="480" w:lineRule="auto"/>
        <w:rPr>
          <w:color w:val="000000" w:themeColor="text1"/>
        </w:rPr>
      </w:pPr>
      <w:r>
        <w:rPr>
          <w:color w:val="000000" w:themeColor="text1"/>
        </w:rPr>
        <w:tab/>
      </w:r>
      <w:r w:rsidR="004A7900">
        <w:rPr>
          <w:color w:val="000000" w:themeColor="text1"/>
        </w:rPr>
        <w:t xml:space="preserve">Magma addition rates were calculated using the surface area of exposed volcanic and plutonic rock in the southern New England Orogen (Fig. </w:t>
      </w:r>
      <w:r w:rsidR="00EA6B60">
        <w:rPr>
          <w:color w:val="000000" w:themeColor="text1"/>
        </w:rPr>
        <w:t>S</w:t>
      </w:r>
      <w:r w:rsidR="00CE5D28">
        <w:rPr>
          <w:color w:val="000000" w:themeColor="text1"/>
        </w:rPr>
        <w:t>5</w:t>
      </w:r>
      <w:r w:rsidR="00EA6B60">
        <w:rPr>
          <w:color w:val="000000" w:themeColor="text1"/>
        </w:rPr>
        <w:t>a</w:t>
      </w:r>
      <w:r w:rsidR="004A7900">
        <w:rPr>
          <w:color w:val="000000" w:themeColor="text1"/>
        </w:rPr>
        <w:t>)</w:t>
      </w:r>
      <w:r w:rsidR="00ED79C0">
        <w:rPr>
          <w:color w:val="000000" w:themeColor="text1"/>
        </w:rPr>
        <w:fldChar w:fldCharType="begin"/>
      </w:r>
      <w:r w:rsidR="00ED79C0">
        <w:rPr>
          <w:color w:val="000000" w:themeColor="text1"/>
        </w:rPr>
        <w:instrText xml:space="preserve"> ADDIN EN.CITE &lt;EndNote&gt;&lt;Cite&gt;&lt;Author&gt;Milan&lt;/Author&gt;&lt;Year&gt;2021&lt;/Year&gt;&lt;RecNum&gt;99&lt;/RecNum&gt;&lt;DisplayText&gt;&lt;style face="superscript"&gt;19&lt;/style&gt;&lt;/DisplayText&gt;&lt;record&gt;&lt;rec-number&gt;99&lt;/rec-number&gt;&lt;foreign-keys&gt;&lt;key app="EN" db-id="epdfw2r9qt2dr1ep59j5sss0pr0vapa9rsfd" timestamp="1623365957"&gt;99&lt;/key&gt;&lt;/foreign-keys&gt;&lt;ref-type name="Journal Article"&gt;17&lt;/ref-type&gt;&lt;contributors&gt;&lt;authors&gt;&lt;author&gt;Milan, L. A.&lt;/author&gt;&lt;author&gt;Belousova, E. A.&lt;/author&gt;&lt;author&gt;Glen, R. A.&lt;/author&gt;&lt;author&gt;Chapman, T.&lt;/author&gt;&lt;author&gt;Kalmbach, J.&lt;/author&gt;&lt;author&gt;Fu, B.&lt;/author&gt;&lt;author&gt;Ashley, P. M.&lt;/author&gt;&lt;/authors&gt;&lt;/contributors&gt;&lt;titles&gt;&lt;title&gt;A New Reconstruction for Permian East Gondwana Based on Zircon Data From Ophiolite of the East Australian Great Serpentinite Belt&lt;/title&gt;&lt;secondary-title&gt;Geophysical Research Letters&lt;/secondary-title&gt;&lt;/titles&gt;&lt;periodical&gt;&lt;full-title&gt;Geophysical Research Letters&lt;/full-title&gt;&lt;/periodical&gt;&lt;pages&gt;e2020GL090293&lt;/pages&gt;&lt;volume&gt;48&lt;/volume&gt;&lt;number&gt;1&lt;/number&gt;&lt;dates&gt;&lt;year&gt;2021&lt;/year&gt;&lt;/dates&gt;&lt;isbn&gt;0094-8276&lt;/isbn&gt;&lt;urls&gt;&lt;related-urls&gt;&lt;url&gt;https://agupubs.onlinelibrary.wiley.com/doi/abs/10.1029/2020GL090293&lt;/url&gt;&lt;/related-urls&gt;&lt;/urls&gt;&lt;electronic-resource-num&gt;https://doi.org/10.1029/2020GL090293&lt;/electronic-resource-num&gt;&lt;/record&gt;&lt;/Cite&gt;&lt;/EndNote&gt;</w:instrText>
      </w:r>
      <w:r w:rsidR="00ED79C0">
        <w:rPr>
          <w:color w:val="000000" w:themeColor="text1"/>
        </w:rPr>
        <w:fldChar w:fldCharType="separate"/>
      </w:r>
      <w:r w:rsidR="00ED79C0" w:rsidRPr="00ED79C0">
        <w:rPr>
          <w:noProof/>
          <w:color w:val="000000" w:themeColor="text1"/>
          <w:vertAlign w:val="superscript"/>
        </w:rPr>
        <w:t>19</w:t>
      </w:r>
      <w:r w:rsidR="00ED79C0">
        <w:rPr>
          <w:color w:val="000000" w:themeColor="text1"/>
        </w:rPr>
        <w:fldChar w:fldCharType="end"/>
      </w:r>
      <w:r w:rsidR="004A7900">
        <w:rPr>
          <w:color w:val="000000" w:themeColor="text1"/>
        </w:rPr>
        <w:t xml:space="preserve">. </w:t>
      </w:r>
      <w:r>
        <w:rPr>
          <w:color w:val="000000" w:themeColor="text1"/>
        </w:rPr>
        <w:t xml:space="preserve">Magma addition rates were determined utilising the observed volcanic </w:t>
      </w:r>
      <w:r w:rsidRPr="005E2D9D">
        <w:rPr>
          <w:color w:val="000000" w:themeColor="text1"/>
        </w:rPr>
        <w:t>thicknesses</w:t>
      </w:r>
      <w:r w:rsidR="002E073A">
        <w:rPr>
          <w:color w:val="000000" w:themeColor="text1"/>
        </w:rPr>
        <w:fldChar w:fldCharType="begin"/>
      </w:r>
      <w:r w:rsidR="002E073A">
        <w:rPr>
          <w:color w:val="000000" w:themeColor="text1"/>
        </w:rPr>
        <w:instrText xml:space="preserve"> ADDIN EN.CITE &lt;EndNote&gt;&lt;Cite&gt;&lt;Author&gt;Barnes&lt;/Author&gt;&lt;Year&gt;1991&lt;/Year&gt;&lt;RecNum&gt;87&lt;/RecNum&gt;&lt;DisplayText&gt;&lt;style face="superscript"&gt;16&lt;/style&gt;&lt;/DisplayText&gt;&lt;record&gt;&lt;rec-number&gt;87&lt;/rec-number&gt;&lt;foreign-keys&gt;&lt;key app="EN" db-id="epdfw2r9qt2dr1ep59j5sss0pr0vapa9rsfd" timestamp="1603170561"&gt;87&lt;/key&gt;&lt;/foreign-keys&gt;&lt;ref-type name="Journal Article"&gt;17&lt;/ref-type&gt;&lt;contributors&gt;&lt;authors&gt;&lt;author&gt;Barnes, R. G.&lt;/author&gt;&lt;author&gt;Brown, R. E.&lt;/author&gt;&lt;author&gt;Brownlow, J. W.&lt;/author&gt;&lt;author&gt;Stroud, W. J.&lt;/author&gt;&lt;/authors&gt;&lt;/contributors&gt;&lt;titles&gt;&lt;title&gt;Late Permian volcanics in New England&lt;/title&gt;&lt;secondary-title&gt;Quarterly Note of the Geological Survey of New South Wales&lt;/secondary-title&gt;&lt;/titles&gt;&lt;periodical&gt;&lt;full-title&gt;Quarterly Note of the Geological Survey of New South Wales&lt;/full-title&gt;&lt;/periodical&gt;&lt;pages&gt;1–36&lt;/pages&gt;&lt;volume&gt;84&lt;/volume&gt;&lt;dates&gt;&lt;year&gt;1991&lt;/year&gt;&lt;/dates&gt;&lt;urls&gt;&lt;/urls&gt;&lt;/record&gt;&lt;/Cite&gt;&lt;/EndNote&gt;</w:instrText>
      </w:r>
      <w:r w:rsidR="002E073A">
        <w:rPr>
          <w:color w:val="000000" w:themeColor="text1"/>
        </w:rPr>
        <w:fldChar w:fldCharType="separate"/>
      </w:r>
      <w:r w:rsidR="002E073A" w:rsidRPr="002E073A">
        <w:rPr>
          <w:noProof/>
          <w:color w:val="000000" w:themeColor="text1"/>
          <w:vertAlign w:val="superscript"/>
        </w:rPr>
        <w:t>16</w:t>
      </w:r>
      <w:r w:rsidR="002E073A">
        <w:rPr>
          <w:color w:val="000000" w:themeColor="text1"/>
        </w:rPr>
        <w:fldChar w:fldCharType="end"/>
      </w:r>
      <w:r w:rsidR="002E073A">
        <w:rPr>
          <w:color w:val="000000" w:themeColor="text1"/>
          <w:vertAlign w:val="superscript"/>
        </w:rPr>
        <w:t xml:space="preserve"> </w:t>
      </w:r>
      <w:r>
        <w:rPr>
          <w:color w:val="000000" w:themeColor="text1"/>
        </w:rPr>
        <w:t>and the assumption that the plutons extend to the calculated source</w:t>
      </w:r>
      <w:r w:rsidR="0067319D">
        <w:rPr>
          <w:color w:val="000000" w:themeColor="text1"/>
        </w:rPr>
        <w:t xml:space="preserve"> </w:t>
      </w:r>
      <w:r w:rsidR="004A7900">
        <w:rPr>
          <w:color w:val="000000" w:themeColor="text1"/>
        </w:rPr>
        <w:t xml:space="preserve">depth </w:t>
      </w:r>
      <w:r w:rsidR="0067319D">
        <w:rPr>
          <w:color w:val="000000" w:themeColor="text1"/>
        </w:rPr>
        <w:t>(likely Moho)</w:t>
      </w:r>
      <w:r>
        <w:rPr>
          <w:color w:val="000000" w:themeColor="text1"/>
        </w:rPr>
        <w:t xml:space="preserve">, which is consistent with geophysical observations along the margin (Fig. </w:t>
      </w:r>
      <w:r w:rsidR="00CE5D28">
        <w:rPr>
          <w:color w:val="000000" w:themeColor="text1"/>
        </w:rPr>
        <w:t>2</w:t>
      </w:r>
      <w:r>
        <w:rPr>
          <w:color w:val="000000" w:themeColor="text1"/>
        </w:rPr>
        <w:t>)</w:t>
      </w:r>
      <w:r w:rsidR="002E073A">
        <w:rPr>
          <w:color w:val="000000" w:themeColor="text1"/>
        </w:rPr>
        <w:fldChar w:fldCharType="begin"/>
      </w:r>
      <w:r w:rsidR="002E073A">
        <w:rPr>
          <w:color w:val="000000" w:themeColor="text1"/>
        </w:rPr>
        <w:instrText xml:space="preserve"> ADDIN EN.CITE &lt;EndNote&gt;&lt;Cite&gt;&lt;Author&gt;Finlayson&lt;/Author&gt;&lt;Year&gt;1993&lt;/Year&gt;&lt;RecNum&gt;68&lt;/RecNum&gt;&lt;DisplayText&gt;&lt;style face="superscript"&gt;17&lt;/style&gt;&lt;/DisplayText&gt;&lt;record&gt;&lt;rec-number&gt;68&lt;/rec-number&gt;&lt;foreign-keys&gt;&lt;key app="EN" db-id="epdfw2r9qt2dr1ep59j5sss0pr0vapa9rsfd" timestamp="1603166606"&gt;68&lt;/key&gt;&lt;/foreign-keys&gt;&lt;ref-type name="Journal Article"&gt;17&lt;/ref-type&gt;&lt;contributors&gt;&lt;authors&gt;&lt;author&gt;Finlayson, D. M.&lt;/author&gt;&lt;author&gt;Collins, C. D. N.&lt;/author&gt;&lt;/authors&gt;&lt;/contributors&gt;&lt;titles&gt;&lt;title&gt;Lithospheric velocity structures under the southern New England Orogen: Evidence for underplating at the Tasman Sea margin&lt;/title&gt;&lt;secondary-title&gt;Australian Journal of Earth Sciences&lt;/secondary-title&gt;&lt;/titles&gt;&lt;periodical&gt;&lt;full-title&gt;Australian Journal of Earth Sciences&lt;/full-title&gt;&lt;/periodical&gt;&lt;pages&gt;141–153&lt;/pages&gt;&lt;volume&gt;40&lt;/volume&gt;&lt;number&gt;2&lt;/number&gt;&lt;dates&gt;&lt;year&gt;1993&lt;/year&gt;&lt;pub-dates&gt;&lt;date&gt;1993/04/01&lt;/date&gt;&lt;/pub-dates&gt;&lt;/dates&gt;&lt;publisher&gt;Taylor &amp;amp; Francis&lt;/publisher&gt;&lt;isbn&gt;0812-0099&lt;/isbn&gt;&lt;urls&gt;&lt;related-urls&gt;&lt;url&gt;https://doi.org/10.1080/08120099308728071&lt;/url&gt;&lt;/related-urls&gt;&lt;/urls&gt;&lt;electronic-resource-num&gt;10.1080/08120099308728071&lt;/electronic-resource-num&gt;&lt;/record&gt;&lt;/Cite&gt;&lt;/EndNote&gt;</w:instrText>
      </w:r>
      <w:r w:rsidR="002E073A">
        <w:rPr>
          <w:color w:val="000000" w:themeColor="text1"/>
        </w:rPr>
        <w:fldChar w:fldCharType="separate"/>
      </w:r>
      <w:r w:rsidR="002E073A" w:rsidRPr="002E073A">
        <w:rPr>
          <w:noProof/>
          <w:color w:val="000000" w:themeColor="text1"/>
          <w:vertAlign w:val="superscript"/>
        </w:rPr>
        <w:t>17</w:t>
      </w:r>
      <w:r w:rsidR="002E073A">
        <w:rPr>
          <w:color w:val="000000" w:themeColor="text1"/>
        </w:rPr>
        <w:fldChar w:fldCharType="end"/>
      </w:r>
      <w:r w:rsidR="00086E97">
        <w:rPr>
          <w:color w:val="000000" w:themeColor="text1"/>
        </w:rPr>
        <w:t xml:space="preserve"> a</w:t>
      </w:r>
      <w:r w:rsidR="004A7900">
        <w:rPr>
          <w:color w:val="000000" w:themeColor="text1"/>
        </w:rPr>
        <w:t>s well as</w:t>
      </w:r>
      <w:r w:rsidR="00086E97">
        <w:rPr>
          <w:color w:val="000000" w:themeColor="text1"/>
        </w:rPr>
        <w:t xml:space="preserve"> observations </w:t>
      </w:r>
      <w:r w:rsidR="00136267">
        <w:rPr>
          <w:color w:val="000000" w:themeColor="text1"/>
        </w:rPr>
        <w:t>of the make-up of the</w:t>
      </w:r>
      <w:r w:rsidR="00086E97">
        <w:rPr>
          <w:color w:val="000000" w:themeColor="text1"/>
        </w:rPr>
        <w:t xml:space="preserve"> lower crust </w:t>
      </w:r>
      <w:r w:rsidR="00136267">
        <w:rPr>
          <w:color w:val="000000" w:themeColor="text1"/>
        </w:rPr>
        <w:t>in</w:t>
      </w:r>
      <w:r w:rsidR="00086E97">
        <w:rPr>
          <w:color w:val="000000" w:themeColor="text1"/>
        </w:rPr>
        <w:t xml:space="preserve"> exposed arc sequences</w:t>
      </w:r>
      <w:r w:rsidR="00136267">
        <w:rPr>
          <w:color w:val="000000" w:themeColor="text1"/>
        </w:rPr>
        <w:fldChar w:fldCharType="begin">
          <w:fldData xml:space="preserve">PEVuZE5vdGU+PENpdGU+PEF1dGhvcj5UaW1vdGh5PC9BdXRob3I+PFllYXI+MjAxNTwvWWVhcj48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</w:fldData>
        </w:fldChar>
      </w:r>
      <w:r w:rsidR="00ED79C0">
        <w:rPr>
          <w:color w:val="000000" w:themeColor="text1"/>
        </w:rPr>
        <w:instrText xml:space="preserve"> ADDIN EN.CITE </w:instrText>
      </w:r>
      <w:r w:rsidR="00ED79C0">
        <w:rPr>
          <w:color w:val="000000" w:themeColor="text1"/>
        </w:rPr>
        <w:fldChar w:fldCharType="begin">
          <w:fldData xml:space="preserve">PEVuZE5vdGU+PENpdGU+PEF1dGhvcj5UaW1vdGh5PC9BdXRob3I+PFllYXI+MjAxNTwvWWVhcj48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</w:fldData>
        </w:fldChar>
      </w:r>
      <w:r w:rsidR="00ED79C0">
        <w:rPr>
          <w:color w:val="000000" w:themeColor="text1"/>
        </w:rPr>
        <w:instrText xml:space="preserve"> ADDIN EN.CITE.DATA </w:instrText>
      </w:r>
      <w:r w:rsidR="00ED79C0">
        <w:rPr>
          <w:color w:val="000000" w:themeColor="text1"/>
        </w:rPr>
      </w:r>
      <w:r w:rsidR="00ED79C0">
        <w:rPr>
          <w:color w:val="000000" w:themeColor="text1"/>
        </w:rPr>
        <w:fldChar w:fldCharType="end"/>
      </w:r>
      <w:r w:rsidR="00136267">
        <w:rPr>
          <w:color w:val="000000" w:themeColor="text1"/>
        </w:rPr>
      </w:r>
      <w:r w:rsidR="00136267">
        <w:rPr>
          <w:color w:val="000000" w:themeColor="text1"/>
        </w:rPr>
        <w:fldChar w:fldCharType="separate"/>
      </w:r>
      <w:r w:rsidR="00ED79C0" w:rsidRPr="00ED79C0">
        <w:rPr>
          <w:noProof/>
          <w:color w:val="000000" w:themeColor="text1"/>
          <w:vertAlign w:val="superscript"/>
        </w:rPr>
        <w:t>20-22</w:t>
      </w:r>
      <w:r w:rsidR="00136267">
        <w:rPr>
          <w:color w:val="000000" w:themeColor="text1"/>
        </w:rPr>
        <w:fldChar w:fldCharType="end"/>
      </w:r>
      <w:r>
        <w:rPr>
          <w:color w:val="000000" w:themeColor="text1"/>
        </w:rPr>
        <w:t xml:space="preserve">. Depth estimates for the </w:t>
      </w:r>
      <w:r w:rsidR="00656A01">
        <w:rPr>
          <w:color w:val="000000" w:themeColor="text1"/>
        </w:rPr>
        <w:t xml:space="preserve">crustal thickness </w:t>
      </w:r>
      <w:r>
        <w:rPr>
          <w:color w:val="000000" w:themeColor="text1"/>
        </w:rPr>
        <w:t>were calculating using Sr/Y ratios</w:t>
      </w:r>
      <w:r w:rsidR="002E073A">
        <w:rPr>
          <w:color w:val="000000" w:themeColor="text1"/>
        </w:rPr>
        <w:fldChar w:fldCharType="begin"/>
      </w:r>
      <w:r w:rsidR="00ED79C0">
        <w:rPr>
          <w:color w:val="000000" w:themeColor="text1"/>
        </w:rPr>
        <w:instrText xml:space="preserve"> ADDIN EN.CITE &lt;EndNote&gt;&lt;Cite&gt;&lt;Author&gt;Chapman&lt;/Author&gt;&lt;Year&gt;2015&lt;/Year&gt;&lt;RecNum&gt;69&lt;/RecNum&gt;&lt;DisplayText&gt;&lt;style face="superscript"&gt;23&lt;/style&gt;&lt;/DisplayText&gt;&lt;record&gt;&lt;rec-number&gt;69&lt;/rec-number&gt;&lt;foreign-keys&gt;&lt;key app="EN" db-id="epdfw2r9qt2dr1ep59j5sss0pr0vapa9rsfd" timestamp="1603166803"&gt;69&lt;/key&gt;&lt;/foreign-keys&gt;&lt;ref-type name="Journal Article"&gt;17&lt;/ref-type&gt;&lt;contributors&gt;&lt;authors&gt;&lt;author&gt;Chapman, James B.&lt;/author&gt;&lt;author&gt;Ducea, Mihai N.&lt;/author&gt;&lt;author&gt;DeCelles, Peter G.&lt;/author&gt;&lt;author&gt;Profeta, Lucia&lt;/author&gt;&lt;/authors&gt;&lt;/contributors&gt;&lt;titles&gt;&lt;title&gt;Tracking changes in crustal thickness during orogenic evolution with Sr/Y: An example from the North American Cordillera&lt;/title&gt;&lt;secondary-title&gt;Geology&lt;/secondary-title&gt;&lt;/titles&gt;&lt;periodical&gt;&lt;full-title&gt;Geology&lt;/full-title&gt;&lt;/periodical&gt;&lt;pages&gt;919–922&lt;/pages&gt;&lt;volume&gt;43&lt;/volume&gt;&lt;number&gt;10&lt;/number&gt;&lt;dates&gt;&lt;year&gt;2015&lt;/year&gt;&lt;/dates&gt;&lt;isbn&gt;0091-7613&lt;/isbn&gt;&lt;urls&gt;&lt;related-urls&gt;&lt;url&gt;https://doi.org/10.1130/G36996.1&lt;/url&gt;&lt;/related-urls&gt;&lt;/urls&gt;&lt;electronic-resource-num&gt;10.1130/g36996.1&lt;/electronic-resource-num&gt;&lt;access-date&gt;10/20/2020&lt;/access-date&gt;&lt;/record&gt;&lt;/Cite&gt;&lt;/EndNote&gt;</w:instrText>
      </w:r>
      <w:r w:rsidR="002E073A">
        <w:rPr>
          <w:color w:val="000000" w:themeColor="text1"/>
        </w:rPr>
        <w:fldChar w:fldCharType="separate"/>
      </w:r>
      <w:r w:rsidR="00ED79C0" w:rsidRPr="00ED79C0">
        <w:rPr>
          <w:noProof/>
          <w:color w:val="000000" w:themeColor="text1"/>
          <w:vertAlign w:val="superscript"/>
        </w:rPr>
        <w:t>23</w:t>
      </w:r>
      <w:r w:rsidR="002E073A">
        <w:rPr>
          <w:color w:val="000000" w:themeColor="text1"/>
        </w:rPr>
        <w:fldChar w:fldCharType="end"/>
      </w:r>
      <w:r>
        <w:rPr>
          <w:color w:val="000000" w:themeColor="text1"/>
        </w:rPr>
        <w:t xml:space="preserve"> of the volcanic and plutonic rocks</w:t>
      </w:r>
      <w:r w:rsidR="002E073A">
        <w:rPr>
          <w:color w:val="000000" w:themeColor="text1"/>
        </w:rPr>
        <w:fldChar w:fldCharType="begin"/>
      </w:r>
      <w:r w:rsidR="00ED79C0">
        <w:rPr>
          <w:color w:val="000000" w:themeColor="text1"/>
        </w:rPr>
        <w:instrText xml:space="preserve"> ADDIN EN.CITE &lt;EndNote&gt;&lt;Cite&gt;&lt;Author&gt;Bryant&lt;/Author&gt;&lt;Year&gt;2017&lt;/Year&gt;&lt;RecNum&gt;78&lt;/RecNum&gt;&lt;DisplayText&gt;&lt;style face="superscript"&gt;24&lt;/style&gt;&lt;/DisplayText&gt;&lt;record&gt;&lt;rec-number&gt;78&lt;/rec-number&gt;&lt;foreign-keys&gt;&lt;key app="EN" db-id="epdfw2r9qt2dr1ep59j5sss0pr0vapa9rsfd" timestamp="1603168581"&gt;78&lt;/key&gt;&lt;/foreign-keys&gt;&lt;ref-type name="Report"&gt;27&lt;/ref-type&gt;&lt;contributors&gt;&lt;authors&gt;&lt;author&gt;Bryant, C. J.&lt;/author&gt;&lt;/authors&gt;&lt;/contributors&gt;&lt;titles&gt;&lt;title&gt;A compendium of granites of the southern new England Orogen, eastern Australia&lt;/title&gt;&lt;/titles&gt;&lt;number&gt;Gs2017/0408&lt;/number&gt;&lt;dates&gt;&lt;year&gt;2017&lt;/year&gt;&lt;/dates&gt;&lt;pub-location&gt;Sydney&lt;/pub-location&gt;&lt;publisher&gt;Geological Survey of New South Wales&lt;/publisher&gt;&lt;urls&gt;&lt;/urls&gt;&lt;/record&gt;&lt;/Cite&gt;&lt;/EndNote&gt;</w:instrText>
      </w:r>
      <w:r w:rsidR="002E073A">
        <w:rPr>
          <w:color w:val="000000" w:themeColor="text1"/>
        </w:rPr>
        <w:fldChar w:fldCharType="separate"/>
      </w:r>
      <w:r w:rsidR="00ED79C0" w:rsidRPr="00ED79C0">
        <w:rPr>
          <w:noProof/>
          <w:color w:val="000000" w:themeColor="text1"/>
          <w:vertAlign w:val="superscript"/>
        </w:rPr>
        <w:t>24</w:t>
      </w:r>
      <w:r w:rsidR="002E073A">
        <w:rPr>
          <w:color w:val="000000" w:themeColor="text1"/>
        </w:rPr>
        <w:fldChar w:fldCharType="end"/>
      </w:r>
      <w:r w:rsidR="0067319D">
        <w:rPr>
          <w:color w:val="000000" w:themeColor="text1"/>
        </w:rPr>
        <w:t xml:space="preserve"> that were screened for the appropriate geochemical compositions </w:t>
      </w:r>
      <w:r w:rsidR="00304187">
        <w:rPr>
          <w:color w:val="000000" w:themeColor="text1"/>
        </w:rPr>
        <w:t>(SiO</w:t>
      </w:r>
      <w:r w:rsidR="00304187">
        <w:rPr>
          <w:color w:val="000000" w:themeColor="text1"/>
          <w:vertAlign w:val="subscript"/>
        </w:rPr>
        <w:t xml:space="preserve">2 </w:t>
      </w:r>
      <w:r w:rsidR="00304187">
        <w:rPr>
          <w:color w:val="000000" w:themeColor="text1"/>
        </w:rPr>
        <w:t>55–70</w:t>
      </w:r>
      <w:r w:rsidR="00304187" w:rsidRPr="00304187">
        <w:rPr>
          <w:color w:val="000000" w:themeColor="text1"/>
        </w:rPr>
        <w:t xml:space="preserve"> </w:t>
      </w:r>
      <w:r w:rsidR="00304187" w:rsidRPr="004D2217">
        <w:rPr>
          <w:color w:val="000000" w:themeColor="text1"/>
        </w:rPr>
        <w:t>wt.%</w:t>
      </w:r>
      <w:r w:rsidR="00304187">
        <w:rPr>
          <w:color w:val="000000" w:themeColor="text1"/>
        </w:rPr>
        <w:t>; Mg</w:t>
      </w:r>
      <w:r w:rsidR="00304187" w:rsidRPr="00304187">
        <w:rPr>
          <w:color w:val="000000" w:themeColor="text1"/>
        </w:rPr>
        <w:t xml:space="preserve"> </w:t>
      </w:r>
      <w:r w:rsidR="00304187">
        <w:rPr>
          <w:color w:val="000000" w:themeColor="text1"/>
        </w:rPr>
        <w:t>1–6</w:t>
      </w:r>
      <w:r w:rsidR="00304187" w:rsidRPr="00304187">
        <w:rPr>
          <w:color w:val="000000" w:themeColor="text1"/>
        </w:rPr>
        <w:t xml:space="preserve"> </w:t>
      </w:r>
      <w:r w:rsidR="00304187" w:rsidRPr="004D2217">
        <w:rPr>
          <w:color w:val="000000" w:themeColor="text1"/>
        </w:rPr>
        <w:t>wt.%</w:t>
      </w:r>
      <w:r w:rsidR="00304187">
        <w:rPr>
          <w:color w:val="000000" w:themeColor="text1"/>
        </w:rPr>
        <w:t>; Rb/Sr&gt;0.2)</w:t>
      </w:r>
      <w:r w:rsidR="00304187">
        <w:rPr>
          <w:color w:val="000000" w:themeColor="text1"/>
        </w:rPr>
        <w:fldChar w:fldCharType="begin"/>
      </w:r>
      <w:r w:rsidR="00ED79C0">
        <w:rPr>
          <w:color w:val="000000" w:themeColor="text1"/>
        </w:rPr>
        <w:instrText xml:space="preserve"> ADDIN EN.CITE &lt;EndNote&gt;&lt;Cite&gt;&lt;Author&gt;Chapman&lt;/Author&gt;&lt;Year&gt;2015&lt;/Year&gt;&lt;RecNum&gt;69&lt;/RecNum&gt;&lt;DisplayText&gt;&lt;style face="superscript"&gt;23&lt;/style&gt;&lt;/DisplayText&gt;&lt;record&gt;&lt;rec-number&gt;69&lt;/rec-number&gt;&lt;foreign-keys&gt;&lt;key app="EN" db-id="epdfw2r9qt2dr1ep59j5sss0pr0vapa9rsfd" timestamp="1603166803"&gt;69&lt;/key&gt;&lt;/foreign-keys&gt;&lt;ref-type name="Journal Article"&gt;17&lt;/ref-type&gt;&lt;contributors&gt;&lt;authors&gt;&lt;author&gt;Chapman, James B.&lt;/author&gt;&lt;author&gt;Ducea, Mihai N.&lt;/author&gt;&lt;author&gt;DeCelles, Peter G.&lt;/author&gt;&lt;author&gt;Profeta, Lucia&lt;/author&gt;&lt;/authors&gt;&lt;/contributors&gt;&lt;titles&gt;&lt;title&gt;Tracking changes in crustal thickness during orogenic evolution with Sr/Y: An example from the North American Cordillera&lt;/title&gt;&lt;secondary-title&gt;Geology&lt;/secondary-title&gt;&lt;/titles&gt;&lt;periodical&gt;&lt;full-title&gt;Geology&lt;/full-title&gt;&lt;/periodical&gt;&lt;pages&gt;919–922&lt;/pages&gt;&lt;volume&gt;43&lt;/volume&gt;&lt;number&gt;10&lt;/number&gt;&lt;dates&gt;&lt;year&gt;2015&lt;/year&gt;&lt;/dates&gt;&lt;isbn&gt;0091-7613&lt;/isbn&gt;&lt;urls&gt;&lt;related-urls&gt;&lt;url&gt;https://doi.org/10.1130/G36996.1&lt;/url&gt;&lt;/related-urls&gt;&lt;/urls&gt;&lt;electronic-resource-num&gt;10.1130/g36996.1&lt;/electronic-resource-num&gt;&lt;access-date&gt;10/20/2020&lt;/access-date&gt;&lt;/record&gt;&lt;/Cite&gt;&lt;/EndNote&gt;</w:instrText>
      </w:r>
      <w:r w:rsidR="00304187">
        <w:rPr>
          <w:color w:val="000000" w:themeColor="text1"/>
        </w:rPr>
        <w:fldChar w:fldCharType="separate"/>
      </w:r>
      <w:r w:rsidR="00ED79C0" w:rsidRPr="00ED79C0">
        <w:rPr>
          <w:noProof/>
          <w:color w:val="000000" w:themeColor="text1"/>
          <w:vertAlign w:val="superscript"/>
        </w:rPr>
        <w:t>23</w:t>
      </w:r>
      <w:r w:rsidR="00304187">
        <w:rPr>
          <w:color w:val="000000" w:themeColor="text1"/>
        </w:rPr>
        <w:fldChar w:fldCharType="end"/>
      </w:r>
      <w:r w:rsidR="00304187">
        <w:rPr>
          <w:color w:val="000000" w:themeColor="text1"/>
        </w:rPr>
        <w:t xml:space="preserve"> </w:t>
      </w:r>
      <w:r w:rsidR="0067319D">
        <w:rPr>
          <w:color w:val="000000" w:themeColor="text1"/>
        </w:rPr>
        <w:t xml:space="preserve">for the depth </w:t>
      </w:r>
      <w:r w:rsidR="0067319D">
        <w:rPr>
          <w:color w:val="000000" w:themeColor="text1"/>
        </w:rPr>
        <w:lastRenderedPageBreak/>
        <w:t>calculation</w:t>
      </w:r>
      <w:r w:rsidR="004A7900">
        <w:rPr>
          <w:color w:val="000000" w:themeColor="text1"/>
        </w:rPr>
        <w:t xml:space="preserve"> (Fig. </w:t>
      </w:r>
      <w:r w:rsidR="00EA6B60">
        <w:rPr>
          <w:color w:val="000000" w:themeColor="text1"/>
        </w:rPr>
        <w:t>S</w:t>
      </w:r>
      <w:r w:rsidR="00CE5D28">
        <w:rPr>
          <w:color w:val="000000" w:themeColor="text1"/>
        </w:rPr>
        <w:t>5</w:t>
      </w:r>
      <w:r w:rsidR="00EA6B60">
        <w:rPr>
          <w:color w:val="000000" w:themeColor="text1"/>
        </w:rPr>
        <w:t>b</w:t>
      </w:r>
      <w:r w:rsidR="004A7900">
        <w:rPr>
          <w:color w:val="000000" w:themeColor="text1"/>
        </w:rPr>
        <w:t>)</w:t>
      </w:r>
      <w:r>
        <w:rPr>
          <w:color w:val="000000" w:themeColor="text1"/>
        </w:rPr>
        <w:t xml:space="preserve">. All </w:t>
      </w:r>
      <w:r w:rsidR="00656A01">
        <w:rPr>
          <w:color w:val="000000" w:themeColor="text1"/>
        </w:rPr>
        <w:t>crustal thicknesses</w:t>
      </w:r>
      <w:r>
        <w:rPr>
          <w:color w:val="000000" w:themeColor="text1"/>
        </w:rPr>
        <w:t xml:space="preserve"> are relative thin for arc systems consistent with tectonic interpretation for the margin, and the substantial sub-arc mantle input in the New England batholith</w:t>
      </w:r>
      <w:r w:rsidR="002E073A">
        <w:rPr>
          <w:color w:val="000000" w:themeColor="text1"/>
        </w:rPr>
        <w:fldChar w:fldCharType="begin">
          <w:fldData xml:space="preserve">PEVuZE5vdGU+PENpdGU+PEF1dGhvcj5QaGlsbGlwczwvQXV0aG9yPjxZZWFyPjIwMTE8L1llYXI+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=
</w:fldData>
        </w:fldChar>
      </w:r>
      <w:r w:rsidR="00ED79C0">
        <w:rPr>
          <w:color w:val="000000" w:themeColor="text1"/>
        </w:rPr>
        <w:instrText xml:space="preserve"> ADDIN EN.CITE </w:instrText>
      </w:r>
      <w:r w:rsidR="00ED79C0">
        <w:rPr>
          <w:color w:val="000000" w:themeColor="text1"/>
        </w:rPr>
        <w:fldChar w:fldCharType="begin">
          <w:fldData xml:space="preserve">PEVuZE5vdGU+PENpdGU+PEF1dGhvcj5QaGlsbGlwczwvQXV0aG9yPjxZZWFyPjIwMTE8L1llYXI+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=
</w:fldData>
        </w:fldChar>
      </w:r>
      <w:r w:rsidR="00ED79C0">
        <w:rPr>
          <w:color w:val="000000" w:themeColor="text1"/>
        </w:rPr>
        <w:instrText xml:space="preserve"> ADDIN EN.CITE.DATA </w:instrText>
      </w:r>
      <w:r w:rsidR="00ED79C0">
        <w:rPr>
          <w:color w:val="000000" w:themeColor="text1"/>
        </w:rPr>
      </w:r>
      <w:r w:rsidR="00ED79C0">
        <w:rPr>
          <w:color w:val="000000" w:themeColor="text1"/>
        </w:rPr>
        <w:fldChar w:fldCharType="end"/>
      </w:r>
      <w:r w:rsidR="002E073A">
        <w:rPr>
          <w:color w:val="000000" w:themeColor="text1"/>
        </w:rPr>
      </w:r>
      <w:r w:rsidR="002E073A">
        <w:rPr>
          <w:color w:val="000000" w:themeColor="text1"/>
        </w:rPr>
        <w:fldChar w:fldCharType="separate"/>
      </w:r>
      <w:r w:rsidR="00ED79C0" w:rsidRPr="00ED79C0">
        <w:rPr>
          <w:noProof/>
          <w:color w:val="000000" w:themeColor="text1"/>
          <w:vertAlign w:val="superscript"/>
        </w:rPr>
        <w:t>25-27</w:t>
      </w:r>
      <w:r w:rsidR="002E073A">
        <w:rPr>
          <w:color w:val="000000" w:themeColor="text1"/>
        </w:rPr>
        <w:fldChar w:fldCharType="end"/>
      </w:r>
      <w:r>
        <w:rPr>
          <w:color w:val="000000" w:themeColor="text1"/>
        </w:rPr>
        <w:t>. For each 5 </w:t>
      </w:r>
      <w:proofErr w:type="spellStart"/>
      <w:r>
        <w:rPr>
          <w:color w:val="000000" w:themeColor="text1"/>
        </w:rPr>
        <w:t>Myr</w:t>
      </w:r>
      <w:proofErr w:type="spellEnd"/>
      <w:r>
        <w:rPr>
          <w:color w:val="000000" w:themeColor="text1"/>
        </w:rPr>
        <w:t xml:space="preserve"> age bin the depth estimates were averaged to restrict variability associated with the spectrum of magma compositions erupted over the period. Published </w:t>
      </w:r>
      <w:r w:rsidR="0067319D">
        <w:rPr>
          <w:color w:val="000000" w:themeColor="text1"/>
        </w:rPr>
        <w:t xml:space="preserve">(SHRIMP and LA-ICPMS) </w:t>
      </w:r>
      <w:r>
        <w:rPr>
          <w:color w:val="000000" w:themeColor="text1"/>
        </w:rPr>
        <w:t xml:space="preserve">age dates </w:t>
      </w:r>
      <w:r w:rsidR="0067319D">
        <w:rPr>
          <w:color w:val="000000" w:themeColor="text1"/>
        </w:rPr>
        <w:t xml:space="preserve">(128 in total) </w:t>
      </w:r>
      <w:r>
        <w:rPr>
          <w:color w:val="000000" w:themeColor="text1"/>
        </w:rPr>
        <w:t xml:space="preserve">were compiled across the </w:t>
      </w:r>
      <w:r w:rsidR="0067319D">
        <w:rPr>
          <w:color w:val="000000" w:themeColor="text1"/>
        </w:rPr>
        <w:t xml:space="preserve">granite and volcanic rocks in the </w:t>
      </w:r>
      <w:r>
        <w:rPr>
          <w:color w:val="000000" w:themeColor="text1"/>
        </w:rPr>
        <w:t>southern New England section of the margin</w:t>
      </w:r>
      <w:r w:rsidR="002E073A">
        <w:rPr>
          <w:color w:val="000000" w:themeColor="text1"/>
        </w:rPr>
        <w:fldChar w:fldCharType="begin">
          <w:fldData xml:space="preserve">PEVuZE5vdGU+PENpdGU+PEF1dGhvcj5BbmRlcnNvbjwvQXV0aG9yPjxZZWFyPjIwMTc8L1llYXI+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</w:fldData>
        </w:fldChar>
      </w:r>
      <w:r w:rsidR="00ED79C0">
        <w:rPr>
          <w:color w:val="000000" w:themeColor="text1"/>
        </w:rPr>
        <w:instrText xml:space="preserve"> ADDIN EN.CITE </w:instrText>
      </w:r>
      <w:r w:rsidR="00ED79C0">
        <w:rPr>
          <w:color w:val="000000" w:themeColor="text1"/>
        </w:rPr>
        <w:fldChar w:fldCharType="begin">
          <w:fldData xml:space="preserve">PEVuZE5vdGU+PENpdGU+PEF1dGhvcj5BbmRlcnNvbjwvQXV0aG9yPjxZZWFyPjIwMTc8L1llYXI+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</w:fldData>
        </w:fldChar>
      </w:r>
      <w:r w:rsidR="00ED79C0">
        <w:rPr>
          <w:color w:val="000000" w:themeColor="text1"/>
        </w:rPr>
        <w:instrText xml:space="preserve"> ADDIN EN.CITE.DATA </w:instrText>
      </w:r>
      <w:r w:rsidR="00ED79C0">
        <w:rPr>
          <w:color w:val="000000" w:themeColor="text1"/>
        </w:rPr>
      </w:r>
      <w:r w:rsidR="00ED79C0">
        <w:rPr>
          <w:color w:val="000000" w:themeColor="text1"/>
        </w:rPr>
        <w:fldChar w:fldCharType="end"/>
      </w:r>
      <w:r w:rsidR="002E073A">
        <w:rPr>
          <w:color w:val="000000" w:themeColor="text1"/>
        </w:rPr>
      </w:r>
      <w:r w:rsidR="002E073A">
        <w:rPr>
          <w:color w:val="000000" w:themeColor="text1"/>
        </w:rPr>
        <w:fldChar w:fldCharType="separate"/>
      </w:r>
      <w:r w:rsidR="00ED79C0" w:rsidRPr="00ED79C0">
        <w:rPr>
          <w:noProof/>
          <w:color w:val="000000" w:themeColor="text1"/>
          <w:vertAlign w:val="superscript"/>
        </w:rPr>
        <w:t>28-41</w:t>
      </w:r>
      <w:r w:rsidR="002E073A">
        <w:rPr>
          <w:color w:val="000000" w:themeColor="text1"/>
        </w:rPr>
        <w:fldChar w:fldCharType="end"/>
      </w:r>
      <w:r>
        <w:rPr>
          <w:color w:val="000000" w:themeColor="text1"/>
        </w:rPr>
        <w:t>, with only lithological units with suitable ages utilised in the volume calculations (Fig. 2).</w:t>
      </w:r>
      <w:r w:rsidR="0067319D">
        <w:rPr>
          <w:color w:val="000000" w:themeColor="text1"/>
        </w:rPr>
        <w:t xml:space="preserve"> Comparison of high-precision CA-TIMS dates of the ignimbrites established here and those published for the tephra in the proximal sedimentary basin are all </w:t>
      </w:r>
      <w:r w:rsidR="000E70D2">
        <w:rPr>
          <w:color w:val="000000" w:themeColor="text1"/>
        </w:rPr>
        <w:t xml:space="preserve">based on analysis </w:t>
      </w:r>
      <w:r w:rsidR="0067319D">
        <w:rPr>
          <w:color w:val="000000" w:themeColor="text1"/>
        </w:rPr>
        <w:t xml:space="preserve">from the Boise Isotope </w:t>
      </w:r>
      <w:r w:rsidR="00F673BA">
        <w:rPr>
          <w:color w:val="000000" w:themeColor="text1"/>
        </w:rPr>
        <w:t>L</w:t>
      </w:r>
      <w:r w:rsidR="0067319D">
        <w:rPr>
          <w:color w:val="000000" w:themeColor="text1"/>
        </w:rPr>
        <w:t xml:space="preserve">aboratory. </w:t>
      </w:r>
    </w:p>
    <w:p w14:paraId="57A9CE1B" w14:textId="77777777" w:rsidR="00BA5048" w:rsidRDefault="00BA5048" w:rsidP="00BA5048">
      <w:pPr>
        <w:spacing w:line="480" w:lineRule="auto"/>
        <w:rPr>
          <w:i/>
          <w:color w:val="000000" w:themeColor="text1"/>
        </w:rPr>
      </w:pPr>
      <w:r>
        <w:rPr>
          <w:i/>
          <w:color w:val="000000" w:themeColor="text1"/>
        </w:rPr>
        <w:t>Diversity curve</w:t>
      </w:r>
    </w:p>
    <w:p w14:paraId="58338402" w14:textId="785DC16F" w:rsidR="00BA5048" w:rsidRPr="00B41D66" w:rsidRDefault="00BA5048" w:rsidP="00BA5048">
      <w:pPr>
        <w:spacing w:line="480" w:lineRule="auto"/>
        <w:rPr>
          <w:color w:val="000000" w:themeColor="text1"/>
        </w:rPr>
      </w:pPr>
      <w:r>
        <w:rPr>
          <w:color w:val="000000" w:themeColor="text1"/>
        </w:rPr>
        <w:t>The Genera diversity curve is extracted from the records of the Paleobiology database (</w:t>
      </w:r>
      <w:hyperlink r:id="rId5" w:anchor="/" w:history="1">
        <w:r w:rsidRPr="001F1E41">
          <w:rPr>
            <w:rStyle w:val="Hyperlink"/>
          </w:rPr>
          <w:t>https://paleobiodb.org/#/</w:t>
        </w:r>
      </w:hyperlink>
      <w:r>
        <w:t xml:space="preserve">) </w:t>
      </w:r>
      <w:r>
        <w:rPr>
          <w:color w:val="000000" w:themeColor="text1"/>
        </w:rPr>
        <w:t>on the 12</w:t>
      </w:r>
      <w:r w:rsidRPr="001F1E41">
        <w:rPr>
          <w:color w:val="000000" w:themeColor="text1"/>
          <w:vertAlign w:val="superscript"/>
        </w:rPr>
        <w:t>th</w:t>
      </w:r>
      <w:r>
        <w:rPr>
          <w:color w:val="000000" w:themeColor="text1"/>
        </w:rPr>
        <w:t xml:space="preserve"> of March 2020 for the geological period </w:t>
      </w:r>
      <w:r>
        <w:rPr>
          <w:i/>
          <w:color w:val="000000" w:themeColor="text1"/>
        </w:rPr>
        <w:t>~</w:t>
      </w:r>
      <w:r>
        <w:rPr>
          <w:color w:val="000000" w:themeColor="text1"/>
        </w:rPr>
        <w:t>265–245 Ma. The diversity curve is based on the sample-in-bin correction to account for biases in the fossil preservation record and occurrence intervals</w:t>
      </w:r>
      <w:r w:rsidR="002E073A">
        <w:rPr>
          <w:color w:val="000000" w:themeColor="text1"/>
        </w:rPr>
        <w:fldChar w:fldCharType="begin"/>
      </w:r>
      <w:r w:rsidR="00ED79C0">
        <w:rPr>
          <w:color w:val="000000" w:themeColor="text1"/>
        </w:rPr>
        <w:instrText xml:space="preserve"> ADDIN EN.CITE &lt;EndNote&gt;&lt;Cite&gt;&lt;Author&gt;Alroy&lt;/Author&gt;&lt;Year&gt;2008&lt;/Year&gt;&lt;RecNum&gt;14&lt;/RecNum&gt;&lt;DisplayText&gt;&lt;style face="superscript"&gt;42&lt;/style&gt;&lt;/DisplayText&gt;&lt;record&gt;&lt;rec-number&gt;14&lt;/rec-number&gt;&lt;foreign-keys&gt;&lt;key app="EN" db-id="epdfw2r9qt2dr1ep59j5sss0pr0vapa9rsfd" timestamp="1602641858"&gt;14&lt;/key&gt;&lt;/foreign-keys&gt;&lt;ref-type name="Journal Article"&gt;17&lt;/ref-type&gt;&lt;contributors&gt;&lt;authors&gt;&lt;author&gt;Alroy, John&lt;/author&gt;&lt;author&gt;Aberhan, Martin&lt;/author&gt;&lt;author&gt;Bottjer, David J&lt;/author&gt;&lt;author&gt;Foote, Michael&lt;/author&gt;&lt;author&gt;Fürsich, Franz T&lt;/author&gt;&lt;author&gt;Harries, Peter J&lt;/author&gt;&lt;author&gt;Hendy, Austin JW&lt;/author&gt;&lt;author&gt;Holland, Steven M&lt;/author&gt;&lt;author&gt;Ivany, Linda C&lt;/author&gt;&lt;author&gt;Kiessling, Wolfgang&lt;/author&gt;&lt;/authors&gt;&lt;/contributors&gt;&lt;titles&gt;&lt;title&gt;Phanerozoic trends in the global diversity of marine invertebrates&lt;/title&gt;&lt;secondary-title&gt;Science&lt;/secondary-title&gt;&lt;/titles&gt;&lt;periodical&gt;&lt;full-title&gt;Science&lt;/full-title&gt;&lt;/periodical&gt;&lt;pages&gt;97–100&lt;/pages&gt;&lt;volume&gt;321&lt;/volume&gt;&lt;number&gt;5885&lt;/number&gt;&lt;dates&gt;&lt;year&gt;2008&lt;/year&gt;&lt;/dates&gt;&lt;isbn&gt;0036-8075&lt;/isbn&gt;&lt;urls&gt;&lt;/urls&gt;&lt;/record&gt;&lt;/Cite&gt;&lt;/EndNote&gt;</w:instrText>
      </w:r>
      <w:r w:rsidR="002E073A">
        <w:rPr>
          <w:color w:val="000000" w:themeColor="text1"/>
        </w:rPr>
        <w:fldChar w:fldCharType="separate"/>
      </w:r>
      <w:r w:rsidR="00ED79C0" w:rsidRPr="00ED79C0">
        <w:rPr>
          <w:noProof/>
          <w:color w:val="000000" w:themeColor="text1"/>
          <w:vertAlign w:val="superscript"/>
        </w:rPr>
        <w:t>42</w:t>
      </w:r>
      <w:r w:rsidR="002E073A">
        <w:rPr>
          <w:color w:val="000000" w:themeColor="text1"/>
        </w:rPr>
        <w:fldChar w:fldCharType="end"/>
      </w:r>
      <w:r>
        <w:rPr>
          <w:color w:val="000000" w:themeColor="text1"/>
        </w:rPr>
        <w:t xml:space="preserve">. The bins are plotted at their mid-point on Figure 4 for clarity. </w:t>
      </w:r>
    </w:p>
    <w:p w14:paraId="4B5C17B8" w14:textId="77777777" w:rsidR="00BA5048" w:rsidRDefault="00BA5048" w:rsidP="00BA5048">
      <w:pPr>
        <w:pStyle w:val="BodyText"/>
        <w:spacing w:line="276" w:lineRule="auto"/>
        <w:rPr>
          <w:b/>
          <w:color w:val="000000" w:themeColor="text1"/>
        </w:rPr>
      </w:pPr>
      <w:r>
        <w:rPr>
          <w:b/>
          <w:noProof/>
          <w:color w:val="000000" w:themeColor="text1"/>
        </w:rPr>
        <w:drawing>
          <wp:inline distT="0" distB="0" distL="0" distR="0" wp14:anchorId="17A0B7DF" wp14:editId="06A9F147">
            <wp:extent cx="5424854" cy="2851648"/>
            <wp:effectExtent l="0" t="0" r="0" b="6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6">
                      <a:extLst>
                        <a:ext uri="{28A0092B-C50C-407E-A947-70E740481C1C}">
                          <a14:useLocalDpi xmlns:a14="http://schemas.microsoft.com/office/drawing/2010/main" val="0"/>
                        </a:ext>
                      </a:extLst>
                    </a:blip>
                    <a:stretch>
                      <a:fillRect/>
                    </a:stretch>
                  </pic:blipFill>
                  <pic:spPr>
                    <a:xfrm>
                      <a:off x="0" y="0"/>
                      <a:ext cx="5459359" cy="2869786"/>
                    </a:xfrm>
                    <a:prstGeom prst="rect">
                      <a:avLst/>
                    </a:prstGeom>
                  </pic:spPr>
                </pic:pic>
              </a:graphicData>
            </a:graphic>
          </wp:inline>
        </w:drawing>
      </w:r>
    </w:p>
    <w:p w14:paraId="2706C344" w14:textId="2D0EAE5C" w:rsidR="00BA5048" w:rsidRDefault="00BA5048" w:rsidP="00BA5048">
      <w:pPr>
        <w:pStyle w:val="BodyText"/>
        <w:spacing w:line="276" w:lineRule="auto"/>
      </w:pPr>
      <w:r>
        <w:rPr>
          <w:b/>
          <w:color w:val="000000" w:themeColor="text1"/>
        </w:rPr>
        <w:lastRenderedPageBreak/>
        <w:t xml:space="preserve">Supplementary </w:t>
      </w:r>
      <w:r>
        <w:rPr>
          <w:b/>
        </w:rPr>
        <w:t xml:space="preserve">Figure S1 </w:t>
      </w:r>
      <w:r>
        <w:t xml:space="preserve">Plot of </w:t>
      </w:r>
      <w:r w:rsidRPr="00781BD4">
        <w:rPr>
          <w:vertAlign w:val="superscript"/>
          <w:lang w:val="en-US"/>
        </w:rPr>
        <w:t>206</w:t>
      </w:r>
      <w:r>
        <w:rPr>
          <w:lang w:val="en-US"/>
        </w:rPr>
        <w:t>Pb/</w:t>
      </w:r>
      <w:r w:rsidRPr="00781BD4">
        <w:rPr>
          <w:vertAlign w:val="superscript"/>
          <w:lang w:val="en-US"/>
        </w:rPr>
        <w:t>238</w:t>
      </w:r>
      <w:r>
        <w:rPr>
          <w:lang w:val="en-US"/>
        </w:rPr>
        <w:t xml:space="preserve">U dates obtained by CA-TIMS. Plotted with </w:t>
      </w:r>
      <w:proofErr w:type="spellStart"/>
      <w:r>
        <w:rPr>
          <w:lang w:val="en-US"/>
        </w:rPr>
        <w:t>Isoplot</w:t>
      </w:r>
      <w:proofErr w:type="spellEnd"/>
      <w:r>
        <w:rPr>
          <w:lang w:val="en-US"/>
        </w:rPr>
        <w:t xml:space="preserve"> 3.0 (ref</w:t>
      </w:r>
      <w:r w:rsidR="002E073A">
        <w:rPr>
          <w:lang w:val="en-US"/>
        </w:rPr>
        <w:t>.</w:t>
      </w:r>
      <w:r w:rsidR="002E073A">
        <w:rPr>
          <w:lang w:val="en-US"/>
        </w:rPr>
        <w:fldChar w:fldCharType="begin"/>
      </w:r>
      <w:r w:rsidR="00AE001B">
        <w:rPr>
          <w:lang w:val="en-US"/>
        </w:rPr>
        <w:instrText xml:space="preserve"> ADDIN EN.CITE &lt;EndNote&gt;&lt;Cite&gt;&lt;Author&gt;Ludwig&lt;/Author&gt;&lt;Year&gt;2003&lt;/Year&gt;&lt;RecNum&gt;75&lt;/RecNum&gt;&lt;DisplayText&gt;&lt;style face="superscript"&gt;12&lt;/style&gt;&lt;/DisplayText&gt;&lt;record&gt;&lt;rec-number&gt;75&lt;/rec-number&gt;&lt;foreign-keys&gt;&lt;key app="EN" db-id="epdfw2r9qt2dr1ep59j5sss0pr0vapa9rsfd" timestamp="1603168004"&gt;75&lt;/key&gt;&lt;/foreign-keys&gt;&lt;ref-type name="Book"&gt;6&lt;/ref-type&gt;&lt;contributors&gt;&lt;authors&gt;&lt;author&gt;Ludwig, K. R.&lt;/author&gt;&lt;/authors&gt;&lt;/contributors&gt;&lt;titles&gt;&lt;title&gt;User’s manual for Isoplot 3.00&lt;/title&gt;&lt;/titles&gt;&lt;pages&gt;70&lt;/pages&gt;&lt;dates&gt;&lt;year&gt;2003&lt;/year&gt;&lt;/dates&gt;&lt;pub-location&gt;Berkley, USA&lt;/pub-location&gt;&lt;publisher&gt;Berkley Geochronology Center&lt;/publisher&gt;&lt;urls&gt;&lt;/urls&gt;&lt;/record&gt;&lt;/Cite&gt;&lt;/EndNote&gt;</w:instrText>
      </w:r>
      <w:r w:rsidR="002E073A">
        <w:rPr>
          <w:lang w:val="en-US"/>
        </w:rPr>
        <w:fldChar w:fldCharType="separate"/>
      </w:r>
      <w:r w:rsidR="00AE001B" w:rsidRPr="00AE001B">
        <w:rPr>
          <w:noProof/>
          <w:vertAlign w:val="superscript"/>
          <w:lang w:val="en-US"/>
        </w:rPr>
        <w:t>12</w:t>
      </w:r>
      <w:r w:rsidR="002E073A">
        <w:rPr>
          <w:lang w:val="en-US"/>
        </w:rPr>
        <w:fldChar w:fldCharType="end"/>
      </w:r>
      <w:r>
        <w:rPr>
          <w:lang w:val="en-US"/>
        </w:rPr>
        <w:t xml:space="preserve">). </w:t>
      </w:r>
      <w:r>
        <w:t>Weighted mean dates are shown and represented by the grey boxes.</w:t>
      </w:r>
      <w:r w:rsidR="005B04EF">
        <w:t xml:space="preserve"> The ages included or precluded for the weighted mean calculations are displayed by black and white bars encompassing errors at 2</w:t>
      </w:r>
      <w:r w:rsidR="005B04EF" w:rsidRPr="0021459B">
        <w:rPr>
          <w:rFonts w:ascii="Symbol" w:hAnsi="Symbol"/>
        </w:rPr>
        <w:t></w:t>
      </w:r>
      <w:r w:rsidR="005B04EF">
        <w:t>.</w:t>
      </w:r>
    </w:p>
    <w:p w14:paraId="6CB61B33" w14:textId="06B7E86B" w:rsidR="00C4156D" w:rsidRDefault="00C4156D" w:rsidP="00BA5048">
      <w:pPr>
        <w:pStyle w:val="BodyText"/>
        <w:spacing w:line="276" w:lineRule="auto"/>
      </w:pPr>
      <w:r w:rsidRPr="00C4156D">
        <w:rPr>
          <w:b/>
          <w:bCs/>
        </w:rPr>
        <w:t>Supplementary Figure S2</w:t>
      </w:r>
      <w:r>
        <w:rPr>
          <w:b/>
          <w:bCs/>
        </w:rPr>
        <w:t xml:space="preserve"> </w:t>
      </w:r>
      <w:r>
        <w:t xml:space="preserve">Representative collated images of analysed zircon grains from the Wandsworth Volcanic Group and New England Batholith. The top panel is reflected light images, the middle panel are incident light images and bottom panel is cathodoluminescence (CL) images. Individual samples are labelled. </w:t>
      </w:r>
    </w:p>
    <w:p w14:paraId="1A507CFA" w14:textId="158B40C9" w:rsidR="00110608" w:rsidRDefault="00C4156D" w:rsidP="00BA5048">
      <w:pPr>
        <w:pStyle w:val="BodyText"/>
        <w:spacing w:line="276" w:lineRule="auto"/>
      </w:pPr>
      <w:r w:rsidRPr="00C4156D">
        <w:rPr>
          <w:b/>
          <w:bCs/>
        </w:rPr>
        <w:t>Supplementary Figure S</w:t>
      </w:r>
      <w:r>
        <w:rPr>
          <w:b/>
          <w:bCs/>
        </w:rPr>
        <w:t xml:space="preserve">3 </w:t>
      </w:r>
      <w:r>
        <w:t xml:space="preserve">Representative cathodoluminescence (CL) images of zircon from the Kings Plain Ignimbrite (19KP02), the Annalee </w:t>
      </w:r>
      <w:proofErr w:type="spellStart"/>
      <w:r>
        <w:t>Pyroclastics</w:t>
      </w:r>
      <w:proofErr w:type="spellEnd"/>
      <w:r>
        <w:t xml:space="preserve"> (01B) and the </w:t>
      </w:r>
      <w:proofErr w:type="spellStart"/>
      <w:r>
        <w:t>Weean</w:t>
      </w:r>
      <w:proofErr w:type="spellEnd"/>
      <w:r>
        <w:t xml:space="preserve"> Ignimbrite (19GI05). </w:t>
      </w:r>
    </w:p>
    <w:p w14:paraId="7FF78108" w14:textId="6AA5AB7F" w:rsidR="00CE5D28" w:rsidRDefault="00CE5D28" w:rsidP="00DB3B57">
      <w:pPr>
        <w:spacing w:line="276" w:lineRule="auto"/>
        <w:rPr>
          <w:color w:val="000000" w:themeColor="text1"/>
        </w:rPr>
      </w:pPr>
      <w:r w:rsidRPr="00C4156D">
        <w:rPr>
          <w:b/>
          <w:bCs/>
        </w:rPr>
        <w:t>Supplementary</w:t>
      </w:r>
      <w:r w:rsidRPr="00020952">
        <w:rPr>
          <w:b/>
          <w:color w:val="000000" w:themeColor="text1"/>
        </w:rPr>
        <w:t xml:space="preserve"> Figure </w:t>
      </w:r>
      <w:r>
        <w:rPr>
          <w:b/>
          <w:color w:val="000000" w:themeColor="text1"/>
        </w:rPr>
        <w:t>S4</w:t>
      </w:r>
      <w:r w:rsidRPr="00020952">
        <w:rPr>
          <w:b/>
          <w:color w:val="000000" w:themeColor="text1"/>
        </w:rPr>
        <w:t xml:space="preserve"> </w:t>
      </w:r>
      <w:r>
        <w:rPr>
          <w:color w:val="000000" w:themeColor="text1"/>
        </w:rPr>
        <w:t xml:space="preserve">Geological map of the southern New England Orogen, with Cenozoic cover, displaying </w:t>
      </w:r>
      <w:proofErr w:type="spellStart"/>
      <w:r>
        <w:rPr>
          <w:color w:val="000000" w:themeColor="text1"/>
        </w:rPr>
        <w:t>spatio</w:t>
      </w:r>
      <w:proofErr w:type="spellEnd"/>
      <w:r>
        <w:rPr>
          <w:color w:val="000000" w:themeColor="text1"/>
        </w:rPr>
        <w:t xml:space="preserve">-temporal relationships of magmatism and the Wandsworth Volcanic Group from </w:t>
      </w:r>
      <w:r>
        <w:rPr>
          <w:i/>
          <w:color w:val="000000" w:themeColor="text1"/>
        </w:rPr>
        <w:t xml:space="preserve">c. </w:t>
      </w:r>
      <w:r>
        <w:rPr>
          <w:color w:val="000000" w:themeColor="text1"/>
        </w:rPr>
        <w:t xml:space="preserve">300–200 Ma. </w:t>
      </w:r>
    </w:p>
    <w:p w14:paraId="70B12072" w14:textId="53C08C33" w:rsidR="00110608" w:rsidRDefault="00110608" w:rsidP="00DB3B57">
      <w:pPr>
        <w:spacing w:line="276" w:lineRule="auto"/>
        <w:rPr>
          <w:color w:val="000000" w:themeColor="text1"/>
        </w:rPr>
      </w:pPr>
    </w:p>
    <w:p w14:paraId="1CCF531A" w14:textId="2227A361" w:rsidR="00110608" w:rsidRPr="00DB3B57" w:rsidRDefault="00110608" w:rsidP="00DB3B57">
      <w:pPr>
        <w:spacing w:line="276" w:lineRule="auto"/>
        <w:rPr>
          <w:b/>
          <w:color w:val="000000" w:themeColor="text1"/>
        </w:rPr>
      </w:pPr>
      <w:r>
        <w:rPr>
          <w:b/>
          <w:noProof/>
          <w:color w:val="000000" w:themeColor="text1"/>
        </w:rPr>
        <w:drawing>
          <wp:inline distT="0" distB="0" distL="0" distR="0" wp14:anchorId="65B373C9" wp14:editId="37860CE5">
            <wp:extent cx="5702300" cy="540383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a:extLst>
                        <a:ext uri="{28A0092B-C50C-407E-A947-70E740481C1C}">
                          <a14:useLocalDpi xmlns:a14="http://schemas.microsoft.com/office/drawing/2010/main" val="0"/>
                        </a:ext>
                      </a:extLst>
                    </a:blip>
                    <a:stretch>
                      <a:fillRect/>
                    </a:stretch>
                  </pic:blipFill>
                  <pic:spPr>
                    <a:xfrm>
                      <a:off x="0" y="0"/>
                      <a:ext cx="5702300" cy="5403832"/>
                    </a:xfrm>
                    <a:prstGeom prst="rect">
                      <a:avLst/>
                    </a:prstGeom>
                  </pic:spPr>
                </pic:pic>
              </a:graphicData>
            </a:graphic>
          </wp:inline>
        </w:drawing>
      </w:r>
    </w:p>
    <w:p w14:paraId="67708121" w14:textId="4AC29B0E" w:rsidR="00EA6B60" w:rsidRDefault="00EA6B60" w:rsidP="00EA6B60">
      <w:pPr>
        <w:spacing w:before="120" w:line="276" w:lineRule="auto"/>
        <w:rPr>
          <w:b/>
          <w:color w:val="000000" w:themeColor="text1"/>
        </w:rPr>
      </w:pPr>
      <w:r w:rsidRPr="00C4156D">
        <w:rPr>
          <w:b/>
          <w:bCs/>
        </w:rPr>
        <w:lastRenderedPageBreak/>
        <w:t>Supplementary</w:t>
      </w:r>
      <w:r>
        <w:rPr>
          <w:b/>
          <w:color w:val="000000" w:themeColor="text1"/>
        </w:rPr>
        <w:t xml:space="preserve"> Figure S</w:t>
      </w:r>
      <w:r w:rsidR="00CE5D28">
        <w:rPr>
          <w:b/>
          <w:color w:val="000000" w:themeColor="text1"/>
        </w:rPr>
        <w:t>5</w:t>
      </w:r>
      <w:r>
        <w:rPr>
          <w:b/>
          <w:color w:val="000000" w:themeColor="text1"/>
        </w:rPr>
        <w:t xml:space="preserve"> </w:t>
      </w:r>
      <w:r w:rsidRPr="00942657">
        <w:rPr>
          <w:color w:val="000000" w:themeColor="text1"/>
        </w:rPr>
        <w:t xml:space="preserve">(a) Histogram of </w:t>
      </w:r>
      <w:r>
        <w:rPr>
          <w:color w:val="000000" w:themeColor="text1"/>
        </w:rPr>
        <w:t xml:space="preserve">exposed surface area of volcanic and pluton rocks </w:t>
      </w:r>
      <w:r w:rsidRPr="00942657">
        <w:rPr>
          <w:color w:val="000000" w:themeColor="text1"/>
        </w:rPr>
        <w:t>along the eastern Australia margin during the Permian–Triassic.</w:t>
      </w:r>
      <w:r w:rsidRPr="0064517B">
        <w:rPr>
          <w:b/>
          <w:color w:val="000000" w:themeColor="text1"/>
        </w:rPr>
        <w:t xml:space="preserve"> </w:t>
      </w:r>
      <w:r>
        <w:rPr>
          <w:color w:val="000000" w:themeColor="text1"/>
        </w:rPr>
        <w:t>(b) Average Sr/Y ratios of volcanic or plutons rocks during the Permian–Triassic, uncertainty bounds encompass 1</w:t>
      </w:r>
      <w:r w:rsidRPr="0021459B">
        <w:rPr>
          <w:rFonts w:ascii="Symbol" w:hAnsi="Symbol"/>
        </w:rPr>
        <w:t></w:t>
      </w:r>
      <w:r>
        <w:rPr>
          <w:rFonts w:ascii="Symbol" w:hAnsi="Symbol"/>
        </w:rPr>
        <w:t xml:space="preserve"> </w:t>
      </w:r>
      <w:r>
        <w:rPr>
          <w:color w:val="000000" w:themeColor="text1"/>
        </w:rPr>
        <w:t>distribution.</w:t>
      </w:r>
    </w:p>
    <w:p w14:paraId="610A8F29" w14:textId="77777777" w:rsidR="00EA6B60" w:rsidRPr="00C4156D" w:rsidRDefault="00EA6B60" w:rsidP="00BA5048">
      <w:pPr>
        <w:pStyle w:val="BodyText"/>
        <w:spacing w:line="276" w:lineRule="auto"/>
      </w:pPr>
    </w:p>
    <w:p w14:paraId="497DBDE0" w14:textId="2CD28ECE" w:rsidR="00BA5048" w:rsidRDefault="00BA5048" w:rsidP="00D47E8E">
      <w:pPr>
        <w:spacing w:line="276" w:lineRule="auto"/>
      </w:pPr>
      <w:r>
        <w:rPr>
          <w:b/>
        </w:rPr>
        <w:t xml:space="preserve">Supplementary Table S1 </w:t>
      </w:r>
      <w:r>
        <w:t xml:space="preserve">CA-TIMS U–Pb zircon analysis for the Wandsworth Volcanic Group. Includes </w:t>
      </w:r>
      <w:proofErr w:type="spellStart"/>
      <w:r>
        <w:t>concordia</w:t>
      </w:r>
      <w:proofErr w:type="spellEnd"/>
      <w:r>
        <w:t xml:space="preserve"> plots of U–Pb CA-TIMS dates </w:t>
      </w:r>
      <w:r w:rsidR="00D47E8E">
        <w:t>p</w:t>
      </w:r>
      <w:r>
        <w:rPr>
          <w:lang w:val="en-US"/>
        </w:rPr>
        <w:t xml:space="preserve">lotted with </w:t>
      </w:r>
      <w:proofErr w:type="spellStart"/>
      <w:r>
        <w:rPr>
          <w:lang w:val="en-US"/>
        </w:rPr>
        <w:t>Isoplot</w:t>
      </w:r>
      <w:proofErr w:type="spellEnd"/>
      <w:r>
        <w:rPr>
          <w:lang w:val="en-US"/>
        </w:rPr>
        <w:t xml:space="preserve"> 3.0 (ref</w:t>
      </w:r>
      <w:r w:rsidR="00AE001B">
        <w:rPr>
          <w:lang w:val="en-US"/>
        </w:rPr>
        <w:t>.</w:t>
      </w:r>
      <w:r w:rsidR="00AE001B">
        <w:rPr>
          <w:lang w:val="en-US"/>
        </w:rPr>
        <w:fldChar w:fldCharType="begin"/>
      </w:r>
      <w:r w:rsidR="00AE001B">
        <w:rPr>
          <w:lang w:val="en-US"/>
        </w:rPr>
        <w:instrText xml:space="preserve"> ADDIN EN.CITE &lt;EndNote&gt;&lt;Cite&gt;&lt;Author&gt;Ludwig&lt;/Author&gt;&lt;Year&gt;2003&lt;/Year&gt;&lt;RecNum&gt;75&lt;/RecNum&gt;&lt;DisplayText&gt;&lt;style face="superscript"&gt;12&lt;/style&gt;&lt;/DisplayText&gt;&lt;record&gt;&lt;rec-number&gt;75&lt;/rec-number&gt;&lt;foreign-keys&gt;&lt;key app="EN" db-id="epdfw2r9qt2dr1ep59j5sss0pr0vapa9rsfd" timestamp="1603168004"&gt;75&lt;/key&gt;&lt;/foreign-keys&gt;&lt;ref-type name="Book"&gt;6&lt;/ref-type&gt;&lt;contributors&gt;&lt;authors&gt;&lt;author&gt;Ludwig, K. R.&lt;/author&gt;&lt;/authors&gt;&lt;/contributors&gt;&lt;titles&gt;&lt;title&gt;User’s manual for Isoplot 3.00&lt;/title&gt;&lt;/titles&gt;&lt;pages&gt;70&lt;/pages&gt;&lt;dates&gt;&lt;year&gt;2003&lt;/year&gt;&lt;/dates&gt;&lt;pub-location&gt;Berkley, USA&lt;/pub-location&gt;&lt;publisher&gt;Berkley Geochronology Center&lt;/publisher&gt;&lt;urls&gt;&lt;/urls&gt;&lt;/record&gt;&lt;/Cite&gt;&lt;/EndNote&gt;</w:instrText>
      </w:r>
      <w:r w:rsidR="00AE001B">
        <w:rPr>
          <w:lang w:val="en-US"/>
        </w:rPr>
        <w:fldChar w:fldCharType="separate"/>
      </w:r>
      <w:r w:rsidR="00AE001B" w:rsidRPr="00AE001B">
        <w:rPr>
          <w:noProof/>
          <w:vertAlign w:val="superscript"/>
          <w:lang w:val="en-US"/>
        </w:rPr>
        <w:t>12</w:t>
      </w:r>
      <w:r w:rsidR="00AE001B">
        <w:rPr>
          <w:lang w:val="en-US"/>
        </w:rPr>
        <w:fldChar w:fldCharType="end"/>
      </w:r>
      <w:r>
        <w:rPr>
          <w:lang w:val="en-US"/>
        </w:rPr>
        <w:t xml:space="preserve">). </w:t>
      </w:r>
      <w:r>
        <w:t>Errors are at 2</w:t>
      </w:r>
      <w:r w:rsidRPr="0021459B">
        <w:rPr>
          <w:rFonts w:ascii="Symbol" w:hAnsi="Symbol"/>
        </w:rPr>
        <w:t></w:t>
      </w:r>
      <w:r>
        <w:t>.</w:t>
      </w:r>
    </w:p>
    <w:p w14:paraId="0629798D" w14:textId="1B2BEA4B" w:rsidR="00C4156D" w:rsidRDefault="00BA5048" w:rsidP="00D47E8E">
      <w:pPr>
        <w:spacing w:line="276" w:lineRule="auto"/>
      </w:pPr>
      <w:r>
        <w:rPr>
          <w:b/>
        </w:rPr>
        <w:t xml:space="preserve">Supplementary Table S2 </w:t>
      </w:r>
      <w:r>
        <w:t>LA-ICPMS U–Pb zircon analysis of the Wandsworth Volcanic Group.</w:t>
      </w:r>
    </w:p>
    <w:p w14:paraId="2446E625" w14:textId="77777777" w:rsidR="00C4156D" w:rsidRDefault="00C4156D" w:rsidP="00D47E8E">
      <w:pPr>
        <w:spacing w:line="276" w:lineRule="auto"/>
      </w:pPr>
    </w:p>
    <w:p w14:paraId="6BF65E0D" w14:textId="77777777" w:rsidR="00BA5048" w:rsidRDefault="00BA5048" w:rsidP="00BA5048">
      <w:r>
        <w:rPr>
          <w:b/>
        </w:rPr>
        <w:t xml:space="preserve">Supplementary Table S3 </w:t>
      </w:r>
      <w:r w:rsidRPr="005D303D">
        <w:t>Wand</w:t>
      </w:r>
      <w:r>
        <w:t>s</w:t>
      </w:r>
      <w:r w:rsidRPr="005D303D">
        <w:t xml:space="preserve">worth Volcanic </w:t>
      </w:r>
      <w:r>
        <w:t>G</w:t>
      </w:r>
      <w:r w:rsidRPr="005D303D">
        <w:t>roup</w:t>
      </w:r>
      <w:r>
        <w:rPr>
          <w:b/>
        </w:rPr>
        <w:t xml:space="preserve"> </w:t>
      </w:r>
      <w:r>
        <w:t>sample location and age summary</w:t>
      </w:r>
    </w:p>
    <w:tbl>
      <w:tblPr>
        <w:tblW w:w="9983" w:type="dxa"/>
        <w:tblLook w:val="04A0" w:firstRow="1" w:lastRow="0" w:firstColumn="1" w:lastColumn="0" w:noHBand="0" w:noVBand="1"/>
      </w:tblPr>
      <w:tblGrid>
        <w:gridCol w:w="997"/>
        <w:gridCol w:w="1276"/>
        <w:gridCol w:w="1180"/>
        <w:gridCol w:w="2000"/>
        <w:gridCol w:w="2980"/>
        <w:gridCol w:w="830"/>
        <w:gridCol w:w="720"/>
      </w:tblGrid>
      <w:tr w:rsidR="00BA5048" w14:paraId="288EAC01" w14:textId="77777777" w:rsidTr="0032109B">
        <w:trPr>
          <w:trHeight w:val="320"/>
        </w:trPr>
        <w:tc>
          <w:tcPr>
            <w:tcW w:w="997" w:type="dxa"/>
            <w:tcBorders>
              <w:top w:val="nil"/>
              <w:left w:val="nil"/>
              <w:bottom w:val="single" w:sz="8" w:space="0" w:color="000000"/>
              <w:right w:val="nil"/>
            </w:tcBorders>
            <w:shd w:val="clear" w:color="auto" w:fill="auto"/>
            <w:noWrap/>
            <w:vAlign w:val="bottom"/>
            <w:hideMark/>
          </w:tcPr>
          <w:p w14:paraId="65831ADF" w14:textId="77777777" w:rsidR="00BA5048" w:rsidRDefault="00BA5048" w:rsidP="0032109B">
            <w:pPr>
              <w:rPr>
                <w:rFonts w:ascii="Calibri" w:hAnsi="Calibri" w:cs="Calibri"/>
                <w:color w:val="000000"/>
                <w:sz w:val="22"/>
                <w:szCs w:val="22"/>
              </w:rPr>
            </w:pPr>
            <w:r>
              <w:rPr>
                <w:rFonts w:ascii="Calibri" w:hAnsi="Calibri" w:cs="Calibri"/>
                <w:color w:val="000000"/>
                <w:sz w:val="22"/>
                <w:szCs w:val="22"/>
              </w:rPr>
              <w:t> </w:t>
            </w:r>
          </w:p>
        </w:tc>
        <w:tc>
          <w:tcPr>
            <w:tcW w:w="1276" w:type="dxa"/>
            <w:tcBorders>
              <w:top w:val="nil"/>
              <w:left w:val="nil"/>
              <w:bottom w:val="single" w:sz="8" w:space="0" w:color="000000"/>
              <w:right w:val="nil"/>
            </w:tcBorders>
            <w:shd w:val="clear" w:color="auto" w:fill="auto"/>
            <w:noWrap/>
            <w:vAlign w:val="bottom"/>
            <w:hideMark/>
          </w:tcPr>
          <w:p w14:paraId="71AACA7B" w14:textId="77777777" w:rsidR="00BA5048" w:rsidRDefault="00BA5048" w:rsidP="0032109B">
            <w:pPr>
              <w:rPr>
                <w:rFonts w:ascii="Calibri" w:hAnsi="Calibri" w:cs="Calibri"/>
                <w:color w:val="000000"/>
                <w:sz w:val="22"/>
                <w:szCs w:val="22"/>
              </w:rPr>
            </w:pPr>
            <w:r>
              <w:rPr>
                <w:rFonts w:ascii="Calibri" w:hAnsi="Calibri" w:cs="Calibri"/>
                <w:color w:val="000000"/>
                <w:sz w:val="22"/>
                <w:szCs w:val="22"/>
              </w:rPr>
              <w:t> </w:t>
            </w:r>
          </w:p>
        </w:tc>
        <w:tc>
          <w:tcPr>
            <w:tcW w:w="1180" w:type="dxa"/>
            <w:tcBorders>
              <w:top w:val="nil"/>
              <w:left w:val="nil"/>
              <w:bottom w:val="single" w:sz="8" w:space="0" w:color="000000"/>
              <w:right w:val="nil"/>
            </w:tcBorders>
            <w:shd w:val="clear" w:color="auto" w:fill="auto"/>
            <w:noWrap/>
            <w:vAlign w:val="bottom"/>
            <w:hideMark/>
          </w:tcPr>
          <w:p w14:paraId="4026B8FC" w14:textId="77777777" w:rsidR="00BA5048" w:rsidRDefault="00BA5048" w:rsidP="0032109B">
            <w:pPr>
              <w:rPr>
                <w:rFonts w:ascii="Calibri" w:hAnsi="Calibri" w:cs="Calibri"/>
                <w:color w:val="000000"/>
                <w:sz w:val="22"/>
                <w:szCs w:val="22"/>
              </w:rPr>
            </w:pPr>
            <w:r>
              <w:rPr>
                <w:rFonts w:ascii="Calibri" w:hAnsi="Calibri" w:cs="Calibri"/>
                <w:color w:val="000000"/>
                <w:sz w:val="22"/>
                <w:szCs w:val="22"/>
              </w:rPr>
              <w:t> </w:t>
            </w:r>
          </w:p>
        </w:tc>
        <w:tc>
          <w:tcPr>
            <w:tcW w:w="2000" w:type="dxa"/>
            <w:tcBorders>
              <w:top w:val="nil"/>
              <w:left w:val="nil"/>
              <w:bottom w:val="single" w:sz="8" w:space="0" w:color="000000"/>
              <w:right w:val="nil"/>
            </w:tcBorders>
            <w:shd w:val="clear" w:color="auto" w:fill="auto"/>
            <w:noWrap/>
            <w:vAlign w:val="bottom"/>
            <w:hideMark/>
          </w:tcPr>
          <w:p w14:paraId="28936F65" w14:textId="77777777" w:rsidR="00BA5048" w:rsidRDefault="00BA5048" w:rsidP="0032109B">
            <w:pPr>
              <w:rPr>
                <w:rFonts w:ascii="Calibri" w:hAnsi="Calibri" w:cs="Calibri"/>
                <w:color w:val="000000"/>
                <w:sz w:val="22"/>
                <w:szCs w:val="22"/>
              </w:rPr>
            </w:pPr>
            <w:r>
              <w:rPr>
                <w:rFonts w:ascii="Calibri" w:hAnsi="Calibri" w:cs="Calibri"/>
                <w:color w:val="000000"/>
                <w:sz w:val="22"/>
                <w:szCs w:val="22"/>
              </w:rPr>
              <w:t> </w:t>
            </w:r>
          </w:p>
        </w:tc>
        <w:tc>
          <w:tcPr>
            <w:tcW w:w="2980" w:type="dxa"/>
            <w:tcBorders>
              <w:top w:val="nil"/>
              <w:left w:val="nil"/>
              <w:bottom w:val="single" w:sz="8" w:space="0" w:color="000000"/>
              <w:right w:val="nil"/>
            </w:tcBorders>
            <w:shd w:val="clear" w:color="auto" w:fill="auto"/>
            <w:noWrap/>
            <w:vAlign w:val="bottom"/>
            <w:hideMark/>
          </w:tcPr>
          <w:p w14:paraId="3B2532FC" w14:textId="77777777" w:rsidR="00BA5048" w:rsidRDefault="00BA5048" w:rsidP="0032109B">
            <w:pPr>
              <w:rPr>
                <w:rFonts w:ascii="Calibri" w:hAnsi="Calibri" w:cs="Calibri"/>
                <w:color w:val="000000"/>
                <w:sz w:val="22"/>
                <w:szCs w:val="22"/>
              </w:rPr>
            </w:pPr>
            <w:r>
              <w:rPr>
                <w:rFonts w:ascii="Calibri" w:hAnsi="Calibri" w:cs="Calibri"/>
                <w:color w:val="000000"/>
                <w:sz w:val="22"/>
                <w:szCs w:val="22"/>
              </w:rPr>
              <w:t> </w:t>
            </w:r>
          </w:p>
        </w:tc>
        <w:tc>
          <w:tcPr>
            <w:tcW w:w="830" w:type="dxa"/>
            <w:tcBorders>
              <w:top w:val="nil"/>
              <w:left w:val="nil"/>
              <w:bottom w:val="single" w:sz="8" w:space="0" w:color="000000"/>
              <w:right w:val="nil"/>
            </w:tcBorders>
            <w:shd w:val="clear" w:color="auto" w:fill="auto"/>
            <w:noWrap/>
            <w:vAlign w:val="bottom"/>
            <w:hideMark/>
          </w:tcPr>
          <w:p w14:paraId="1D21B75B" w14:textId="77777777" w:rsidR="00BA5048" w:rsidRDefault="00BA5048" w:rsidP="0032109B">
            <w:pPr>
              <w:rPr>
                <w:rFonts w:ascii="Calibri" w:hAnsi="Calibri" w:cs="Calibri"/>
                <w:color w:val="000000"/>
                <w:sz w:val="22"/>
                <w:szCs w:val="22"/>
              </w:rPr>
            </w:pPr>
            <w:r>
              <w:rPr>
                <w:rFonts w:ascii="Calibri" w:hAnsi="Calibri" w:cs="Calibri"/>
                <w:color w:val="000000"/>
                <w:sz w:val="22"/>
                <w:szCs w:val="22"/>
              </w:rPr>
              <w:t> </w:t>
            </w:r>
          </w:p>
        </w:tc>
        <w:tc>
          <w:tcPr>
            <w:tcW w:w="720" w:type="dxa"/>
            <w:tcBorders>
              <w:top w:val="nil"/>
              <w:left w:val="nil"/>
              <w:bottom w:val="single" w:sz="8" w:space="0" w:color="000000"/>
              <w:right w:val="nil"/>
            </w:tcBorders>
            <w:shd w:val="clear" w:color="auto" w:fill="auto"/>
            <w:noWrap/>
            <w:vAlign w:val="bottom"/>
            <w:hideMark/>
          </w:tcPr>
          <w:p w14:paraId="3183CE50" w14:textId="77777777" w:rsidR="00BA5048" w:rsidRDefault="00BA5048" w:rsidP="0032109B">
            <w:pPr>
              <w:rPr>
                <w:rFonts w:ascii="Calibri" w:hAnsi="Calibri" w:cs="Calibri"/>
                <w:color w:val="000000"/>
                <w:sz w:val="22"/>
                <w:szCs w:val="22"/>
              </w:rPr>
            </w:pPr>
            <w:r>
              <w:rPr>
                <w:rFonts w:ascii="Calibri" w:hAnsi="Calibri" w:cs="Calibri"/>
                <w:color w:val="000000"/>
                <w:sz w:val="22"/>
                <w:szCs w:val="22"/>
              </w:rPr>
              <w:t> </w:t>
            </w:r>
          </w:p>
        </w:tc>
      </w:tr>
      <w:tr w:rsidR="00BA5048" w14:paraId="22C38A5B" w14:textId="77777777" w:rsidTr="0032109B">
        <w:trPr>
          <w:trHeight w:val="300"/>
        </w:trPr>
        <w:tc>
          <w:tcPr>
            <w:tcW w:w="997" w:type="dxa"/>
            <w:tcBorders>
              <w:top w:val="single" w:sz="8" w:space="0" w:color="000000"/>
              <w:left w:val="nil"/>
              <w:bottom w:val="nil"/>
              <w:right w:val="nil"/>
            </w:tcBorders>
            <w:shd w:val="clear" w:color="auto" w:fill="auto"/>
            <w:noWrap/>
            <w:vAlign w:val="bottom"/>
            <w:hideMark/>
          </w:tcPr>
          <w:p w14:paraId="04696D25" w14:textId="77777777" w:rsidR="00BA5048" w:rsidRPr="0032109B" w:rsidRDefault="00BA5048" w:rsidP="0032109B">
            <w:pPr>
              <w:jc w:val="center"/>
              <w:rPr>
                <w:b/>
                <w:bCs/>
                <w:color w:val="000000"/>
                <w:sz w:val="20"/>
                <w:szCs w:val="20"/>
              </w:rPr>
            </w:pPr>
            <w:r w:rsidRPr="0032109B">
              <w:rPr>
                <w:b/>
                <w:bCs/>
                <w:color w:val="000000"/>
                <w:sz w:val="20"/>
                <w:szCs w:val="20"/>
              </w:rPr>
              <w:t>sample</w:t>
            </w:r>
          </w:p>
        </w:tc>
        <w:tc>
          <w:tcPr>
            <w:tcW w:w="2456" w:type="dxa"/>
            <w:gridSpan w:val="2"/>
            <w:tcBorders>
              <w:top w:val="single" w:sz="8" w:space="0" w:color="000000"/>
              <w:left w:val="nil"/>
              <w:bottom w:val="nil"/>
              <w:right w:val="nil"/>
            </w:tcBorders>
            <w:shd w:val="clear" w:color="auto" w:fill="auto"/>
            <w:noWrap/>
            <w:vAlign w:val="bottom"/>
            <w:hideMark/>
          </w:tcPr>
          <w:p w14:paraId="5B8CE28E" w14:textId="77777777" w:rsidR="00BA5048" w:rsidRPr="0032109B" w:rsidRDefault="00BA5048" w:rsidP="0032109B">
            <w:pPr>
              <w:jc w:val="center"/>
              <w:rPr>
                <w:b/>
                <w:bCs/>
                <w:color w:val="000000"/>
                <w:sz w:val="20"/>
                <w:szCs w:val="20"/>
              </w:rPr>
            </w:pPr>
            <w:r w:rsidRPr="0032109B">
              <w:rPr>
                <w:b/>
                <w:bCs/>
                <w:color w:val="000000"/>
                <w:sz w:val="20"/>
                <w:szCs w:val="20"/>
              </w:rPr>
              <w:t>location (GDA94)</w:t>
            </w:r>
          </w:p>
        </w:tc>
        <w:tc>
          <w:tcPr>
            <w:tcW w:w="2000" w:type="dxa"/>
            <w:tcBorders>
              <w:top w:val="single" w:sz="8" w:space="0" w:color="000000"/>
              <w:left w:val="nil"/>
              <w:bottom w:val="nil"/>
              <w:right w:val="nil"/>
            </w:tcBorders>
            <w:shd w:val="clear" w:color="auto" w:fill="auto"/>
            <w:noWrap/>
            <w:vAlign w:val="bottom"/>
            <w:hideMark/>
          </w:tcPr>
          <w:p w14:paraId="46DC51AE" w14:textId="77777777" w:rsidR="00BA5048" w:rsidRPr="0032109B" w:rsidRDefault="00BA5048" w:rsidP="0032109B">
            <w:pPr>
              <w:jc w:val="center"/>
              <w:rPr>
                <w:b/>
                <w:bCs/>
                <w:color w:val="000000"/>
                <w:sz w:val="20"/>
                <w:szCs w:val="20"/>
              </w:rPr>
            </w:pPr>
            <w:r w:rsidRPr="0032109B">
              <w:rPr>
                <w:b/>
                <w:bCs/>
                <w:color w:val="000000"/>
                <w:sz w:val="20"/>
                <w:szCs w:val="20"/>
              </w:rPr>
              <w:t>Unit of Wandsworth</w:t>
            </w:r>
          </w:p>
        </w:tc>
        <w:tc>
          <w:tcPr>
            <w:tcW w:w="2980" w:type="dxa"/>
            <w:tcBorders>
              <w:top w:val="single" w:sz="8" w:space="0" w:color="000000"/>
              <w:left w:val="nil"/>
              <w:bottom w:val="nil"/>
              <w:right w:val="nil"/>
            </w:tcBorders>
            <w:shd w:val="clear" w:color="auto" w:fill="auto"/>
            <w:noWrap/>
            <w:vAlign w:val="bottom"/>
            <w:hideMark/>
          </w:tcPr>
          <w:p w14:paraId="0D364FDD" w14:textId="77777777" w:rsidR="00BA5048" w:rsidRPr="0032109B" w:rsidRDefault="00BA5048" w:rsidP="0032109B">
            <w:pPr>
              <w:jc w:val="center"/>
              <w:rPr>
                <w:b/>
                <w:bCs/>
                <w:color w:val="000000"/>
                <w:sz w:val="20"/>
                <w:szCs w:val="20"/>
              </w:rPr>
            </w:pPr>
            <w:r w:rsidRPr="0032109B">
              <w:rPr>
                <w:b/>
                <w:bCs/>
                <w:color w:val="000000"/>
                <w:sz w:val="20"/>
                <w:szCs w:val="20"/>
              </w:rPr>
              <w:t>Lithology</w:t>
            </w:r>
          </w:p>
        </w:tc>
        <w:tc>
          <w:tcPr>
            <w:tcW w:w="830" w:type="dxa"/>
            <w:tcBorders>
              <w:top w:val="single" w:sz="8" w:space="0" w:color="000000"/>
              <w:left w:val="nil"/>
              <w:bottom w:val="nil"/>
              <w:right w:val="nil"/>
            </w:tcBorders>
            <w:shd w:val="clear" w:color="auto" w:fill="auto"/>
            <w:noWrap/>
            <w:vAlign w:val="bottom"/>
            <w:hideMark/>
          </w:tcPr>
          <w:p w14:paraId="77A287FB" w14:textId="77777777" w:rsidR="00BA5048" w:rsidRPr="0032109B" w:rsidRDefault="00BA5048" w:rsidP="0032109B">
            <w:pPr>
              <w:jc w:val="center"/>
              <w:rPr>
                <w:b/>
                <w:bCs/>
                <w:color w:val="000000"/>
                <w:sz w:val="20"/>
                <w:szCs w:val="20"/>
              </w:rPr>
            </w:pPr>
            <w:r w:rsidRPr="0032109B">
              <w:rPr>
                <w:b/>
                <w:bCs/>
                <w:color w:val="000000"/>
                <w:sz w:val="20"/>
                <w:szCs w:val="20"/>
              </w:rPr>
              <w:t xml:space="preserve">age </w:t>
            </w:r>
          </w:p>
        </w:tc>
        <w:tc>
          <w:tcPr>
            <w:tcW w:w="720" w:type="dxa"/>
            <w:tcBorders>
              <w:top w:val="single" w:sz="8" w:space="0" w:color="000000"/>
              <w:left w:val="nil"/>
              <w:bottom w:val="nil"/>
              <w:right w:val="nil"/>
            </w:tcBorders>
            <w:shd w:val="clear" w:color="auto" w:fill="auto"/>
            <w:noWrap/>
            <w:vAlign w:val="bottom"/>
            <w:hideMark/>
          </w:tcPr>
          <w:p w14:paraId="314798F4" w14:textId="77777777" w:rsidR="00BA5048" w:rsidRPr="0032109B" w:rsidRDefault="00BA5048" w:rsidP="0032109B">
            <w:pPr>
              <w:jc w:val="center"/>
              <w:rPr>
                <w:b/>
                <w:bCs/>
                <w:color w:val="000000"/>
                <w:sz w:val="20"/>
                <w:szCs w:val="20"/>
              </w:rPr>
            </w:pPr>
            <w:r w:rsidRPr="0032109B">
              <w:rPr>
                <w:b/>
                <w:bCs/>
                <w:color w:val="000000"/>
                <w:sz w:val="20"/>
                <w:szCs w:val="20"/>
              </w:rPr>
              <w:t>error</w:t>
            </w:r>
          </w:p>
        </w:tc>
      </w:tr>
      <w:tr w:rsidR="00BA5048" w14:paraId="02E4338D" w14:textId="77777777" w:rsidTr="0032109B">
        <w:trPr>
          <w:trHeight w:val="300"/>
        </w:trPr>
        <w:tc>
          <w:tcPr>
            <w:tcW w:w="997" w:type="dxa"/>
            <w:tcBorders>
              <w:top w:val="nil"/>
              <w:left w:val="nil"/>
              <w:bottom w:val="single" w:sz="8" w:space="0" w:color="000000"/>
              <w:right w:val="nil"/>
            </w:tcBorders>
            <w:shd w:val="clear" w:color="auto" w:fill="auto"/>
            <w:noWrap/>
            <w:vAlign w:val="bottom"/>
            <w:hideMark/>
          </w:tcPr>
          <w:p w14:paraId="429F8400" w14:textId="77777777" w:rsidR="00BA5048" w:rsidRPr="0032109B" w:rsidRDefault="00BA5048" w:rsidP="0032109B">
            <w:pPr>
              <w:jc w:val="center"/>
              <w:rPr>
                <w:b/>
                <w:bCs/>
                <w:color w:val="000000"/>
                <w:sz w:val="20"/>
                <w:szCs w:val="20"/>
              </w:rPr>
            </w:pPr>
            <w:r w:rsidRPr="0032109B">
              <w:rPr>
                <w:b/>
                <w:bCs/>
                <w:color w:val="000000"/>
                <w:sz w:val="20"/>
                <w:szCs w:val="20"/>
              </w:rPr>
              <w:t> </w:t>
            </w:r>
          </w:p>
        </w:tc>
        <w:tc>
          <w:tcPr>
            <w:tcW w:w="1276" w:type="dxa"/>
            <w:tcBorders>
              <w:top w:val="nil"/>
              <w:left w:val="nil"/>
              <w:bottom w:val="single" w:sz="8" w:space="0" w:color="000000"/>
              <w:right w:val="nil"/>
            </w:tcBorders>
            <w:shd w:val="clear" w:color="auto" w:fill="auto"/>
            <w:noWrap/>
            <w:vAlign w:val="bottom"/>
            <w:hideMark/>
          </w:tcPr>
          <w:p w14:paraId="7C97BDA7" w14:textId="77777777" w:rsidR="00BA5048" w:rsidRPr="0032109B" w:rsidRDefault="00BA5048" w:rsidP="0032109B">
            <w:pPr>
              <w:jc w:val="center"/>
              <w:rPr>
                <w:b/>
                <w:bCs/>
                <w:color w:val="000000"/>
                <w:sz w:val="20"/>
                <w:szCs w:val="20"/>
              </w:rPr>
            </w:pPr>
            <w:r w:rsidRPr="0032109B">
              <w:rPr>
                <w:b/>
                <w:bCs/>
                <w:color w:val="000000"/>
                <w:sz w:val="20"/>
                <w:szCs w:val="20"/>
              </w:rPr>
              <w:t>eastings</w:t>
            </w:r>
          </w:p>
        </w:tc>
        <w:tc>
          <w:tcPr>
            <w:tcW w:w="1180" w:type="dxa"/>
            <w:tcBorders>
              <w:top w:val="nil"/>
              <w:left w:val="nil"/>
              <w:bottom w:val="single" w:sz="8" w:space="0" w:color="000000"/>
              <w:right w:val="nil"/>
            </w:tcBorders>
            <w:shd w:val="clear" w:color="auto" w:fill="auto"/>
            <w:noWrap/>
            <w:vAlign w:val="bottom"/>
            <w:hideMark/>
          </w:tcPr>
          <w:p w14:paraId="64539EB6" w14:textId="77777777" w:rsidR="00BA5048" w:rsidRPr="0032109B" w:rsidRDefault="00BA5048" w:rsidP="0032109B">
            <w:pPr>
              <w:jc w:val="center"/>
              <w:rPr>
                <w:b/>
                <w:bCs/>
                <w:color w:val="000000"/>
                <w:sz w:val="20"/>
                <w:szCs w:val="20"/>
              </w:rPr>
            </w:pPr>
            <w:r w:rsidRPr="0032109B">
              <w:rPr>
                <w:b/>
                <w:bCs/>
                <w:color w:val="000000"/>
                <w:sz w:val="20"/>
                <w:szCs w:val="20"/>
              </w:rPr>
              <w:t>northings</w:t>
            </w:r>
          </w:p>
        </w:tc>
        <w:tc>
          <w:tcPr>
            <w:tcW w:w="2000" w:type="dxa"/>
            <w:tcBorders>
              <w:top w:val="nil"/>
              <w:left w:val="nil"/>
              <w:bottom w:val="single" w:sz="8" w:space="0" w:color="000000"/>
              <w:right w:val="nil"/>
            </w:tcBorders>
            <w:shd w:val="clear" w:color="auto" w:fill="auto"/>
            <w:noWrap/>
            <w:vAlign w:val="bottom"/>
            <w:hideMark/>
          </w:tcPr>
          <w:p w14:paraId="76FC8D72" w14:textId="77777777" w:rsidR="00BA5048" w:rsidRPr="0032109B" w:rsidRDefault="00BA5048" w:rsidP="0032109B">
            <w:pPr>
              <w:jc w:val="center"/>
              <w:rPr>
                <w:b/>
                <w:bCs/>
                <w:color w:val="000000"/>
                <w:sz w:val="20"/>
                <w:szCs w:val="20"/>
              </w:rPr>
            </w:pPr>
            <w:r w:rsidRPr="0032109B">
              <w:rPr>
                <w:b/>
                <w:bCs/>
                <w:color w:val="000000"/>
                <w:sz w:val="20"/>
                <w:szCs w:val="20"/>
              </w:rPr>
              <w:t>Volcanic Group</w:t>
            </w:r>
          </w:p>
        </w:tc>
        <w:tc>
          <w:tcPr>
            <w:tcW w:w="2980" w:type="dxa"/>
            <w:tcBorders>
              <w:top w:val="nil"/>
              <w:left w:val="nil"/>
              <w:bottom w:val="single" w:sz="8" w:space="0" w:color="000000"/>
              <w:right w:val="nil"/>
            </w:tcBorders>
            <w:shd w:val="clear" w:color="auto" w:fill="auto"/>
            <w:noWrap/>
            <w:vAlign w:val="bottom"/>
            <w:hideMark/>
          </w:tcPr>
          <w:p w14:paraId="51CB4CBE" w14:textId="77777777" w:rsidR="00BA5048" w:rsidRPr="0032109B" w:rsidRDefault="00BA5048" w:rsidP="0032109B">
            <w:pPr>
              <w:jc w:val="center"/>
              <w:rPr>
                <w:b/>
                <w:bCs/>
                <w:color w:val="000000"/>
                <w:sz w:val="20"/>
                <w:szCs w:val="20"/>
              </w:rPr>
            </w:pPr>
            <w:r w:rsidRPr="0032109B">
              <w:rPr>
                <w:b/>
                <w:bCs/>
                <w:color w:val="000000"/>
                <w:sz w:val="20"/>
                <w:szCs w:val="20"/>
              </w:rPr>
              <w:t> </w:t>
            </w:r>
          </w:p>
        </w:tc>
        <w:tc>
          <w:tcPr>
            <w:tcW w:w="830" w:type="dxa"/>
            <w:tcBorders>
              <w:top w:val="nil"/>
              <w:left w:val="nil"/>
              <w:bottom w:val="single" w:sz="8" w:space="0" w:color="000000"/>
              <w:right w:val="nil"/>
            </w:tcBorders>
            <w:shd w:val="clear" w:color="auto" w:fill="auto"/>
            <w:noWrap/>
            <w:vAlign w:val="bottom"/>
            <w:hideMark/>
          </w:tcPr>
          <w:p w14:paraId="7F4BF873" w14:textId="77777777" w:rsidR="00BA5048" w:rsidRPr="0032109B" w:rsidRDefault="00BA5048" w:rsidP="0032109B">
            <w:pPr>
              <w:jc w:val="center"/>
              <w:rPr>
                <w:b/>
                <w:bCs/>
                <w:color w:val="000000"/>
                <w:sz w:val="20"/>
                <w:szCs w:val="20"/>
              </w:rPr>
            </w:pPr>
            <w:r w:rsidRPr="0032109B">
              <w:rPr>
                <w:b/>
                <w:bCs/>
                <w:color w:val="000000"/>
                <w:sz w:val="20"/>
                <w:szCs w:val="20"/>
              </w:rPr>
              <w:t>(Ma)</w:t>
            </w:r>
          </w:p>
        </w:tc>
        <w:tc>
          <w:tcPr>
            <w:tcW w:w="720" w:type="dxa"/>
            <w:tcBorders>
              <w:top w:val="nil"/>
              <w:left w:val="nil"/>
              <w:bottom w:val="single" w:sz="8" w:space="0" w:color="000000"/>
              <w:right w:val="nil"/>
            </w:tcBorders>
            <w:shd w:val="clear" w:color="auto" w:fill="auto"/>
            <w:noWrap/>
            <w:vAlign w:val="bottom"/>
            <w:hideMark/>
          </w:tcPr>
          <w:p w14:paraId="20875568" w14:textId="77777777" w:rsidR="00BA5048" w:rsidRPr="0032109B" w:rsidRDefault="00BA5048" w:rsidP="0032109B">
            <w:pPr>
              <w:jc w:val="center"/>
              <w:rPr>
                <w:b/>
                <w:bCs/>
                <w:color w:val="000000"/>
                <w:sz w:val="20"/>
                <w:szCs w:val="20"/>
              </w:rPr>
            </w:pPr>
            <w:r w:rsidRPr="0032109B">
              <w:rPr>
                <w:b/>
                <w:bCs/>
                <w:color w:val="000000"/>
                <w:sz w:val="20"/>
                <w:szCs w:val="20"/>
              </w:rPr>
              <w:t xml:space="preserve"> (Ma)</w:t>
            </w:r>
          </w:p>
        </w:tc>
      </w:tr>
      <w:tr w:rsidR="00BA5048" w14:paraId="60E25598" w14:textId="77777777" w:rsidTr="0032109B">
        <w:trPr>
          <w:trHeight w:val="300"/>
        </w:trPr>
        <w:tc>
          <w:tcPr>
            <w:tcW w:w="997" w:type="dxa"/>
            <w:tcBorders>
              <w:top w:val="nil"/>
              <w:left w:val="nil"/>
              <w:bottom w:val="nil"/>
              <w:right w:val="nil"/>
            </w:tcBorders>
            <w:shd w:val="clear" w:color="auto" w:fill="auto"/>
            <w:noWrap/>
            <w:vAlign w:val="bottom"/>
            <w:hideMark/>
          </w:tcPr>
          <w:p w14:paraId="72C79008" w14:textId="77777777" w:rsidR="00BA5048" w:rsidRPr="0032109B" w:rsidRDefault="00BA5048" w:rsidP="0032109B">
            <w:pPr>
              <w:rPr>
                <w:color w:val="000000"/>
                <w:sz w:val="20"/>
                <w:szCs w:val="20"/>
              </w:rPr>
            </w:pPr>
            <w:r w:rsidRPr="0032109B">
              <w:rPr>
                <w:color w:val="000000"/>
                <w:sz w:val="20"/>
                <w:szCs w:val="20"/>
              </w:rPr>
              <w:t>1954030</w:t>
            </w:r>
          </w:p>
        </w:tc>
        <w:tc>
          <w:tcPr>
            <w:tcW w:w="1276" w:type="dxa"/>
            <w:tcBorders>
              <w:top w:val="nil"/>
              <w:left w:val="nil"/>
              <w:bottom w:val="nil"/>
              <w:right w:val="nil"/>
            </w:tcBorders>
            <w:shd w:val="clear" w:color="auto" w:fill="auto"/>
            <w:noWrap/>
            <w:vAlign w:val="bottom"/>
            <w:hideMark/>
          </w:tcPr>
          <w:p w14:paraId="6CED6E47" w14:textId="77777777" w:rsidR="00BA5048" w:rsidRPr="0032109B" w:rsidRDefault="00BA5048" w:rsidP="0032109B">
            <w:pPr>
              <w:jc w:val="center"/>
              <w:rPr>
                <w:color w:val="000000"/>
                <w:sz w:val="20"/>
                <w:szCs w:val="20"/>
              </w:rPr>
            </w:pPr>
            <w:r w:rsidRPr="0032109B">
              <w:rPr>
                <w:color w:val="000000"/>
                <w:sz w:val="20"/>
                <w:szCs w:val="20"/>
              </w:rPr>
              <w:t>151.28453</w:t>
            </w:r>
          </w:p>
        </w:tc>
        <w:tc>
          <w:tcPr>
            <w:tcW w:w="1180" w:type="dxa"/>
            <w:tcBorders>
              <w:top w:val="nil"/>
              <w:left w:val="nil"/>
              <w:bottom w:val="nil"/>
              <w:right w:val="nil"/>
            </w:tcBorders>
            <w:shd w:val="clear" w:color="auto" w:fill="auto"/>
            <w:noWrap/>
            <w:vAlign w:val="bottom"/>
            <w:hideMark/>
          </w:tcPr>
          <w:p w14:paraId="6BAC7EDE" w14:textId="77777777" w:rsidR="00BA5048" w:rsidRPr="0032109B" w:rsidRDefault="00BA5048" w:rsidP="0032109B">
            <w:pPr>
              <w:jc w:val="center"/>
              <w:rPr>
                <w:color w:val="000000"/>
                <w:sz w:val="20"/>
                <w:szCs w:val="20"/>
              </w:rPr>
            </w:pPr>
            <w:r w:rsidRPr="0032109B">
              <w:rPr>
                <w:color w:val="000000"/>
                <w:sz w:val="20"/>
                <w:szCs w:val="20"/>
              </w:rPr>
              <w:t>-30.38234</w:t>
            </w:r>
          </w:p>
        </w:tc>
        <w:tc>
          <w:tcPr>
            <w:tcW w:w="2000" w:type="dxa"/>
            <w:tcBorders>
              <w:top w:val="nil"/>
              <w:left w:val="nil"/>
              <w:bottom w:val="nil"/>
              <w:right w:val="nil"/>
            </w:tcBorders>
            <w:shd w:val="clear" w:color="auto" w:fill="auto"/>
            <w:noWrap/>
            <w:vAlign w:val="bottom"/>
            <w:hideMark/>
          </w:tcPr>
          <w:p w14:paraId="538C0C33" w14:textId="77777777" w:rsidR="00BA5048" w:rsidRPr="0032109B" w:rsidRDefault="00BA5048" w:rsidP="0032109B">
            <w:pPr>
              <w:jc w:val="center"/>
              <w:rPr>
                <w:color w:val="000000"/>
                <w:sz w:val="20"/>
                <w:szCs w:val="20"/>
              </w:rPr>
            </w:pPr>
          </w:p>
        </w:tc>
        <w:tc>
          <w:tcPr>
            <w:tcW w:w="2980" w:type="dxa"/>
            <w:tcBorders>
              <w:top w:val="nil"/>
              <w:left w:val="nil"/>
              <w:bottom w:val="nil"/>
              <w:right w:val="nil"/>
            </w:tcBorders>
            <w:shd w:val="clear" w:color="auto" w:fill="auto"/>
            <w:noWrap/>
            <w:vAlign w:val="bottom"/>
            <w:hideMark/>
          </w:tcPr>
          <w:p w14:paraId="3EBCDC9D" w14:textId="77777777" w:rsidR="00BA5048" w:rsidRPr="0032109B" w:rsidRDefault="00BA5048" w:rsidP="0032109B">
            <w:pPr>
              <w:jc w:val="center"/>
              <w:rPr>
                <w:color w:val="000000"/>
                <w:sz w:val="20"/>
                <w:szCs w:val="20"/>
              </w:rPr>
            </w:pPr>
            <w:r w:rsidRPr="0032109B">
              <w:rPr>
                <w:color w:val="000000"/>
                <w:sz w:val="20"/>
                <w:szCs w:val="20"/>
              </w:rPr>
              <w:t>Gwydir River monzogranite</w:t>
            </w:r>
          </w:p>
        </w:tc>
        <w:tc>
          <w:tcPr>
            <w:tcW w:w="830" w:type="dxa"/>
            <w:tcBorders>
              <w:top w:val="nil"/>
              <w:left w:val="nil"/>
              <w:bottom w:val="nil"/>
              <w:right w:val="nil"/>
            </w:tcBorders>
            <w:shd w:val="clear" w:color="auto" w:fill="auto"/>
            <w:noWrap/>
            <w:vAlign w:val="bottom"/>
            <w:hideMark/>
          </w:tcPr>
          <w:p w14:paraId="6E6855F0" w14:textId="3958186F" w:rsidR="00BA5048" w:rsidRPr="0032109B" w:rsidRDefault="00BA5048" w:rsidP="0032109B">
            <w:pPr>
              <w:jc w:val="center"/>
              <w:rPr>
                <w:color w:val="000000"/>
                <w:sz w:val="20"/>
                <w:szCs w:val="20"/>
              </w:rPr>
            </w:pPr>
            <w:r w:rsidRPr="0032109B">
              <w:rPr>
                <w:color w:val="000000"/>
                <w:sz w:val="20"/>
                <w:szCs w:val="20"/>
              </w:rPr>
              <w:t>25</w:t>
            </w:r>
            <w:r w:rsidR="00EC7491">
              <w:rPr>
                <w:color w:val="000000"/>
                <w:sz w:val="20"/>
                <w:szCs w:val="20"/>
              </w:rPr>
              <w:t>2</w:t>
            </w:r>
            <w:r w:rsidRPr="0032109B">
              <w:rPr>
                <w:color w:val="000000"/>
                <w:sz w:val="20"/>
                <w:szCs w:val="20"/>
              </w:rPr>
              <w:t>.</w:t>
            </w:r>
            <w:r w:rsidR="00EC7491">
              <w:rPr>
                <w:color w:val="000000"/>
                <w:sz w:val="20"/>
                <w:szCs w:val="20"/>
              </w:rPr>
              <w:t>76</w:t>
            </w:r>
          </w:p>
        </w:tc>
        <w:tc>
          <w:tcPr>
            <w:tcW w:w="720" w:type="dxa"/>
            <w:tcBorders>
              <w:top w:val="nil"/>
              <w:left w:val="nil"/>
              <w:bottom w:val="nil"/>
              <w:right w:val="nil"/>
            </w:tcBorders>
            <w:shd w:val="clear" w:color="auto" w:fill="auto"/>
            <w:noWrap/>
            <w:vAlign w:val="bottom"/>
            <w:hideMark/>
          </w:tcPr>
          <w:p w14:paraId="33B5CF66" w14:textId="7BD4D9B0" w:rsidR="00BA5048" w:rsidRPr="0032109B" w:rsidRDefault="00BA5048" w:rsidP="0032109B">
            <w:pPr>
              <w:jc w:val="center"/>
              <w:rPr>
                <w:color w:val="000000"/>
                <w:sz w:val="20"/>
                <w:szCs w:val="20"/>
              </w:rPr>
            </w:pPr>
            <w:r w:rsidRPr="0032109B">
              <w:rPr>
                <w:color w:val="000000"/>
                <w:sz w:val="20"/>
                <w:szCs w:val="20"/>
              </w:rPr>
              <w:t>0.</w:t>
            </w:r>
            <w:r w:rsidR="00D47E8E">
              <w:rPr>
                <w:color w:val="000000"/>
                <w:sz w:val="20"/>
                <w:szCs w:val="20"/>
              </w:rPr>
              <w:t>12</w:t>
            </w:r>
          </w:p>
        </w:tc>
      </w:tr>
      <w:tr w:rsidR="00EC7491" w14:paraId="1A88F799" w14:textId="77777777" w:rsidTr="0032109B">
        <w:trPr>
          <w:trHeight w:val="300"/>
        </w:trPr>
        <w:tc>
          <w:tcPr>
            <w:tcW w:w="997" w:type="dxa"/>
            <w:tcBorders>
              <w:top w:val="nil"/>
              <w:left w:val="nil"/>
              <w:bottom w:val="nil"/>
              <w:right w:val="nil"/>
            </w:tcBorders>
            <w:shd w:val="clear" w:color="auto" w:fill="auto"/>
            <w:noWrap/>
            <w:vAlign w:val="bottom"/>
          </w:tcPr>
          <w:p w14:paraId="436036DF" w14:textId="11962357" w:rsidR="00EC7491" w:rsidRPr="0032109B" w:rsidRDefault="00EC7491" w:rsidP="00EC7491">
            <w:pPr>
              <w:rPr>
                <w:color w:val="000000"/>
                <w:sz w:val="20"/>
                <w:szCs w:val="20"/>
              </w:rPr>
            </w:pPr>
            <w:r w:rsidRPr="0032109B">
              <w:rPr>
                <w:color w:val="000000"/>
                <w:sz w:val="20"/>
                <w:szCs w:val="20"/>
              </w:rPr>
              <w:t>1683223</w:t>
            </w:r>
          </w:p>
        </w:tc>
        <w:tc>
          <w:tcPr>
            <w:tcW w:w="1276" w:type="dxa"/>
            <w:tcBorders>
              <w:top w:val="nil"/>
              <w:left w:val="nil"/>
              <w:bottom w:val="nil"/>
              <w:right w:val="nil"/>
            </w:tcBorders>
            <w:shd w:val="clear" w:color="auto" w:fill="auto"/>
            <w:noWrap/>
            <w:vAlign w:val="bottom"/>
          </w:tcPr>
          <w:p w14:paraId="5D25D73C" w14:textId="47D68743" w:rsidR="00EC7491" w:rsidRPr="0032109B" w:rsidRDefault="00EC7491" w:rsidP="00EC7491">
            <w:pPr>
              <w:jc w:val="center"/>
              <w:rPr>
                <w:color w:val="000000"/>
                <w:sz w:val="20"/>
                <w:szCs w:val="20"/>
              </w:rPr>
            </w:pPr>
            <w:r w:rsidRPr="0032109B">
              <w:rPr>
                <w:color w:val="000000"/>
                <w:sz w:val="20"/>
                <w:szCs w:val="20"/>
              </w:rPr>
              <w:t>151.854300</w:t>
            </w:r>
          </w:p>
        </w:tc>
        <w:tc>
          <w:tcPr>
            <w:tcW w:w="1180" w:type="dxa"/>
            <w:tcBorders>
              <w:top w:val="nil"/>
              <w:left w:val="nil"/>
              <w:bottom w:val="nil"/>
              <w:right w:val="nil"/>
            </w:tcBorders>
            <w:shd w:val="clear" w:color="auto" w:fill="auto"/>
            <w:noWrap/>
            <w:vAlign w:val="bottom"/>
          </w:tcPr>
          <w:p w14:paraId="0FBF0AEA" w14:textId="0C0FFA32" w:rsidR="00EC7491" w:rsidRPr="0032109B" w:rsidRDefault="00EC7491" w:rsidP="00EC7491">
            <w:pPr>
              <w:jc w:val="center"/>
              <w:rPr>
                <w:color w:val="000000"/>
                <w:sz w:val="20"/>
                <w:szCs w:val="20"/>
              </w:rPr>
            </w:pPr>
            <w:r w:rsidRPr="0032109B">
              <w:rPr>
                <w:color w:val="000000"/>
                <w:sz w:val="20"/>
                <w:szCs w:val="20"/>
              </w:rPr>
              <w:t>-29570198</w:t>
            </w:r>
          </w:p>
        </w:tc>
        <w:tc>
          <w:tcPr>
            <w:tcW w:w="2000" w:type="dxa"/>
            <w:tcBorders>
              <w:top w:val="nil"/>
              <w:left w:val="nil"/>
              <w:bottom w:val="nil"/>
              <w:right w:val="nil"/>
            </w:tcBorders>
            <w:shd w:val="clear" w:color="auto" w:fill="auto"/>
            <w:noWrap/>
            <w:vAlign w:val="bottom"/>
          </w:tcPr>
          <w:p w14:paraId="2F127EFD" w14:textId="5BFE165F" w:rsidR="00EC7491" w:rsidRPr="0032109B" w:rsidRDefault="00EC7491" w:rsidP="00EC7491">
            <w:pPr>
              <w:jc w:val="center"/>
              <w:rPr>
                <w:color w:val="000000"/>
                <w:sz w:val="20"/>
                <w:szCs w:val="20"/>
              </w:rPr>
            </w:pPr>
            <w:r w:rsidRPr="0032109B">
              <w:rPr>
                <w:color w:val="000000"/>
                <w:sz w:val="20"/>
                <w:szCs w:val="20"/>
              </w:rPr>
              <w:t>Eastern Belt</w:t>
            </w:r>
          </w:p>
        </w:tc>
        <w:tc>
          <w:tcPr>
            <w:tcW w:w="2980" w:type="dxa"/>
            <w:tcBorders>
              <w:top w:val="nil"/>
              <w:left w:val="nil"/>
              <w:bottom w:val="nil"/>
              <w:right w:val="nil"/>
            </w:tcBorders>
            <w:shd w:val="clear" w:color="auto" w:fill="auto"/>
            <w:noWrap/>
            <w:vAlign w:val="bottom"/>
          </w:tcPr>
          <w:p w14:paraId="739E6A6D" w14:textId="3DAD1BEB" w:rsidR="00EC7491" w:rsidRPr="0032109B" w:rsidRDefault="00EC7491" w:rsidP="00EC7491">
            <w:pPr>
              <w:jc w:val="center"/>
              <w:rPr>
                <w:color w:val="000000"/>
                <w:sz w:val="20"/>
                <w:szCs w:val="20"/>
              </w:rPr>
            </w:pPr>
            <w:r w:rsidRPr="0032109B">
              <w:rPr>
                <w:color w:val="000000"/>
                <w:sz w:val="20"/>
                <w:szCs w:val="20"/>
              </w:rPr>
              <w:t>Dundee Rhyodacite</w:t>
            </w:r>
          </w:p>
        </w:tc>
        <w:tc>
          <w:tcPr>
            <w:tcW w:w="830" w:type="dxa"/>
            <w:tcBorders>
              <w:top w:val="nil"/>
              <w:left w:val="nil"/>
              <w:bottom w:val="nil"/>
              <w:right w:val="nil"/>
            </w:tcBorders>
            <w:shd w:val="clear" w:color="auto" w:fill="auto"/>
            <w:noWrap/>
            <w:vAlign w:val="bottom"/>
          </w:tcPr>
          <w:p w14:paraId="1F65D27B" w14:textId="3514E54E" w:rsidR="00EC7491" w:rsidRPr="0032109B" w:rsidRDefault="00EC7491" w:rsidP="00EC7491">
            <w:pPr>
              <w:jc w:val="center"/>
              <w:rPr>
                <w:color w:val="000000"/>
                <w:sz w:val="20"/>
                <w:szCs w:val="20"/>
              </w:rPr>
            </w:pPr>
            <w:r w:rsidRPr="0032109B">
              <w:rPr>
                <w:color w:val="000000"/>
                <w:sz w:val="20"/>
                <w:szCs w:val="20"/>
              </w:rPr>
              <w:t>253.1</w:t>
            </w:r>
            <w:r>
              <w:rPr>
                <w:color w:val="000000"/>
                <w:sz w:val="20"/>
                <w:szCs w:val="20"/>
              </w:rPr>
              <w:t>0</w:t>
            </w:r>
          </w:p>
        </w:tc>
        <w:tc>
          <w:tcPr>
            <w:tcW w:w="720" w:type="dxa"/>
            <w:tcBorders>
              <w:top w:val="nil"/>
              <w:left w:val="nil"/>
              <w:bottom w:val="nil"/>
              <w:right w:val="nil"/>
            </w:tcBorders>
            <w:shd w:val="clear" w:color="auto" w:fill="auto"/>
            <w:noWrap/>
            <w:vAlign w:val="bottom"/>
          </w:tcPr>
          <w:p w14:paraId="20488E54" w14:textId="7DADC07E" w:rsidR="00EC7491" w:rsidRPr="0032109B" w:rsidRDefault="00EC7491" w:rsidP="00EC7491">
            <w:pPr>
              <w:jc w:val="center"/>
              <w:rPr>
                <w:color w:val="000000"/>
                <w:sz w:val="20"/>
                <w:szCs w:val="20"/>
              </w:rPr>
            </w:pPr>
            <w:r w:rsidRPr="0032109B">
              <w:rPr>
                <w:color w:val="000000"/>
                <w:sz w:val="20"/>
                <w:szCs w:val="20"/>
              </w:rPr>
              <w:t>0.07</w:t>
            </w:r>
          </w:p>
        </w:tc>
      </w:tr>
      <w:tr w:rsidR="00EC7491" w14:paraId="0B056A42" w14:textId="77777777" w:rsidTr="0032109B">
        <w:trPr>
          <w:trHeight w:val="300"/>
        </w:trPr>
        <w:tc>
          <w:tcPr>
            <w:tcW w:w="997" w:type="dxa"/>
            <w:tcBorders>
              <w:top w:val="nil"/>
              <w:left w:val="nil"/>
              <w:bottom w:val="nil"/>
              <w:right w:val="nil"/>
            </w:tcBorders>
            <w:shd w:val="clear" w:color="auto" w:fill="auto"/>
            <w:noWrap/>
            <w:vAlign w:val="bottom"/>
            <w:hideMark/>
          </w:tcPr>
          <w:p w14:paraId="65FA8461" w14:textId="77777777" w:rsidR="00EC7491" w:rsidRPr="0032109B" w:rsidRDefault="00EC7491" w:rsidP="00EC7491">
            <w:pPr>
              <w:rPr>
                <w:color w:val="000000"/>
                <w:sz w:val="20"/>
                <w:szCs w:val="20"/>
              </w:rPr>
            </w:pPr>
            <w:r w:rsidRPr="0032109B">
              <w:rPr>
                <w:color w:val="000000"/>
                <w:sz w:val="20"/>
                <w:szCs w:val="20"/>
              </w:rPr>
              <w:t>1683222</w:t>
            </w:r>
          </w:p>
        </w:tc>
        <w:tc>
          <w:tcPr>
            <w:tcW w:w="1276" w:type="dxa"/>
            <w:tcBorders>
              <w:top w:val="nil"/>
              <w:left w:val="nil"/>
              <w:bottom w:val="nil"/>
              <w:right w:val="nil"/>
            </w:tcBorders>
            <w:shd w:val="clear" w:color="auto" w:fill="auto"/>
            <w:noWrap/>
            <w:vAlign w:val="bottom"/>
            <w:hideMark/>
          </w:tcPr>
          <w:p w14:paraId="56B5671C" w14:textId="77777777" w:rsidR="00EC7491" w:rsidRPr="0032109B" w:rsidRDefault="00EC7491" w:rsidP="00EC7491">
            <w:pPr>
              <w:jc w:val="center"/>
              <w:rPr>
                <w:color w:val="000000"/>
                <w:sz w:val="20"/>
                <w:szCs w:val="20"/>
              </w:rPr>
            </w:pPr>
            <w:r w:rsidRPr="0032109B">
              <w:rPr>
                <w:color w:val="000000"/>
                <w:sz w:val="20"/>
                <w:szCs w:val="20"/>
              </w:rPr>
              <w:t>152.04143</w:t>
            </w:r>
          </w:p>
        </w:tc>
        <w:tc>
          <w:tcPr>
            <w:tcW w:w="1180" w:type="dxa"/>
            <w:tcBorders>
              <w:top w:val="nil"/>
              <w:left w:val="nil"/>
              <w:bottom w:val="nil"/>
              <w:right w:val="nil"/>
            </w:tcBorders>
            <w:shd w:val="clear" w:color="auto" w:fill="auto"/>
            <w:noWrap/>
            <w:vAlign w:val="bottom"/>
            <w:hideMark/>
          </w:tcPr>
          <w:p w14:paraId="08419044" w14:textId="77777777" w:rsidR="00EC7491" w:rsidRPr="0032109B" w:rsidRDefault="00EC7491" w:rsidP="00EC7491">
            <w:pPr>
              <w:jc w:val="center"/>
              <w:rPr>
                <w:color w:val="000000"/>
                <w:sz w:val="20"/>
                <w:szCs w:val="20"/>
              </w:rPr>
            </w:pPr>
            <w:r w:rsidRPr="0032109B">
              <w:rPr>
                <w:color w:val="000000"/>
                <w:sz w:val="20"/>
                <w:szCs w:val="20"/>
              </w:rPr>
              <w:t>-29.394355</w:t>
            </w:r>
          </w:p>
        </w:tc>
        <w:tc>
          <w:tcPr>
            <w:tcW w:w="2000" w:type="dxa"/>
            <w:tcBorders>
              <w:top w:val="nil"/>
              <w:left w:val="nil"/>
              <w:bottom w:val="nil"/>
              <w:right w:val="nil"/>
            </w:tcBorders>
            <w:shd w:val="clear" w:color="auto" w:fill="auto"/>
            <w:noWrap/>
            <w:vAlign w:val="bottom"/>
            <w:hideMark/>
          </w:tcPr>
          <w:p w14:paraId="5648342E" w14:textId="77777777" w:rsidR="00EC7491" w:rsidRPr="0032109B" w:rsidRDefault="00EC7491" w:rsidP="00EC7491">
            <w:pPr>
              <w:jc w:val="center"/>
              <w:rPr>
                <w:color w:val="000000"/>
                <w:sz w:val="20"/>
                <w:szCs w:val="20"/>
              </w:rPr>
            </w:pPr>
            <w:r w:rsidRPr="0032109B">
              <w:rPr>
                <w:color w:val="000000"/>
                <w:sz w:val="20"/>
                <w:szCs w:val="20"/>
              </w:rPr>
              <w:t>Eastern Belt</w:t>
            </w:r>
          </w:p>
        </w:tc>
        <w:tc>
          <w:tcPr>
            <w:tcW w:w="2980" w:type="dxa"/>
            <w:tcBorders>
              <w:top w:val="nil"/>
              <w:left w:val="nil"/>
              <w:bottom w:val="nil"/>
              <w:right w:val="nil"/>
            </w:tcBorders>
            <w:shd w:val="clear" w:color="auto" w:fill="auto"/>
            <w:noWrap/>
            <w:vAlign w:val="bottom"/>
            <w:hideMark/>
          </w:tcPr>
          <w:p w14:paraId="2B069A62" w14:textId="77777777" w:rsidR="00EC7491" w:rsidRPr="0032109B" w:rsidRDefault="00EC7491" w:rsidP="00EC7491">
            <w:pPr>
              <w:jc w:val="center"/>
              <w:rPr>
                <w:color w:val="000000"/>
                <w:sz w:val="20"/>
                <w:szCs w:val="20"/>
              </w:rPr>
            </w:pPr>
            <w:r w:rsidRPr="0032109B">
              <w:rPr>
                <w:color w:val="000000"/>
                <w:sz w:val="20"/>
                <w:szCs w:val="20"/>
              </w:rPr>
              <w:t>Magistrate Ignimbrite</w:t>
            </w:r>
          </w:p>
        </w:tc>
        <w:tc>
          <w:tcPr>
            <w:tcW w:w="830" w:type="dxa"/>
            <w:tcBorders>
              <w:top w:val="nil"/>
              <w:left w:val="nil"/>
              <w:bottom w:val="nil"/>
              <w:right w:val="nil"/>
            </w:tcBorders>
            <w:shd w:val="clear" w:color="auto" w:fill="auto"/>
            <w:noWrap/>
            <w:vAlign w:val="bottom"/>
            <w:hideMark/>
          </w:tcPr>
          <w:p w14:paraId="375D7AFE" w14:textId="77777777" w:rsidR="00EC7491" w:rsidRPr="0032109B" w:rsidRDefault="00EC7491" w:rsidP="00EC7491">
            <w:pPr>
              <w:jc w:val="center"/>
              <w:rPr>
                <w:color w:val="000000"/>
                <w:sz w:val="20"/>
                <w:szCs w:val="20"/>
              </w:rPr>
            </w:pPr>
            <w:r w:rsidRPr="0032109B">
              <w:rPr>
                <w:color w:val="000000"/>
                <w:sz w:val="20"/>
                <w:szCs w:val="20"/>
              </w:rPr>
              <w:t>253.46</w:t>
            </w:r>
          </w:p>
        </w:tc>
        <w:tc>
          <w:tcPr>
            <w:tcW w:w="720" w:type="dxa"/>
            <w:tcBorders>
              <w:top w:val="nil"/>
              <w:left w:val="nil"/>
              <w:bottom w:val="nil"/>
              <w:right w:val="nil"/>
            </w:tcBorders>
            <w:shd w:val="clear" w:color="auto" w:fill="auto"/>
            <w:noWrap/>
            <w:vAlign w:val="bottom"/>
            <w:hideMark/>
          </w:tcPr>
          <w:p w14:paraId="18443080" w14:textId="77777777" w:rsidR="00EC7491" w:rsidRPr="0032109B" w:rsidRDefault="00EC7491" w:rsidP="00EC7491">
            <w:pPr>
              <w:jc w:val="center"/>
              <w:rPr>
                <w:color w:val="000000"/>
                <w:sz w:val="20"/>
                <w:szCs w:val="20"/>
              </w:rPr>
            </w:pPr>
            <w:r w:rsidRPr="0032109B">
              <w:rPr>
                <w:color w:val="000000"/>
                <w:sz w:val="20"/>
                <w:szCs w:val="20"/>
              </w:rPr>
              <w:t>0.09</w:t>
            </w:r>
          </w:p>
        </w:tc>
      </w:tr>
      <w:tr w:rsidR="00EC7491" w14:paraId="750B1925" w14:textId="77777777" w:rsidTr="0032109B">
        <w:trPr>
          <w:trHeight w:val="300"/>
        </w:trPr>
        <w:tc>
          <w:tcPr>
            <w:tcW w:w="997" w:type="dxa"/>
            <w:tcBorders>
              <w:top w:val="nil"/>
              <w:left w:val="nil"/>
              <w:bottom w:val="nil"/>
              <w:right w:val="nil"/>
            </w:tcBorders>
            <w:shd w:val="clear" w:color="auto" w:fill="auto"/>
            <w:noWrap/>
            <w:vAlign w:val="bottom"/>
            <w:hideMark/>
          </w:tcPr>
          <w:p w14:paraId="69CA0B97" w14:textId="77777777" w:rsidR="00EC7491" w:rsidRPr="0032109B" w:rsidRDefault="00EC7491" w:rsidP="00EC7491">
            <w:pPr>
              <w:rPr>
                <w:color w:val="000000"/>
                <w:sz w:val="20"/>
                <w:szCs w:val="20"/>
              </w:rPr>
            </w:pPr>
            <w:r w:rsidRPr="0032109B">
              <w:rPr>
                <w:color w:val="000000"/>
                <w:sz w:val="20"/>
                <w:szCs w:val="20"/>
              </w:rPr>
              <w:t>2105111</w:t>
            </w:r>
          </w:p>
        </w:tc>
        <w:tc>
          <w:tcPr>
            <w:tcW w:w="1276" w:type="dxa"/>
            <w:tcBorders>
              <w:top w:val="nil"/>
              <w:left w:val="nil"/>
              <w:bottom w:val="nil"/>
              <w:right w:val="nil"/>
            </w:tcBorders>
            <w:shd w:val="clear" w:color="auto" w:fill="auto"/>
            <w:noWrap/>
            <w:vAlign w:val="bottom"/>
            <w:hideMark/>
          </w:tcPr>
          <w:p w14:paraId="072B80BE" w14:textId="77777777" w:rsidR="00EC7491" w:rsidRPr="0032109B" w:rsidRDefault="00EC7491" w:rsidP="00EC7491">
            <w:pPr>
              <w:jc w:val="center"/>
              <w:rPr>
                <w:color w:val="000000"/>
                <w:sz w:val="20"/>
                <w:szCs w:val="20"/>
              </w:rPr>
            </w:pPr>
            <w:r w:rsidRPr="0032109B">
              <w:rPr>
                <w:color w:val="000000"/>
                <w:sz w:val="20"/>
                <w:szCs w:val="20"/>
              </w:rPr>
              <w:t>151.787400</w:t>
            </w:r>
          </w:p>
        </w:tc>
        <w:tc>
          <w:tcPr>
            <w:tcW w:w="1180" w:type="dxa"/>
            <w:tcBorders>
              <w:top w:val="nil"/>
              <w:left w:val="nil"/>
              <w:bottom w:val="nil"/>
              <w:right w:val="nil"/>
            </w:tcBorders>
            <w:shd w:val="clear" w:color="auto" w:fill="auto"/>
            <w:noWrap/>
            <w:vAlign w:val="bottom"/>
            <w:hideMark/>
          </w:tcPr>
          <w:p w14:paraId="2AF6A72E" w14:textId="77777777" w:rsidR="00EC7491" w:rsidRPr="0032109B" w:rsidRDefault="00EC7491" w:rsidP="00EC7491">
            <w:pPr>
              <w:jc w:val="center"/>
              <w:rPr>
                <w:color w:val="000000"/>
                <w:sz w:val="20"/>
                <w:szCs w:val="20"/>
              </w:rPr>
            </w:pPr>
            <w:r w:rsidRPr="0032109B">
              <w:rPr>
                <w:color w:val="000000"/>
                <w:sz w:val="20"/>
                <w:szCs w:val="20"/>
              </w:rPr>
              <w:t>-29.633820</w:t>
            </w:r>
          </w:p>
        </w:tc>
        <w:tc>
          <w:tcPr>
            <w:tcW w:w="2000" w:type="dxa"/>
            <w:tcBorders>
              <w:top w:val="nil"/>
              <w:left w:val="nil"/>
              <w:bottom w:val="nil"/>
              <w:right w:val="nil"/>
            </w:tcBorders>
            <w:shd w:val="clear" w:color="auto" w:fill="auto"/>
            <w:noWrap/>
            <w:vAlign w:val="bottom"/>
            <w:hideMark/>
          </w:tcPr>
          <w:p w14:paraId="5378655A" w14:textId="77777777" w:rsidR="00EC7491" w:rsidRPr="0032109B" w:rsidRDefault="00EC7491" w:rsidP="00EC7491">
            <w:pPr>
              <w:jc w:val="center"/>
              <w:rPr>
                <w:color w:val="000000"/>
                <w:sz w:val="20"/>
                <w:szCs w:val="20"/>
              </w:rPr>
            </w:pPr>
            <w:r w:rsidRPr="0032109B">
              <w:rPr>
                <w:color w:val="000000"/>
                <w:sz w:val="20"/>
                <w:szCs w:val="20"/>
              </w:rPr>
              <w:t>Eastern Belt</w:t>
            </w:r>
          </w:p>
        </w:tc>
        <w:tc>
          <w:tcPr>
            <w:tcW w:w="2980" w:type="dxa"/>
            <w:tcBorders>
              <w:top w:val="nil"/>
              <w:left w:val="nil"/>
              <w:bottom w:val="nil"/>
              <w:right w:val="nil"/>
            </w:tcBorders>
            <w:shd w:val="clear" w:color="auto" w:fill="auto"/>
            <w:noWrap/>
            <w:vAlign w:val="bottom"/>
            <w:hideMark/>
          </w:tcPr>
          <w:p w14:paraId="4CD51F23" w14:textId="77777777" w:rsidR="00EC7491" w:rsidRPr="0032109B" w:rsidRDefault="00EC7491" w:rsidP="00EC7491">
            <w:pPr>
              <w:jc w:val="center"/>
              <w:rPr>
                <w:color w:val="000000"/>
                <w:sz w:val="20"/>
                <w:szCs w:val="20"/>
              </w:rPr>
            </w:pPr>
            <w:r w:rsidRPr="0032109B">
              <w:rPr>
                <w:color w:val="000000"/>
                <w:sz w:val="20"/>
                <w:szCs w:val="20"/>
              </w:rPr>
              <w:t>Emmaville rhyolite</w:t>
            </w:r>
          </w:p>
        </w:tc>
        <w:tc>
          <w:tcPr>
            <w:tcW w:w="830" w:type="dxa"/>
            <w:tcBorders>
              <w:top w:val="nil"/>
              <w:left w:val="nil"/>
              <w:bottom w:val="nil"/>
              <w:right w:val="nil"/>
            </w:tcBorders>
            <w:shd w:val="clear" w:color="auto" w:fill="auto"/>
            <w:noWrap/>
            <w:vAlign w:val="bottom"/>
            <w:hideMark/>
          </w:tcPr>
          <w:p w14:paraId="27185BB5" w14:textId="77777777" w:rsidR="00EC7491" w:rsidRPr="0032109B" w:rsidRDefault="00EC7491" w:rsidP="00EC7491">
            <w:pPr>
              <w:jc w:val="center"/>
              <w:rPr>
                <w:color w:val="000000"/>
                <w:sz w:val="20"/>
                <w:szCs w:val="20"/>
              </w:rPr>
            </w:pPr>
            <w:r w:rsidRPr="0032109B">
              <w:rPr>
                <w:color w:val="000000"/>
                <w:sz w:val="20"/>
                <w:szCs w:val="20"/>
              </w:rPr>
              <w:t>253.59</w:t>
            </w:r>
          </w:p>
        </w:tc>
        <w:tc>
          <w:tcPr>
            <w:tcW w:w="720" w:type="dxa"/>
            <w:tcBorders>
              <w:top w:val="nil"/>
              <w:left w:val="nil"/>
              <w:bottom w:val="nil"/>
              <w:right w:val="nil"/>
            </w:tcBorders>
            <w:shd w:val="clear" w:color="auto" w:fill="auto"/>
            <w:noWrap/>
            <w:vAlign w:val="bottom"/>
            <w:hideMark/>
          </w:tcPr>
          <w:p w14:paraId="6C82E7FF" w14:textId="77777777" w:rsidR="00EC7491" w:rsidRPr="0032109B" w:rsidRDefault="00EC7491" w:rsidP="00EC7491">
            <w:pPr>
              <w:jc w:val="center"/>
              <w:rPr>
                <w:color w:val="000000"/>
                <w:sz w:val="20"/>
                <w:szCs w:val="20"/>
              </w:rPr>
            </w:pPr>
            <w:r w:rsidRPr="0032109B">
              <w:rPr>
                <w:color w:val="000000"/>
                <w:sz w:val="20"/>
                <w:szCs w:val="20"/>
              </w:rPr>
              <w:t>0.08</w:t>
            </w:r>
          </w:p>
        </w:tc>
      </w:tr>
      <w:tr w:rsidR="00EC7491" w14:paraId="04A56FE9" w14:textId="77777777" w:rsidTr="0032109B">
        <w:trPr>
          <w:trHeight w:val="300"/>
        </w:trPr>
        <w:tc>
          <w:tcPr>
            <w:tcW w:w="997" w:type="dxa"/>
            <w:tcBorders>
              <w:top w:val="nil"/>
              <w:left w:val="nil"/>
              <w:bottom w:val="nil"/>
              <w:right w:val="nil"/>
            </w:tcBorders>
            <w:shd w:val="clear" w:color="auto" w:fill="auto"/>
            <w:noWrap/>
            <w:vAlign w:val="bottom"/>
            <w:hideMark/>
          </w:tcPr>
          <w:p w14:paraId="45D095DB" w14:textId="77777777" w:rsidR="00EC7491" w:rsidRPr="0032109B" w:rsidRDefault="00EC7491" w:rsidP="00EC7491">
            <w:pPr>
              <w:rPr>
                <w:color w:val="000000"/>
                <w:sz w:val="20"/>
                <w:szCs w:val="20"/>
              </w:rPr>
            </w:pPr>
            <w:r w:rsidRPr="0032109B">
              <w:rPr>
                <w:color w:val="000000"/>
                <w:sz w:val="20"/>
                <w:szCs w:val="20"/>
              </w:rPr>
              <w:t>2120076</w:t>
            </w:r>
          </w:p>
        </w:tc>
        <w:tc>
          <w:tcPr>
            <w:tcW w:w="1276" w:type="dxa"/>
            <w:tcBorders>
              <w:top w:val="nil"/>
              <w:left w:val="nil"/>
              <w:bottom w:val="nil"/>
              <w:right w:val="nil"/>
            </w:tcBorders>
            <w:shd w:val="clear" w:color="auto" w:fill="auto"/>
            <w:noWrap/>
            <w:vAlign w:val="bottom"/>
            <w:hideMark/>
          </w:tcPr>
          <w:p w14:paraId="6E11BE4F" w14:textId="77777777" w:rsidR="00EC7491" w:rsidRPr="0032109B" w:rsidRDefault="00EC7491" w:rsidP="00EC7491">
            <w:pPr>
              <w:jc w:val="center"/>
              <w:rPr>
                <w:color w:val="000000"/>
                <w:sz w:val="20"/>
                <w:szCs w:val="20"/>
              </w:rPr>
            </w:pPr>
            <w:r w:rsidRPr="0032109B">
              <w:rPr>
                <w:color w:val="000000"/>
                <w:sz w:val="20"/>
                <w:szCs w:val="20"/>
              </w:rPr>
              <w:t>150.984157</w:t>
            </w:r>
          </w:p>
        </w:tc>
        <w:tc>
          <w:tcPr>
            <w:tcW w:w="1180" w:type="dxa"/>
            <w:tcBorders>
              <w:top w:val="nil"/>
              <w:left w:val="nil"/>
              <w:bottom w:val="nil"/>
              <w:right w:val="nil"/>
            </w:tcBorders>
            <w:shd w:val="clear" w:color="auto" w:fill="auto"/>
            <w:noWrap/>
            <w:vAlign w:val="bottom"/>
            <w:hideMark/>
          </w:tcPr>
          <w:p w14:paraId="39BECF0A" w14:textId="77777777" w:rsidR="00EC7491" w:rsidRPr="0032109B" w:rsidRDefault="00EC7491" w:rsidP="00EC7491">
            <w:pPr>
              <w:jc w:val="center"/>
              <w:rPr>
                <w:color w:val="000000"/>
                <w:sz w:val="20"/>
                <w:szCs w:val="20"/>
              </w:rPr>
            </w:pPr>
            <w:r w:rsidRPr="0032109B">
              <w:rPr>
                <w:color w:val="000000"/>
                <w:sz w:val="20"/>
                <w:szCs w:val="20"/>
              </w:rPr>
              <w:t>-30.903532</w:t>
            </w:r>
          </w:p>
        </w:tc>
        <w:tc>
          <w:tcPr>
            <w:tcW w:w="2000" w:type="dxa"/>
            <w:tcBorders>
              <w:top w:val="nil"/>
              <w:left w:val="nil"/>
              <w:bottom w:val="nil"/>
              <w:right w:val="nil"/>
            </w:tcBorders>
            <w:shd w:val="clear" w:color="auto" w:fill="auto"/>
            <w:noWrap/>
            <w:vAlign w:val="bottom"/>
            <w:hideMark/>
          </w:tcPr>
          <w:p w14:paraId="681993AA" w14:textId="77777777" w:rsidR="00EC7491" w:rsidRPr="0032109B" w:rsidRDefault="00EC7491" w:rsidP="00EC7491">
            <w:pPr>
              <w:jc w:val="center"/>
              <w:rPr>
                <w:color w:val="000000"/>
                <w:sz w:val="20"/>
                <w:szCs w:val="20"/>
              </w:rPr>
            </w:pPr>
            <w:r w:rsidRPr="0032109B">
              <w:rPr>
                <w:color w:val="000000"/>
                <w:sz w:val="20"/>
                <w:szCs w:val="20"/>
              </w:rPr>
              <w:t>Southern Belt</w:t>
            </w:r>
          </w:p>
        </w:tc>
        <w:tc>
          <w:tcPr>
            <w:tcW w:w="2980" w:type="dxa"/>
            <w:tcBorders>
              <w:top w:val="nil"/>
              <w:left w:val="nil"/>
              <w:bottom w:val="nil"/>
              <w:right w:val="nil"/>
            </w:tcBorders>
            <w:shd w:val="clear" w:color="auto" w:fill="auto"/>
            <w:noWrap/>
            <w:vAlign w:val="bottom"/>
            <w:hideMark/>
          </w:tcPr>
          <w:p w14:paraId="3842C337" w14:textId="77777777" w:rsidR="00EC7491" w:rsidRPr="0032109B" w:rsidRDefault="00EC7491" w:rsidP="00EC7491">
            <w:pPr>
              <w:jc w:val="center"/>
              <w:rPr>
                <w:color w:val="000000"/>
                <w:sz w:val="20"/>
                <w:szCs w:val="20"/>
              </w:rPr>
            </w:pPr>
            <w:r w:rsidRPr="0032109B">
              <w:rPr>
                <w:color w:val="000000"/>
                <w:sz w:val="20"/>
                <w:szCs w:val="20"/>
              </w:rPr>
              <w:t xml:space="preserve">Attunga </w:t>
            </w:r>
            <w:proofErr w:type="spellStart"/>
            <w:r w:rsidRPr="0032109B">
              <w:rPr>
                <w:color w:val="000000"/>
                <w:sz w:val="20"/>
                <w:szCs w:val="20"/>
              </w:rPr>
              <w:t>Volcanics</w:t>
            </w:r>
            <w:proofErr w:type="spellEnd"/>
          </w:p>
        </w:tc>
        <w:tc>
          <w:tcPr>
            <w:tcW w:w="830" w:type="dxa"/>
            <w:tcBorders>
              <w:top w:val="nil"/>
              <w:left w:val="nil"/>
              <w:bottom w:val="nil"/>
              <w:right w:val="nil"/>
            </w:tcBorders>
            <w:shd w:val="clear" w:color="auto" w:fill="auto"/>
            <w:noWrap/>
            <w:vAlign w:val="bottom"/>
            <w:hideMark/>
          </w:tcPr>
          <w:p w14:paraId="7447E261" w14:textId="77777777" w:rsidR="00EC7491" w:rsidRPr="0032109B" w:rsidRDefault="00EC7491" w:rsidP="00EC7491">
            <w:pPr>
              <w:jc w:val="center"/>
              <w:rPr>
                <w:color w:val="000000"/>
                <w:sz w:val="20"/>
                <w:szCs w:val="20"/>
              </w:rPr>
            </w:pPr>
            <w:r w:rsidRPr="0032109B">
              <w:rPr>
                <w:color w:val="000000"/>
                <w:sz w:val="20"/>
                <w:szCs w:val="20"/>
              </w:rPr>
              <w:t>254.58</w:t>
            </w:r>
          </w:p>
        </w:tc>
        <w:tc>
          <w:tcPr>
            <w:tcW w:w="720" w:type="dxa"/>
            <w:tcBorders>
              <w:top w:val="nil"/>
              <w:left w:val="nil"/>
              <w:bottom w:val="nil"/>
              <w:right w:val="nil"/>
            </w:tcBorders>
            <w:shd w:val="clear" w:color="auto" w:fill="auto"/>
            <w:noWrap/>
            <w:vAlign w:val="bottom"/>
            <w:hideMark/>
          </w:tcPr>
          <w:p w14:paraId="04C4956F" w14:textId="77777777" w:rsidR="00EC7491" w:rsidRPr="0032109B" w:rsidRDefault="00EC7491" w:rsidP="00EC7491">
            <w:pPr>
              <w:jc w:val="center"/>
              <w:rPr>
                <w:color w:val="000000"/>
                <w:sz w:val="20"/>
                <w:szCs w:val="20"/>
              </w:rPr>
            </w:pPr>
            <w:r w:rsidRPr="0032109B">
              <w:rPr>
                <w:color w:val="000000"/>
                <w:sz w:val="20"/>
                <w:szCs w:val="20"/>
              </w:rPr>
              <w:t>0.07</w:t>
            </w:r>
          </w:p>
        </w:tc>
      </w:tr>
      <w:tr w:rsidR="00EC7491" w14:paraId="553CBDD2" w14:textId="77777777" w:rsidTr="0032109B">
        <w:trPr>
          <w:trHeight w:val="300"/>
        </w:trPr>
        <w:tc>
          <w:tcPr>
            <w:tcW w:w="997" w:type="dxa"/>
            <w:tcBorders>
              <w:top w:val="nil"/>
              <w:left w:val="nil"/>
              <w:bottom w:val="nil"/>
              <w:right w:val="nil"/>
            </w:tcBorders>
            <w:shd w:val="clear" w:color="auto" w:fill="auto"/>
            <w:noWrap/>
            <w:vAlign w:val="bottom"/>
            <w:hideMark/>
          </w:tcPr>
          <w:p w14:paraId="59C2F40B" w14:textId="77777777" w:rsidR="00EC7491" w:rsidRPr="0032109B" w:rsidRDefault="00EC7491" w:rsidP="00EC7491">
            <w:pPr>
              <w:rPr>
                <w:color w:val="000000"/>
                <w:sz w:val="20"/>
                <w:szCs w:val="20"/>
              </w:rPr>
            </w:pPr>
            <w:r w:rsidRPr="0032109B">
              <w:rPr>
                <w:color w:val="000000"/>
                <w:sz w:val="20"/>
                <w:szCs w:val="20"/>
              </w:rPr>
              <w:t>1954031</w:t>
            </w:r>
          </w:p>
        </w:tc>
        <w:tc>
          <w:tcPr>
            <w:tcW w:w="1276" w:type="dxa"/>
            <w:tcBorders>
              <w:top w:val="nil"/>
              <w:left w:val="nil"/>
              <w:bottom w:val="nil"/>
              <w:right w:val="nil"/>
            </w:tcBorders>
            <w:shd w:val="clear" w:color="auto" w:fill="auto"/>
            <w:noWrap/>
            <w:vAlign w:val="bottom"/>
            <w:hideMark/>
          </w:tcPr>
          <w:p w14:paraId="27191EE4" w14:textId="77777777" w:rsidR="00EC7491" w:rsidRPr="0032109B" w:rsidRDefault="00EC7491" w:rsidP="00EC7491">
            <w:pPr>
              <w:jc w:val="center"/>
              <w:rPr>
                <w:color w:val="000000"/>
                <w:sz w:val="20"/>
                <w:szCs w:val="20"/>
              </w:rPr>
            </w:pPr>
            <w:r w:rsidRPr="0032109B">
              <w:rPr>
                <w:color w:val="000000"/>
                <w:sz w:val="20"/>
                <w:szCs w:val="20"/>
              </w:rPr>
              <w:t>151.38793</w:t>
            </w:r>
          </w:p>
        </w:tc>
        <w:tc>
          <w:tcPr>
            <w:tcW w:w="1180" w:type="dxa"/>
            <w:tcBorders>
              <w:top w:val="nil"/>
              <w:left w:val="nil"/>
              <w:bottom w:val="nil"/>
              <w:right w:val="nil"/>
            </w:tcBorders>
            <w:shd w:val="clear" w:color="auto" w:fill="auto"/>
            <w:noWrap/>
            <w:vAlign w:val="bottom"/>
            <w:hideMark/>
          </w:tcPr>
          <w:p w14:paraId="09C2E2F4" w14:textId="77777777" w:rsidR="00EC7491" w:rsidRPr="0032109B" w:rsidRDefault="00EC7491" w:rsidP="00EC7491">
            <w:pPr>
              <w:jc w:val="center"/>
              <w:rPr>
                <w:color w:val="000000"/>
                <w:sz w:val="20"/>
                <w:szCs w:val="20"/>
              </w:rPr>
            </w:pPr>
            <w:r w:rsidRPr="0032109B">
              <w:rPr>
                <w:color w:val="000000"/>
                <w:sz w:val="20"/>
                <w:szCs w:val="20"/>
              </w:rPr>
              <w:t>-30.27895</w:t>
            </w:r>
          </w:p>
        </w:tc>
        <w:tc>
          <w:tcPr>
            <w:tcW w:w="2000" w:type="dxa"/>
            <w:tcBorders>
              <w:top w:val="nil"/>
              <w:left w:val="nil"/>
              <w:bottom w:val="nil"/>
              <w:right w:val="nil"/>
            </w:tcBorders>
            <w:shd w:val="clear" w:color="auto" w:fill="auto"/>
            <w:noWrap/>
            <w:vAlign w:val="bottom"/>
            <w:hideMark/>
          </w:tcPr>
          <w:p w14:paraId="1489611E" w14:textId="77777777" w:rsidR="00EC7491" w:rsidRPr="0032109B" w:rsidRDefault="00EC7491" w:rsidP="00EC7491">
            <w:pPr>
              <w:jc w:val="center"/>
              <w:rPr>
                <w:color w:val="000000"/>
                <w:sz w:val="20"/>
                <w:szCs w:val="20"/>
              </w:rPr>
            </w:pPr>
          </w:p>
        </w:tc>
        <w:tc>
          <w:tcPr>
            <w:tcW w:w="2980" w:type="dxa"/>
            <w:tcBorders>
              <w:top w:val="nil"/>
              <w:left w:val="nil"/>
              <w:bottom w:val="nil"/>
              <w:right w:val="nil"/>
            </w:tcBorders>
            <w:shd w:val="clear" w:color="auto" w:fill="auto"/>
            <w:noWrap/>
            <w:vAlign w:val="bottom"/>
            <w:hideMark/>
          </w:tcPr>
          <w:p w14:paraId="755F7165" w14:textId="77777777" w:rsidR="00EC7491" w:rsidRPr="0032109B" w:rsidRDefault="00EC7491" w:rsidP="00EC7491">
            <w:pPr>
              <w:jc w:val="center"/>
              <w:rPr>
                <w:color w:val="000000"/>
                <w:sz w:val="20"/>
                <w:szCs w:val="20"/>
              </w:rPr>
            </w:pPr>
            <w:r w:rsidRPr="0032109B">
              <w:rPr>
                <w:color w:val="000000"/>
                <w:sz w:val="20"/>
                <w:szCs w:val="20"/>
              </w:rPr>
              <w:t>Regional Felsic Dyke Swarm</w:t>
            </w:r>
          </w:p>
        </w:tc>
        <w:tc>
          <w:tcPr>
            <w:tcW w:w="830" w:type="dxa"/>
            <w:tcBorders>
              <w:top w:val="nil"/>
              <w:left w:val="nil"/>
              <w:bottom w:val="nil"/>
              <w:right w:val="nil"/>
            </w:tcBorders>
            <w:shd w:val="clear" w:color="auto" w:fill="auto"/>
            <w:noWrap/>
            <w:vAlign w:val="bottom"/>
            <w:hideMark/>
          </w:tcPr>
          <w:p w14:paraId="698E240E" w14:textId="7ACA6160" w:rsidR="00EC7491" w:rsidRPr="0032109B" w:rsidRDefault="00EC7491" w:rsidP="00EC7491">
            <w:pPr>
              <w:jc w:val="center"/>
              <w:rPr>
                <w:color w:val="000000"/>
                <w:sz w:val="20"/>
                <w:szCs w:val="20"/>
              </w:rPr>
            </w:pPr>
            <w:r w:rsidRPr="0032109B">
              <w:rPr>
                <w:color w:val="000000"/>
                <w:sz w:val="20"/>
                <w:szCs w:val="20"/>
              </w:rPr>
              <w:t>254.</w:t>
            </w:r>
            <w:r>
              <w:rPr>
                <w:color w:val="000000"/>
                <w:sz w:val="20"/>
                <w:szCs w:val="20"/>
              </w:rPr>
              <w:t>62</w:t>
            </w:r>
          </w:p>
        </w:tc>
        <w:tc>
          <w:tcPr>
            <w:tcW w:w="720" w:type="dxa"/>
            <w:tcBorders>
              <w:top w:val="nil"/>
              <w:left w:val="nil"/>
              <w:bottom w:val="nil"/>
              <w:right w:val="nil"/>
            </w:tcBorders>
            <w:shd w:val="clear" w:color="auto" w:fill="auto"/>
            <w:noWrap/>
            <w:vAlign w:val="bottom"/>
            <w:hideMark/>
          </w:tcPr>
          <w:p w14:paraId="0D0A0A60" w14:textId="77777777" w:rsidR="00EC7491" w:rsidRPr="0032109B" w:rsidRDefault="00EC7491" w:rsidP="00EC7491">
            <w:pPr>
              <w:jc w:val="center"/>
              <w:rPr>
                <w:color w:val="000000"/>
                <w:sz w:val="20"/>
                <w:szCs w:val="20"/>
              </w:rPr>
            </w:pPr>
            <w:r w:rsidRPr="0032109B">
              <w:rPr>
                <w:color w:val="000000"/>
                <w:sz w:val="20"/>
                <w:szCs w:val="20"/>
              </w:rPr>
              <w:t>0.13</w:t>
            </w:r>
          </w:p>
        </w:tc>
      </w:tr>
      <w:tr w:rsidR="00EC7491" w14:paraId="348E2C58" w14:textId="77777777" w:rsidTr="0032109B">
        <w:trPr>
          <w:trHeight w:val="300"/>
        </w:trPr>
        <w:tc>
          <w:tcPr>
            <w:tcW w:w="997" w:type="dxa"/>
            <w:tcBorders>
              <w:top w:val="nil"/>
              <w:left w:val="nil"/>
              <w:bottom w:val="nil"/>
              <w:right w:val="nil"/>
            </w:tcBorders>
            <w:shd w:val="clear" w:color="auto" w:fill="auto"/>
            <w:noWrap/>
            <w:vAlign w:val="bottom"/>
            <w:hideMark/>
          </w:tcPr>
          <w:p w14:paraId="164AFCEE" w14:textId="77777777" w:rsidR="00EC7491" w:rsidRPr="0032109B" w:rsidRDefault="00EC7491" w:rsidP="00EC7491">
            <w:pPr>
              <w:rPr>
                <w:color w:val="000000"/>
                <w:sz w:val="20"/>
                <w:szCs w:val="20"/>
              </w:rPr>
            </w:pPr>
            <w:r w:rsidRPr="0032109B">
              <w:rPr>
                <w:color w:val="000000"/>
                <w:sz w:val="20"/>
                <w:szCs w:val="20"/>
              </w:rPr>
              <w:t>2120074</w:t>
            </w:r>
          </w:p>
        </w:tc>
        <w:tc>
          <w:tcPr>
            <w:tcW w:w="1276" w:type="dxa"/>
            <w:tcBorders>
              <w:top w:val="nil"/>
              <w:left w:val="nil"/>
              <w:bottom w:val="nil"/>
              <w:right w:val="nil"/>
            </w:tcBorders>
            <w:shd w:val="clear" w:color="auto" w:fill="auto"/>
            <w:noWrap/>
            <w:vAlign w:val="bottom"/>
            <w:hideMark/>
          </w:tcPr>
          <w:p w14:paraId="55D5EF8E" w14:textId="77777777" w:rsidR="00EC7491" w:rsidRPr="0032109B" w:rsidRDefault="00EC7491" w:rsidP="00EC7491">
            <w:pPr>
              <w:jc w:val="center"/>
              <w:rPr>
                <w:color w:val="000000"/>
                <w:sz w:val="20"/>
                <w:szCs w:val="20"/>
              </w:rPr>
            </w:pPr>
            <w:r w:rsidRPr="0032109B">
              <w:rPr>
                <w:color w:val="000000"/>
                <w:sz w:val="20"/>
                <w:szCs w:val="20"/>
              </w:rPr>
              <w:t>151.426452</w:t>
            </w:r>
          </w:p>
        </w:tc>
        <w:tc>
          <w:tcPr>
            <w:tcW w:w="1180" w:type="dxa"/>
            <w:tcBorders>
              <w:top w:val="nil"/>
              <w:left w:val="nil"/>
              <w:bottom w:val="nil"/>
              <w:right w:val="nil"/>
            </w:tcBorders>
            <w:shd w:val="clear" w:color="auto" w:fill="auto"/>
            <w:noWrap/>
            <w:vAlign w:val="bottom"/>
            <w:hideMark/>
          </w:tcPr>
          <w:p w14:paraId="0B54042A" w14:textId="77777777" w:rsidR="00EC7491" w:rsidRPr="0032109B" w:rsidRDefault="00EC7491" w:rsidP="00EC7491">
            <w:pPr>
              <w:jc w:val="center"/>
              <w:rPr>
                <w:color w:val="000000"/>
                <w:sz w:val="20"/>
                <w:szCs w:val="20"/>
              </w:rPr>
            </w:pPr>
            <w:r w:rsidRPr="0032109B">
              <w:rPr>
                <w:color w:val="000000"/>
                <w:sz w:val="20"/>
                <w:szCs w:val="20"/>
              </w:rPr>
              <w:t>-30.638020</w:t>
            </w:r>
          </w:p>
        </w:tc>
        <w:tc>
          <w:tcPr>
            <w:tcW w:w="2000" w:type="dxa"/>
            <w:tcBorders>
              <w:top w:val="nil"/>
              <w:left w:val="nil"/>
              <w:bottom w:val="nil"/>
              <w:right w:val="nil"/>
            </w:tcBorders>
            <w:shd w:val="clear" w:color="auto" w:fill="auto"/>
            <w:noWrap/>
            <w:vAlign w:val="bottom"/>
            <w:hideMark/>
          </w:tcPr>
          <w:p w14:paraId="3130701D" w14:textId="77777777" w:rsidR="00EC7491" w:rsidRPr="0032109B" w:rsidRDefault="00EC7491" w:rsidP="00EC7491">
            <w:pPr>
              <w:jc w:val="center"/>
              <w:rPr>
                <w:color w:val="000000"/>
                <w:sz w:val="20"/>
                <w:szCs w:val="20"/>
              </w:rPr>
            </w:pPr>
            <w:r w:rsidRPr="0032109B">
              <w:rPr>
                <w:color w:val="000000"/>
                <w:sz w:val="20"/>
                <w:szCs w:val="20"/>
              </w:rPr>
              <w:t>Southern Belt</w:t>
            </w:r>
          </w:p>
        </w:tc>
        <w:tc>
          <w:tcPr>
            <w:tcW w:w="2980" w:type="dxa"/>
            <w:tcBorders>
              <w:top w:val="nil"/>
              <w:left w:val="nil"/>
              <w:bottom w:val="nil"/>
              <w:right w:val="nil"/>
            </w:tcBorders>
            <w:shd w:val="clear" w:color="auto" w:fill="auto"/>
            <w:noWrap/>
            <w:vAlign w:val="bottom"/>
            <w:hideMark/>
          </w:tcPr>
          <w:p w14:paraId="2A49CC7F" w14:textId="77777777" w:rsidR="00EC7491" w:rsidRPr="0032109B" w:rsidRDefault="00EC7491" w:rsidP="00EC7491">
            <w:pPr>
              <w:jc w:val="center"/>
              <w:rPr>
                <w:color w:val="000000"/>
                <w:sz w:val="20"/>
                <w:szCs w:val="20"/>
              </w:rPr>
            </w:pPr>
            <w:r w:rsidRPr="0032109B">
              <w:rPr>
                <w:color w:val="000000"/>
                <w:sz w:val="20"/>
                <w:szCs w:val="20"/>
              </w:rPr>
              <w:t xml:space="preserve">Uralla </w:t>
            </w:r>
            <w:proofErr w:type="spellStart"/>
            <w:r w:rsidRPr="0032109B">
              <w:rPr>
                <w:color w:val="000000"/>
                <w:sz w:val="20"/>
                <w:szCs w:val="20"/>
              </w:rPr>
              <w:t>Volcanics</w:t>
            </w:r>
            <w:proofErr w:type="spellEnd"/>
          </w:p>
        </w:tc>
        <w:tc>
          <w:tcPr>
            <w:tcW w:w="830" w:type="dxa"/>
            <w:tcBorders>
              <w:top w:val="nil"/>
              <w:left w:val="nil"/>
              <w:bottom w:val="nil"/>
              <w:right w:val="nil"/>
            </w:tcBorders>
            <w:shd w:val="clear" w:color="auto" w:fill="auto"/>
            <w:noWrap/>
            <w:vAlign w:val="bottom"/>
            <w:hideMark/>
          </w:tcPr>
          <w:p w14:paraId="6C36F44F" w14:textId="20651E96" w:rsidR="00EC7491" w:rsidRPr="0032109B" w:rsidRDefault="00EC7491" w:rsidP="00EC7491">
            <w:pPr>
              <w:jc w:val="center"/>
              <w:rPr>
                <w:color w:val="000000"/>
                <w:sz w:val="20"/>
                <w:szCs w:val="20"/>
              </w:rPr>
            </w:pPr>
            <w:r w:rsidRPr="0032109B">
              <w:rPr>
                <w:color w:val="000000"/>
                <w:sz w:val="20"/>
                <w:szCs w:val="20"/>
              </w:rPr>
              <w:t>254.7</w:t>
            </w:r>
            <w:r>
              <w:rPr>
                <w:color w:val="000000"/>
                <w:sz w:val="20"/>
                <w:szCs w:val="20"/>
              </w:rPr>
              <w:t>0</w:t>
            </w:r>
          </w:p>
        </w:tc>
        <w:tc>
          <w:tcPr>
            <w:tcW w:w="720" w:type="dxa"/>
            <w:tcBorders>
              <w:top w:val="nil"/>
              <w:left w:val="nil"/>
              <w:bottom w:val="nil"/>
              <w:right w:val="nil"/>
            </w:tcBorders>
            <w:shd w:val="clear" w:color="auto" w:fill="auto"/>
            <w:noWrap/>
            <w:vAlign w:val="bottom"/>
            <w:hideMark/>
          </w:tcPr>
          <w:p w14:paraId="1347622E" w14:textId="77777777" w:rsidR="00EC7491" w:rsidRPr="0032109B" w:rsidRDefault="00EC7491" w:rsidP="00EC7491">
            <w:pPr>
              <w:jc w:val="center"/>
              <w:rPr>
                <w:color w:val="000000"/>
                <w:sz w:val="20"/>
                <w:szCs w:val="20"/>
              </w:rPr>
            </w:pPr>
            <w:r w:rsidRPr="0032109B">
              <w:rPr>
                <w:color w:val="000000"/>
                <w:sz w:val="20"/>
                <w:szCs w:val="20"/>
              </w:rPr>
              <w:t>0.11</w:t>
            </w:r>
          </w:p>
        </w:tc>
      </w:tr>
      <w:tr w:rsidR="00EC7491" w14:paraId="4C32D061" w14:textId="77777777" w:rsidTr="0032109B">
        <w:trPr>
          <w:trHeight w:val="300"/>
        </w:trPr>
        <w:tc>
          <w:tcPr>
            <w:tcW w:w="997" w:type="dxa"/>
            <w:tcBorders>
              <w:top w:val="nil"/>
              <w:left w:val="nil"/>
              <w:bottom w:val="nil"/>
              <w:right w:val="nil"/>
            </w:tcBorders>
            <w:shd w:val="clear" w:color="auto" w:fill="auto"/>
            <w:noWrap/>
            <w:vAlign w:val="bottom"/>
            <w:hideMark/>
          </w:tcPr>
          <w:p w14:paraId="4D47F732" w14:textId="77777777" w:rsidR="00EC7491" w:rsidRPr="0032109B" w:rsidRDefault="00EC7491" w:rsidP="00EC7491">
            <w:pPr>
              <w:rPr>
                <w:color w:val="000000"/>
                <w:sz w:val="20"/>
                <w:szCs w:val="20"/>
              </w:rPr>
            </w:pPr>
            <w:r w:rsidRPr="0032109B">
              <w:rPr>
                <w:color w:val="000000"/>
                <w:sz w:val="20"/>
                <w:szCs w:val="20"/>
              </w:rPr>
              <w:t>1954029</w:t>
            </w:r>
          </w:p>
        </w:tc>
        <w:tc>
          <w:tcPr>
            <w:tcW w:w="1276" w:type="dxa"/>
            <w:tcBorders>
              <w:top w:val="nil"/>
              <w:left w:val="nil"/>
              <w:bottom w:val="nil"/>
              <w:right w:val="nil"/>
            </w:tcBorders>
            <w:shd w:val="clear" w:color="auto" w:fill="auto"/>
            <w:noWrap/>
            <w:vAlign w:val="bottom"/>
            <w:hideMark/>
          </w:tcPr>
          <w:p w14:paraId="5CE32117" w14:textId="77777777" w:rsidR="00EC7491" w:rsidRPr="0032109B" w:rsidRDefault="00EC7491" w:rsidP="00EC7491">
            <w:pPr>
              <w:jc w:val="center"/>
              <w:rPr>
                <w:color w:val="000000"/>
                <w:sz w:val="20"/>
                <w:szCs w:val="20"/>
              </w:rPr>
            </w:pPr>
            <w:r w:rsidRPr="0032109B">
              <w:rPr>
                <w:color w:val="000000"/>
                <w:sz w:val="20"/>
                <w:szCs w:val="20"/>
              </w:rPr>
              <w:t>151.43438</w:t>
            </w:r>
          </w:p>
        </w:tc>
        <w:tc>
          <w:tcPr>
            <w:tcW w:w="1180" w:type="dxa"/>
            <w:tcBorders>
              <w:top w:val="nil"/>
              <w:left w:val="nil"/>
              <w:bottom w:val="nil"/>
              <w:right w:val="nil"/>
            </w:tcBorders>
            <w:shd w:val="clear" w:color="auto" w:fill="auto"/>
            <w:noWrap/>
            <w:vAlign w:val="bottom"/>
            <w:hideMark/>
          </w:tcPr>
          <w:p w14:paraId="107946BA" w14:textId="77777777" w:rsidR="00EC7491" w:rsidRPr="0032109B" w:rsidRDefault="00EC7491" w:rsidP="00EC7491">
            <w:pPr>
              <w:jc w:val="center"/>
              <w:rPr>
                <w:color w:val="000000"/>
                <w:sz w:val="20"/>
                <w:szCs w:val="20"/>
              </w:rPr>
            </w:pPr>
            <w:r w:rsidRPr="0032109B">
              <w:rPr>
                <w:color w:val="000000"/>
                <w:sz w:val="20"/>
                <w:szCs w:val="20"/>
              </w:rPr>
              <w:t>-30.26323</w:t>
            </w:r>
          </w:p>
        </w:tc>
        <w:tc>
          <w:tcPr>
            <w:tcW w:w="2000" w:type="dxa"/>
            <w:tcBorders>
              <w:top w:val="nil"/>
              <w:left w:val="nil"/>
              <w:bottom w:val="nil"/>
              <w:right w:val="nil"/>
            </w:tcBorders>
            <w:shd w:val="clear" w:color="auto" w:fill="auto"/>
            <w:noWrap/>
            <w:vAlign w:val="bottom"/>
            <w:hideMark/>
          </w:tcPr>
          <w:p w14:paraId="179AF91B" w14:textId="77777777" w:rsidR="00EC7491" w:rsidRPr="0032109B" w:rsidRDefault="00EC7491" w:rsidP="00EC7491">
            <w:pPr>
              <w:jc w:val="center"/>
              <w:rPr>
                <w:color w:val="000000"/>
                <w:sz w:val="20"/>
                <w:szCs w:val="20"/>
              </w:rPr>
            </w:pPr>
          </w:p>
        </w:tc>
        <w:tc>
          <w:tcPr>
            <w:tcW w:w="2980" w:type="dxa"/>
            <w:tcBorders>
              <w:top w:val="nil"/>
              <w:left w:val="nil"/>
              <w:bottom w:val="nil"/>
              <w:right w:val="nil"/>
            </w:tcBorders>
            <w:shd w:val="clear" w:color="auto" w:fill="auto"/>
            <w:noWrap/>
            <w:vAlign w:val="bottom"/>
            <w:hideMark/>
          </w:tcPr>
          <w:p w14:paraId="2F5348BE" w14:textId="77777777" w:rsidR="00EC7491" w:rsidRPr="0032109B" w:rsidRDefault="00EC7491" w:rsidP="00EC7491">
            <w:pPr>
              <w:jc w:val="center"/>
              <w:rPr>
                <w:color w:val="000000"/>
                <w:sz w:val="20"/>
                <w:szCs w:val="20"/>
              </w:rPr>
            </w:pPr>
            <w:r w:rsidRPr="0032109B">
              <w:rPr>
                <w:color w:val="000000"/>
                <w:sz w:val="20"/>
                <w:szCs w:val="20"/>
              </w:rPr>
              <w:t>Parlour Mountain monzogranite</w:t>
            </w:r>
          </w:p>
        </w:tc>
        <w:tc>
          <w:tcPr>
            <w:tcW w:w="830" w:type="dxa"/>
            <w:tcBorders>
              <w:top w:val="nil"/>
              <w:left w:val="nil"/>
              <w:bottom w:val="nil"/>
              <w:right w:val="nil"/>
            </w:tcBorders>
            <w:shd w:val="clear" w:color="auto" w:fill="auto"/>
            <w:noWrap/>
            <w:vAlign w:val="bottom"/>
            <w:hideMark/>
          </w:tcPr>
          <w:p w14:paraId="291A62E3" w14:textId="193EFC63" w:rsidR="00EC7491" w:rsidRPr="0032109B" w:rsidRDefault="00EC7491" w:rsidP="00EC7491">
            <w:pPr>
              <w:jc w:val="center"/>
              <w:rPr>
                <w:color w:val="000000"/>
                <w:sz w:val="20"/>
                <w:szCs w:val="20"/>
              </w:rPr>
            </w:pPr>
            <w:r w:rsidRPr="0032109B">
              <w:rPr>
                <w:color w:val="000000"/>
                <w:sz w:val="20"/>
                <w:szCs w:val="20"/>
              </w:rPr>
              <w:t>255.</w:t>
            </w:r>
            <w:r>
              <w:rPr>
                <w:color w:val="000000"/>
                <w:sz w:val="20"/>
                <w:szCs w:val="20"/>
              </w:rPr>
              <w:t>08</w:t>
            </w:r>
          </w:p>
        </w:tc>
        <w:tc>
          <w:tcPr>
            <w:tcW w:w="720" w:type="dxa"/>
            <w:tcBorders>
              <w:top w:val="nil"/>
              <w:left w:val="nil"/>
              <w:bottom w:val="nil"/>
              <w:right w:val="nil"/>
            </w:tcBorders>
            <w:shd w:val="clear" w:color="auto" w:fill="auto"/>
            <w:noWrap/>
            <w:vAlign w:val="bottom"/>
            <w:hideMark/>
          </w:tcPr>
          <w:p w14:paraId="74506B57" w14:textId="51FB37B2" w:rsidR="00EC7491" w:rsidRPr="0032109B" w:rsidRDefault="00EC7491" w:rsidP="00EC7491">
            <w:pPr>
              <w:jc w:val="center"/>
              <w:rPr>
                <w:color w:val="000000"/>
                <w:sz w:val="20"/>
                <w:szCs w:val="20"/>
              </w:rPr>
            </w:pPr>
            <w:r w:rsidRPr="0032109B">
              <w:rPr>
                <w:color w:val="000000"/>
                <w:sz w:val="20"/>
                <w:szCs w:val="20"/>
              </w:rPr>
              <w:t>0.</w:t>
            </w:r>
            <w:r w:rsidR="00D47E8E">
              <w:rPr>
                <w:color w:val="000000"/>
                <w:sz w:val="20"/>
                <w:szCs w:val="20"/>
              </w:rPr>
              <w:t>08</w:t>
            </w:r>
          </w:p>
        </w:tc>
      </w:tr>
      <w:tr w:rsidR="00EC7491" w14:paraId="1437E184" w14:textId="77777777" w:rsidTr="0032109B">
        <w:trPr>
          <w:trHeight w:val="300"/>
        </w:trPr>
        <w:tc>
          <w:tcPr>
            <w:tcW w:w="997" w:type="dxa"/>
            <w:tcBorders>
              <w:top w:val="nil"/>
              <w:left w:val="nil"/>
              <w:bottom w:val="nil"/>
              <w:right w:val="nil"/>
            </w:tcBorders>
            <w:shd w:val="clear" w:color="auto" w:fill="auto"/>
            <w:noWrap/>
            <w:vAlign w:val="bottom"/>
            <w:hideMark/>
          </w:tcPr>
          <w:p w14:paraId="5471091B" w14:textId="77777777" w:rsidR="00EC7491" w:rsidRPr="0032109B" w:rsidRDefault="00EC7491" w:rsidP="00EC7491">
            <w:pPr>
              <w:rPr>
                <w:color w:val="000000"/>
                <w:sz w:val="20"/>
                <w:szCs w:val="20"/>
              </w:rPr>
            </w:pPr>
            <w:r w:rsidRPr="0032109B">
              <w:rPr>
                <w:color w:val="000000"/>
                <w:sz w:val="20"/>
                <w:szCs w:val="20"/>
              </w:rPr>
              <w:t>2120077</w:t>
            </w:r>
          </w:p>
        </w:tc>
        <w:tc>
          <w:tcPr>
            <w:tcW w:w="1276" w:type="dxa"/>
            <w:tcBorders>
              <w:top w:val="nil"/>
              <w:left w:val="nil"/>
              <w:bottom w:val="nil"/>
              <w:right w:val="nil"/>
            </w:tcBorders>
            <w:shd w:val="clear" w:color="auto" w:fill="auto"/>
            <w:noWrap/>
            <w:vAlign w:val="bottom"/>
            <w:hideMark/>
          </w:tcPr>
          <w:p w14:paraId="0F7731EB" w14:textId="77777777" w:rsidR="00EC7491" w:rsidRPr="0032109B" w:rsidRDefault="00EC7491" w:rsidP="00EC7491">
            <w:pPr>
              <w:jc w:val="center"/>
              <w:rPr>
                <w:color w:val="000000"/>
                <w:sz w:val="20"/>
                <w:szCs w:val="20"/>
              </w:rPr>
            </w:pPr>
            <w:r w:rsidRPr="0032109B">
              <w:rPr>
                <w:color w:val="000000"/>
                <w:sz w:val="20"/>
                <w:szCs w:val="20"/>
              </w:rPr>
              <w:t>151.292309</w:t>
            </w:r>
          </w:p>
        </w:tc>
        <w:tc>
          <w:tcPr>
            <w:tcW w:w="1180" w:type="dxa"/>
            <w:tcBorders>
              <w:top w:val="nil"/>
              <w:left w:val="nil"/>
              <w:bottom w:val="nil"/>
              <w:right w:val="nil"/>
            </w:tcBorders>
            <w:shd w:val="clear" w:color="auto" w:fill="auto"/>
            <w:noWrap/>
            <w:vAlign w:val="bottom"/>
            <w:hideMark/>
          </w:tcPr>
          <w:p w14:paraId="6AC2C76E" w14:textId="77777777" w:rsidR="00EC7491" w:rsidRPr="0032109B" w:rsidRDefault="00EC7491" w:rsidP="00EC7491">
            <w:pPr>
              <w:jc w:val="center"/>
              <w:rPr>
                <w:color w:val="000000"/>
                <w:sz w:val="20"/>
                <w:szCs w:val="20"/>
              </w:rPr>
            </w:pPr>
            <w:r w:rsidRPr="0032109B">
              <w:rPr>
                <w:color w:val="000000"/>
                <w:sz w:val="20"/>
                <w:szCs w:val="20"/>
              </w:rPr>
              <w:t>-30.511789</w:t>
            </w:r>
          </w:p>
        </w:tc>
        <w:tc>
          <w:tcPr>
            <w:tcW w:w="2000" w:type="dxa"/>
            <w:tcBorders>
              <w:top w:val="nil"/>
              <w:left w:val="nil"/>
              <w:bottom w:val="nil"/>
              <w:right w:val="nil"/>
            </w:tcBorders>
            <w:shd w:val="clear" w:color="auto" w:fill="auto"/>
            <w:noWrap/>
            <w:vAlign w:val="bottom"/>
            <w:hideMark/>
          </w:tcPr>
          <w:p w14:paraId="4D69B69B" w14:textId="77777777" w:rsidR="00EC7491" w:rsidRPr="0032109B" w:rsidRDefault="00EC7491" w:rsidP="00EC7491">
            <w:pPr>
              <w:jc w:val="center"/>
              <w:rPr>
                <w:color w:val="000000"/>
                <w:sz w:val="20"/>
                <w:szCs w:val="20"/>
              </w:rPr>
            </w:pPr>
            <w:r w:rsidRPr="0032109B">
              <w:rPr>
                <w:color w:val="000000"/>
                <w:sz w:val="20"/>
                <w:szCs w:val="20"/>
              </w:rPr>
              <w:t>Western Belt</w:t>
            </w:r>
          </w:p>
        </w:tc>
        <w:tc>
          <w:tcPr>
            <w:tcW w:w="2980" w:type="dxa"/>
            <w:tcBorders>
              <w:top w:val="nil"/>
              <w:left w:val="nil"/>
              <w:bottom w:val="nil"/>
              <w:right w:val="nil"/>
            </w:tcBorders>
            <w:shd w:val="clear" w:color="auto" w:fill="auto"/>
            <w:noWrap/>
            <w:vAlign w:val="bottom"/>
            <w:hideMark/>
          </w:tcPr>
          <w:p w14:paraId="6B8F2482" w14:textId="77777777" w:rsidR="00EC7491" w:rsidRPr="0032109B" w:rsidRDefault="00EC7491" w:rsidP="00EC7491">
            <w:pPr>
              <w:jc w:val="center"/>
              <w:rPr>
                <w:color w:val="000000"/>
                <w:sz w:val="20"/>
                <w:szCs w:val="20"/>
              </w:rPr>
            </w:pPr>
            <w:r w:rsidRPr="0032109B">
              <w:rPr>
                <w:color w:val="000000"/>
                <w:sz w:val="20"/>
                <w:szCs w:val="20"/>
              </w:rPr>
              <w:t xml:space="preserve">Kurrajong Park </w:t>
            </w:r>
            <w:proofErr w:type="spellStart"/>
            <w:r w:rsidRPr="0032109B">
              <w:rPr>
                <w:color w:val="000000"/>
                <w:sz w:val="20"/>
                <w:szCs w:val="20"/>
              </w:rPr>
              <w:t>Volcanics</w:t>
            </w:r>
            <w:proofErr w:type="spellEnd"/>
          </w:p>
        </w:tc>
        <w:tc>
          <w:tcPr>
            <w:tcW w:w="830" w:type="dxa"/>
            <w:tcBorders>
              <w:top w:val="nil"/>
              <w:left w:val="nil"/>
              <w:bottom w:val="nil"/>
              <w:right w:val="nil"/>
            </w:tcBorders>
            <w:shd w:val="clear" w:color="auto" w:fill="auto"/>
            <w:noWrap/>
            <w:vAlign w:val="bottom"/>
            <w:hideMark/>
          </w:tcPr>
          <w:p w14:paraId="6D788503" w14:textId="77777777" w:rsidR="00EC7491" w:rsidRPr="0032109B" w:rsidRDefault="00EC7491" w:rsidP="00EC7491">
            <w:pPr>
              <w:jc w:val="center"/>
              <w:rPr>
                <w:color w:val="000000"/>
                <w:sz w:val="20"/>
                <w:szCs w:val="20"/>
              </w:rPr>
            </w:pPr>
            <w:r w:rsidRPr="0032109B">
              <w:rPr>
                <w:color w:val="000000"/>
                <w:sz w:val="20"/>
                <w:szCs w:val="20"/>
              </w:rPr>
              <w:t>255.48</w:t>
            </w:r>
          </w:p>
        </w:tc>
        <w:tc>
          <w:tcPr>
            <w:tcW w:w="720" w:type="dxa"/>
            <w:tcBorders>
              <w:top w:val="nil"/>
              <w:left w:val="nil"/>
              <w:bottom w:val="nil"/>
              <w:right w:val="nil"/>
            </w:tcBorders>
            <w:shd w:val="clear" w:color="auto" w:fill="auto"/>
            <w:noWrap/>
            <w:vAlign w:val="bottom"/>
            <w:hideMark/>
          </w:tcPr>
          <w:p w14:paraId="4393B29C" w14:textId="77777777" w:rsidR="00EC7491" w:rsidRPr="0032109B" w:rsidRDefault="00EC7491" w:rsidP="00EC7491">
            <w:pPr>
              <w:jc w:val="center"/>
              <w:rPr>
                <w:color w:val="000000"/>
                <w:sz w:val="20"/>
                <w:szCs w:val="20"/>
              </w:rPr>
            </w:pPr>
            <w:r w:rsidRPr="0032109B">
              <w:rPr>
                <w:color w:val="000000"/>
                <w:sz w:val="20"/>
                <w:szCs w:val="20"/>
              </w:rPr>
              <w:t>0.04</w:t>
            </w:r>
          </w:p>
        </w:tc>
      </w:tr>
      <w:tr w:rsidR="00EC7491" w14:paraId="4E071AE6" w14:textId="77777777" w:rsidTr="0032109B">
        <w:trPr>
          <w:trHeight w:val="300"/>
        </w:trPr>
        <w:tc>
          <w:tcPr>
            <w:tcW w:w="997" w:type="dxa"/>
            <w:tcBorders>
              <w:top w:val="nil"/>
              <w:left w:val="nil"/>
              <w:bottom w:val="nil"/>
              <w:right w:val="nil"/>
            </w:tcBorders>
            <w:shd w:val="clear" w:color="auto" w:fill="auto"/>
            <w:noWrap/>
            <w:vAlign w:val="bottom"/>
            <w:hideMark/>
          </w:tcPr>
          <w:p w14:paraId="3ED34C6F" w14:textId="77777777" w:rsidR="00EC7491" w:rsidRPr="0032109B" w:rsidRDefault="00EC7491" w:rsidP="00EC7491">
            <w:pPr>
              <w:rPr>
                <w:color w:val="000000"/>
                <w:sz w:val="20"/>
                <w:szCs w:val="20"/>
              </w:rPr>
            </w:pPr>
            <w:r w:rsidRPr="0032109B">
              <w:rPr>
                <w:color w:val="000000"/>
                <w:sz w:val="20"/>
                <w:szCs w:val="20"/>
              </w:rPr>
              <w:t>19KP02</w:t>
            </w:r>
          </w:p>
        </w:tc>
        <w:tc>
          <w:tcPr>
            <w:tcW w:w="1276" w:type="dxa"/>
            <w:tcBorders>
              <w:top w:val="nil"/>
              <w:left w:val="nil"/>
              <w:bottom w:val="nil"/>
              <w:right w:val="nil"/>
            </w:tcBorders>
            <w:shd w:val="clear" w:color="auto" w:fill="auto"/>
            <w:noWrap/>
            <w:vAlign w:val="bottom"/>
            <w:hideMark/>
          </w:tcPr>
          <w:p w14:paraId="4B28231A" w14:textId="77777777" w:rsidR="00EC7491" w:rsidRPr="0032109B" w:rsidRDefault="00EC7491" w:rsidP="00EC7491">
            <w:pPr>
              <w:jc w:val="center"/>
              <w:rPr>
                <w:color w:val="000000"/>
                <w:sz w:val="20"/>
                <w:szCs w:val="20"/>
              </w:rPr>
            </w:pPr>
            <w:r w:rsidRPr="0032109B">
              <w:rPr>
                <w:color w:val="000000"/>
                <w:sz w:val="20"/>
                <w:szCs w:val="20"/>
              </w:rPr>
              <w:t>151.29387</w:t>
            </w:r>
          </w:p>
        </w:tc>
        <w:tc>
          <w:tcPr>
            <w:tcW w:w="1180" w:type="dxa"/>
            <w:tcBorders>
              <w:top w:val="nil"/>
              <w:left w:val="nil"/>
              <w:bottom w:val="nil"/>
              <w:right w:val="nil"/>
            </w:tcBorders>
            <w:shd w:val="clear" w:color="auto" w:fill="auto"/>
            <w:noWrap/>
            <w:vAlign w:val="bottom"/>
            <w:hideMark/>
          </w:tcPr>
          <w:p w14:paraId="5DD7820C" w14:textId="77777777" w:rsidR="00EC7491" w:rsidRPr="0032109B" w:rsidRDefault="00EC7491" w:rsidP="00EC7491">
            <w:pPr>
              <w:jc w:val="center"/>
              <w:rPr>
                <w:color w:val="000000"/>
                <w:sz w:val="20"/>
                <w:szCs w:val="20"/>
              </w:rPr>
            </w:pPr>
            <w:r w:rsidRPr="0032109B">
              <w:rPr>
                <w:color w:val="000000"/>
                <w:sz w:val="20"/>
                <w:szCs w:val="20"/>
              </w:rPr>
              <w:t>-29.55939</w:t>
            </w:r>
          </w:p>
        </w:tc>
        <w:tc>
          <w:tcPr>
            <w:tcW w:w="2000" w:type="dxa"/>
            <w:tcBorders>
              <w:top w:val="nil"/>
              <w:left w:val="nil"/>
              <w:bottom w:val="nil"/>
              <w:right w:val="nil"/>
            </w:tcBorders>
            <w:shd w:val="clear" w:color="auto" w:fill="auto"/>
            <w:noWrap/>
            <w:vAlign w:val="bottom"/>
            <w:hideMark/>
          </w:tcPr>
          <w:p w14:paraId="2FA4EBE3" w14:textId="77777777" w:rsidR="00EC7491" w:rsidRPr="0032109B" w:rsidRDefault="00EC7491" w:rsidP="00EC7491">
            <w:pPr>
              <w:jc w:val="center"/>
              <w:rPr>
                <w:color w:val="000000"/>
                <w:sz w:val="20"/>
                <w:szCs w:val="20"/>
              </w:rPr>
            </w:pPr>
            <w:r w:rsidRPr="0032109B">
              <w:rPr>
                <w:color w:val="000000"/>
                <w:sz w:val="20"/>
                <w:szCs w:val="20"/>
              </w:rPr>
              <w:t>Western Belt</w:t>
            </w:r>
          </w:p>
        </w:tc>
        <w:tc>
          <w:tcPr>
            <w:tcW w:w="2980" w:type="dxa"/>
            <w:tcBorders>
              <w:top w:val="nil"/>
              <w:left w:val="nil"/>
              <w:bottom w:val="nil"/>
              <w:right w:val="nil"/>
            </w:tcBorders>
            <w:shd w:val="clear" w:color="auto" w:fill="auto"/>
            <w:noWrap/>
            <w:vAlign w:val="bottom"/>
            <w:hideMark/>
          </w:tcPr>
          <w:p w14:paraId="64FA4206" w14:textId="29CFBDF7" w:rsidR="00EC7491" w:rsidRPr="0032109B" w:rsidRDefault="00EC7491" w:rsidP="00EC7491">
            <w:pPr>
              <w:jc w:val="center"/>
              <w:rPr>
                <w:color w:val="000000"/>
                <w:sz w:val="20"/>
                <w:szCs w:val="20"/>
              </w:rPr>
            </w:pPr>
            <w:r w:rsidRPr="0032109B">
              <w:rPr>
                <w:color w:val="000000"/>
                <w:sz w:val="20"/>
                <w:szCs w:val="20"/>
              </w:rPr>
              <w:t xml:space="preserve">Kings Plain </w:t>
            </w:r>
            <w:r w:rsidR="00CE5D28" w:rsidRPr="0032109B">
              <w:rPr>
                <w:color w:val="000000"/>
                <w:sz w:val="20"/>
                <w:szCs w:val="20"/>
              </w:rPr>
              <w:t>Ignimbrite</w:t>
            </w:r>
          </w:p>
        </w:tc>
        <w:tc>
          <w:tcPr>
            <w:tcW w:w="830" w:type="dxa"/>
            <w:tcBorders>
              <w:top w:val="nil"/>
              <w:left w:val="nil"/>
              <w:bottom w:val="nil"/>
              <w:right w:val="nil"/>
            </w:tcBorders>
            <w:shd w:val="clear" w:color="auto" w:fill="auto"/>
            <w:noWrap/>
            <w:vAlign w:val="bottom"/>
            <w:hideMark/>
          </w:tcPr>
          <w:p w14:paraId="6FC3C2DC" w14:textId="77777777" w:rsidR="00EC7491" w:rsidRPr="0032109B" w:rsidRDefault="00EC7491" w:rsidP="00EC7491">
            <w:pPr>
              <w:jc w:val="center"/>
              <w:rPr>
                <w:color w:val="000000"/>
                <w:sz w:val="20"/>
                <w:szCs w:val="20"/>
              </w:rPr>
            </w:pPr>
            <w:r w:rsidRPr="0032109B">
              <w:rPr>
                <w:color w:val="000000"/>
                <w:sz w:val="20"/>
                <w:szCs w:val="20"/>
              </w:rPr>
              <w:t>256.04</w:t>
            </w:r>
          </w:p>
        </w:tc>
        <w:tc>
          <w:tcPr>
            <w:tcW w:w="720" w:type="dxa"/>
            <w:tcBorders>
              <w:top w:val="nil"/>
              <w:left w:val="nil"/>
              <w:bottom w:val="nil"/>
              <w:right w:val="nil"/>
            </w:tcBorders>
            <w:shd w:val="clear" w:color="auto" w:fill="auto"/>
            <w:noWrap/>
            <w:vAlign w:val="bottom"/>
            <w:hideMark/>
          </w:tcPr>
          <w:p w14:paraId="4417543A" w14:textId="77777777" w:rsidR="00EC7491" w:rsidRPr="0032109B" w:rsidRDefault="00EC7491" w:rsidP="00EC7491">
            <w:pPr>
              <w:jc w:val="center"/>
              <w:rPr>
                <w:color w:val="000000"/>
                <w:sz w:val="20"/>
                <w:szCs w:val="20"/>
              </w:rPr>
            </w:pPr>
            <w:r w:rsidRPr="0032109B">
              <w:rPr>
                <w:color w:val="000000"/>
                <w:sz w:val="20"/>
                <w:szCs w:val="20"/>
              </w:rPr>
              <w:t>0.04</w:t>
            </w:r>
          </w:p>
        </w:tc>
      </w:tr>
      <w:tr w:rsidR="00EC7491" w14:paraId="79877DF5" w14:textId="77777777" w:rsidTr="0032109B">
        <w:trPr>
          <w:trHeight w:val="300"/>
        </w:trPr>
        <w:tc>
          <w:tcPr>
            <w:tcW w:w="997" w:type="dxa"/>
            <w:tcBorders>
              <w:top w:val="nil"/>
              <w:left w:val="nil"/>
              <w:bottom w:val="nil"/>
              <w:right w:val="nil"/>
            </w:tcBorders>
            <w:shd w:val="clear" w:color="auto" w:fill="auto"/>
            <w:noWrap/>
            <w:vAlign w:val="bottom"/>
            <w:hideMark/>
          </w:tcPr>
          <w:p w14:paraId="019FBDA1" w14:textId="77777777" w:rsidR="00EC7491" w:rsidRPr="0032109B" w:rsidRDefault="00EC7491" w:rsidP="00EC7491">
            <w:pPr>
              <w:rPr>
                <w:color w:val="000000"/>
                <w:sz w:val="20"/>
                <w:szCs w:val="20"/>
              </w:rPr>
            </w:pPr>
            <w:r w:rsidRPr="0032109B">
              <w:rPr>
                <w:color w:val="000000"/>
                <w:sz w:val="20"/>
                <w:szCs w:val="20"/>
              </w:rPr>
              <w:t>01B</w:t>
            </w:r>
          </w:p>
        </w:tc>
        <w:tc>
          <w:tcPr>
            <w:tcW w:w="1276" w:type="dxa"/>
            <w:tcBorders>
              <w:top w:val="nil"/>
              <w:left w:val="nil"/>
              <w:bottom w:val="nil"/>
              <w:right w:val="nil"/>
            </w:tcBorders>
            <w:shd w:val="clear" w:color="auto" w:fill="auto"/>
            <w:noWrap/>
            <w:vAlign w:val="bottom"/>
            <w:hideMark/>
          </w:tcPr>
          <w:p w14:paraId="683A7552" w14:textId="77777777" w:rsidR="00EC7491" w:rsidRPr="0032109B" w:rsidRDefault="00EC7491" w:rsidP="00EC7491">
            <w:pPr>
              <w:jc w:val="center"/>
              <w:rPr>
                <w:color w:val="000000"/>
                <w:sz w:val="20"/>
                <w:szCs w:val="20"/>
              </w:rPr>
            </w:pPr>
            <w:r w:rsidRPr="0032109B">
              <w:rPr>
                <w:color w:val="000000"/>
                <w:sz w:val="20"/>
                <w:szCs w:val="20"/>
              </w:rPr>
              <w:t>151.666023</w:t>
            </w:r>
          </w:p>
        </w:tc>
        <w:tc>
          <w:tcPr>
            <w:tcW w:w="1180" w:type="dxa"/>
            <w:tcBorders>
              <w:top w:val="nil"/>
              <w:left w:val="nil"/>
              <w:bottom w:val="nil"/>
              <w:right w:val="nil"/>
            </w:tcBorders>
            <w:shd w:val="clear" w:color="auto" w:fill="auto"/>
            <w:noWrap/>
            <w:vAlign w:val="bottom"/>
            <w:hideMark/>
          </w:tcPr>
          <w:p w14:paraId="25B3AE99" w14:textId="77777777" w:rsidR="00EC7491" w:rsidRPr="0032109B" w:rsidRDefault="00EC7491" w:rsidP="00EC7491">
            <w:pPr>
              <w:jc w:val="center"/>
              <w:rPr>
                <w:color w:val="000000"/>
                <w:sz w:val="20"/>
                <w:szCs w:val="20"/>
              </w:rPr>
            </w:pPr>
            <w:r w:rsidRPr="0032109B">
              <w:rPr>
                <w:color w:val="000000"/>
                <w:sz w:val="20"/>
                <w:szCs w:val="20"/>
              </w:rPr>
              <w:t>-30.373781</w:t>
            </w:r>
          </w:p>
        </w:tc>
        <w:tc>
          <w:tcPr>
            <w:tcW w:w="2000" w:type="dxa"/>
            <w:tcBorders>
              <w:top w:val="nil"/>
              <w:left w:val="nil"/>
              <w:bottom w:val="nil"/>
              <w:right w:val="nil"/>
            </w:tcBorders>
            <w:shd w:val="clear" w:color="auto" w:fill="auto"/>
            <w:noWrap/>
            <w:vAlign w:val="bottom"/>
            <w:hideMark/>
          </w:tcPr>
          <w:p w14:paraId="793DE06C" w14:textId="77777777" w:rsidR="00EC7491" w:rsidRPr="0032109B" w:rsidRDefault="00EC7491" w:rsidP="00EC7491">
            <w:pPr>
              <w:jc w:val="center"/>
              <w:rPr>
                <w:color w:val="000000"/>
                <w:sz w:val="20"/>
                <w:szCs w:val="20"/>
              </w:rPr>
            </w:pPr>
            <w:r w:rsidRPr="0032109B">
              <w:rPr>
                <w:color w:val="000000"/>
                <w:sz w:val="20"/>
                <w:szCs w:val="20"/>
              </w:rPr>
              <w:t>Western Belt</w:t>
            </w:r>
          </w:p>
        </w:tc>
        <w:tc>
          <w:tcPr>
            <w:tcW w:w="2980" w:type="dxa"/>
            <w:tcBorders>
              <w:top w:val="nil"/>
              <w:left w:val="nil"/>
              <w:bottom w:val="nil"/>
              <w:right w:val="nil"/>
            </w:tcBorders>
            <w:shd w:val="clear" w:color="auto" w:fill="auto"/>
            <w:noWrap/>
            <w:vAlign w:val="bottom"/>
            <w:hideMark/>
          </w:tcPr>
          <w:p w14:paraId="55D77BF4" w14:textId="77777777" w:rsidR="00EC7491" w:rsidRPr="0032109B" w:rsidRDefault="00EC7491" w:rsidP="00EC7491">
            <w:pPr>
              <w:jc w:val="center"/>
              <w:rPr>
                <w:color w:val="000000"/>
                <w:sz w:val="20"/>
                <w:szCs w:val="20"/>
              </w:rPr>
            </w:pPr>
            <w:r w:rsidRPr="0032109B">
              <w:rPr>
                <w:color w:val="000000"/>
                <w:sz w:val="20"/>
                <w:szCs w:val="20"/>
              </w:rPr>
              <w:t xml:space="preserve">Annalee </w:t>
            </w:r>
            <w:proofErr w:type="spellStart"/>
            <w:r w:rsidRPr="0032109B">
              <w:rPr>
                <w:color w:val="000000"/>
                <w:sz w:val="20"/>
                <w:szCs w:val="20"/>
              </w:rPr>
              <w:t>Pyroclastics</w:t>
            </w:r>
            <w:proofErr w:type="spellEnd"/>
          </w:p>
        </w:tc>
        <w:tc>
          <w:tcPr>
            <w:tcW w:w="830" w:type="dxa"/>
            <w:tcBorders>
              <w:top w:val="nil"/>
              <w:left w:val="nil"/>
              <w:bottom w:val="nil"/>
              <w:right w:val="nil"/>
            </w:tcBorders>
            <w:shd w:val="clear" w:color="auto" w:fill="auto"/>
            <w:noWrap/>
            <w:vAlign w:val="bottom"/>
            <w:hideMark/>
          </w:tcPr>
          <w:p w14:paraId="46BB2F0F" w14:textId="77777777" w:rsidR="00EC7491" w:rsidRPr="0032109B" w:rsidRDefault="00EC7491" w:rsidP="00EC7491">
            <w:pPr>
              <w:jc w:val="center"/>
              <w:rPr>
                <w:color w:val="000000"/>
                <w:sz w:val="20"/>
                <w:szCs w:val="20"/>
              </w:rPr>
            </w:pPr>
            <w:r w:rsidRPr="0032109B">
              <w:rPr>
                <w:color w:val="000000"/>
                <w:sz w:val="20"/>
                <w:szCs w:val="20"/>
              </w:rPr>
              <w:t>256.19</w:t>
            </w:r>
          </w:p>
        </w:tc>
        <w:tc>
          <w:tcPr>
            <w:tcW w:w="720" w:type="dxa"/>
            <w:tcBorders>
              <w:top w:val="nil"/>
              <w:left w:val="nil"/>
              <w:bottom w:val="nil"/>
              <w:right w:val="nil"/>
            </w:tcBorders>
            <w:shd w:val="clear" w:color="auto" w:fill="auto"/>
            <w:noWrap/>
            <w:vAlign w:val="bottom"/>
            <w:hideMark/>
          </w:tcPr>
          <w:p w14:paraId="1609301D" w14:textId="77777777" w:rsidR="00EC7491" w:rsidRPr="0032109B" w:rsidRDefault="00EC7491" w:rsidP="00EC7491">
            <w:pPr>
              <w:jc w:val="center"/>
              <w:rPr>
                <w:color w:val="000000"/>
                <w:sz w:val="20"/>
                <w:szCs w:val="20"/>
              </w:rPr>
            </w:pPr>
            <w:r w:rsidRPr="0032109B">
              <w:rPr>
                <w:color w:val="000000"/>
                <w:sz w:val="20"/>
                <w:szCs w:val="20"/>
              </w:rPr>
              <w:t>0.09</w:t>
            </w:r>
          </w:p>
        </w:tc>
      </w:tr>
      <w:tr w:rsidR="00EC7491" w14:paraId="205CA135" w14:textId="77777777" w:rsidTr="00AE001B">
        <w:trPr>
          <w:trHeight w:val="320"/>
        </w:trPr>
        <w:tc>
          <w:tcPr>
            <w:tcW w:w="997" w:type="dxa"/>
            <w:tcBorders>
              <w:top w:val="nil"/>
              <w:left w:val="nil"/>
              <w:bottom w:val="single" w:sz="8" w:space="0" w:color="000000"/>
              <w:right w:val="nil"/>
            </w:tcBorders>
            <w:shd w:val="clear" w:color="auto" w:fill="auto"/>
            <w:noWrap/>
            <w:vAlign w:val="bottom"/>
            <w:hideMark/>
          </w:tcPr>
          <w:p w14:paraId="5DF80D66" w14:textId="77777777" w:rsidR="00EC7491" w:rsidRPr="0032109B" w:rsidRDefault="00EC7491" w:rsidP="00EC7491">
            <w:pPr>
              <w:rPr>
                <w:color w:val="000000"/>
                <w:sz w:val="20"/>
                <w:szCs w:val="20"/>
              </w:rPr>
            </w:pPr>
            <w:r w:rsidRPr="0032109B">
              <w:rPr>
                <w:color w:val="000000"/>
                <w:sz w:val="20"/>
                <w:szCs w:val="20"/>
              </w:rPr>
              <w:t>19GI05</w:t>
            </w:r>
          </w:p>
        </w:tc>
        <w:tc>
          <w:tcPr>
            <w:tcW w:w="1276" w:type="dxa"/>
            <w:tcBorders>
              <w:top w:val="nil"/>
              <w:left w:val="nil"/>
              <w:bottom w:val="single" w:sz="8" w:space="0" w:color="000000"/>
              <w:right w:val="nil"/>
            </w:tcBorders>
            <w:shd w:val="clear" w:color="auto" w:fill="auto"/>
            <w:noWrap/>
            <w:vAlign w:val="bottom"/>
            <w:hideMark/>
          </w:tcPr>
          <w:p w14:paraId="1026E364" w14:textId="77777777" w:rsidR="00EC7491" w:rsidRPr="0032109B" w:rsidRDefault="00EC7491" w:rsidP="00EC7491">
            <w:pPr>
              <w:jc w:val="center"/>
              <w:rPr>
                <w:color w:val="000000"/>
                <w:sz w:val="20"/>
                <w:szCs w:val="20"/>
              </w:rPr>
            </w:pPr>
            <w:r w:rsidRPr="0032109B">
              <w:rPr>
                <w:color w:val="000000"/>
                <w:sz w:val="20"/>
                <w:szCs w:val="20"/>
              </w:rPr>
              <w:t>151.27186</w:t>
            </w:r>
          </w:p>
        </w:tc>
        <w:tc>
          <w:tcPr>
            <w:tcW w:w="1180" w:type="dxa"/>
            <w:tcBorders>
              <w:top w:val="nil"/>
              <w:left w:val="nil"/>
              <w:bottom w:val="single" w:sz="8" w:space="0" w:color="000000"/>
              <w:right w:val="nil"/>
            </w:tcBorders>
            <w:shd w:val="clear" w:color="auto" w:fill="auto"/>
            <w:noWrap/>
            <w:vAlign w:val="bottom"/>
            <w:hideMark/>
          </w:tcPr>
          <w:p w14:paraId="3EEE24EE" w14:textId="77777777" w:rsidR="00EC7491" w:rsidRPr="0032109B" w:rsidRDefault="00EC7491" w:rsidP="00EC7491">
            <w:pPr>
              <w:jc w:val="center"/>
              <w:rPr>
                <w:color w:val="000000"/>
                <w:sz w:val="20"/>
                <w:szCs w:val="20"/>
              </w:rPr>
            </w:pPr>
            <w:r w:rsidRPr="0032109B">
              <w:rPr>
                <w:color w:val="000000"/>
                <w:sz w:val="20"/>
                <w:szCs w:val="20"/>
              </w:rPr>
              <w:t>-29.54802</w:t>
            </w:r>
          </w:p>
        </w:tc>
        <w:tc>
          <w:tcPr>
            <w:tcW w:w="2000" w:type="dxa"/>
            <w:tcBorders>
              <w:top w:val="nil"/>
              <w:left w:val="nil"/>
              <w:bottom w:val="single" w:sz="8" w:space="0" w:color="000000"/>
              <w:right w:val="nil"/>
            </w:tcBorders>
            <w:shd w:val="clear" w:color="auto" w:fill="auto"/>
            <w:noWrap/>
            <w:vAlign w:val="bottom"/>
            <w:hideMark/>
          </w:tcPr>
          <w:p w14:paraId="510BA1BD" w14:textId="77777777" w:rsidR="00EC7491" w:rsidRPr="0032109B" w:rsidRDefault="00EC7491" w:rsidP="00EC7491">
            <w:pPr>
              <w:jc w:val="center"/>
              <w:rPr>
                <w:color w:val="000000"/>
                <w:sz w:val="20"/>
                <w:szCs w:val="20"/>
              </w:rPr>
            </w:pPr>
            <w:r w:rsidRPr="0032109B">
              <w:rPr>
                <w:color w:val="000000"/>
                <w:sz w:val="20"/>
                <w:szCs w:val="20"/>
              </w:rPr>
              <w:t>Western Belt</w:t>
            </w:r>
          </w:p>
        </w:tc>
        <w:tc>
          <w:tcPr>
            <w:tcW w:w="2980" w:type="dxa"/>
            <w:tcBorders>
              <w:top w:val="nil"/>
              <w:left w:val="nil"/>
              <w:bottom w:val="single" w:sz="8" w:space="0" w:color="000000"/>
              <w:right w:val="nil"/>
            </w:tcBorders>
            <w:shd w:val="clear" w:color="auto" w:fill="auto"/>
            <w:noWrap/>
            <w:vAlign w:val="bottom"/>
            <w:hideMark/>
          </w:tcPr>
          <w:p w14:paraId="4648C359" w14:textId="77777777" w:rsidR="00EC7491" w:rsidRPr="0032109B" w:rsidRDefault="00EC7491" w:rsidP="00EC7491">
            <w:pPr>
              <w:jc w:val="center"/>
              <w:rPr>
                <w:color w:val="000000"/>
                <w:sz w:val="20"/>
                <w:szCs w:val="20"/>
              </w:rPr>
            </w:pPr>
            <w:proofErr w:type="spellStart"/>
            <w:r w:rsidRPr="0032109B">
              <w:rPr>
                <w:color w:val="000000"/>
                <w:sz w:val="20"/>
                <w:szCs w:val="20"/>
              </w:rPr>
              <w:t>Weean</w:t>
            </w:r>
            <w:proofErr w:type="spellEnd"/>
            <w:r w:rsidRPr="0032109B">
              <w:rPr>
                <w:color w:val="000000"/>
                <w:sz w:val="20"/>
                <w:szCs w:val="20"/>
              </w:rPr>
              <w:t xml:space="preserve"> Ignimbrite</w:t>
            </w:r>
          </w:p>
        </w:tc>
        <w:tc>
          <w:tcPr>
            <w:tcW w:w="830" w:type="dxa"/>
            <w:tcBorders>
              <w:top w:val="nil"/>
              <w:left w:val="nil"/>
              <w:bottom w:val="single" w:sz="8" w:space="0" w:color="000000"/>
              <w:right w:val="nil"/>
            </w:tcBorders>
            <w:shd w:val="clear" w:color="auto" w:fill="auto"/>
            <w:noWrap/>
            <w:vAlign w:val="bottom"/>
            <w:hideMark/>
          </w:tcPr>
          <w:p w14:paraId="707B188D" w14:textId="77777777" w:rsidR="00EC7491" w:rsidRPr="0032109B" w:rsidRDefault="00EC7491" w:rsidP="00EC7491">
            <w:pPr>
              <w:jc w:val="center"/>
              <w:rPr>
                <w:color w:val="000000"/>
                <w:sz w:val="20"/>
                <w:szCs w:val="20"/>
              </w:rPr>
            </w:pPr>
            <w:r w:rsidRPr="0032109B">
              <w:rPr>
                <w:color w:val="000000"/>
                <w:sz w:val="20"/>
                <w:szCs w:val="20"/>
              </w:rPr>
              <w:t>257.55</w:t>
            </w:r>
          </w:p>
        </w:tc>
        <w:tc>
          <w:tcPr>
            <w:tcW w:w="720" w:type="dxa"/>
            <w:tcBorders>
              <w:top w:val="nil"/>
              <w:left w:val="nil"/>
              <w:bottom w:val="single" w:sz="8" w:space="0" w:color="000000"/>
              <w:right w:val="nil"/>
            </w:tcBorders>
            <w:shd w:val="clear" w:color="auto" w:fill="auto"/>
            <w:noWrap/>
            <w:vAlign w:val="bottom"/>
            <w:hideMark/>
          </w:tcPr>
          <w:p w14:paraId="3D69D6A7" w14:textId="77777777" w:rsidR="00EC7491" w:rsidRPr="0032109B" w:rsidRDefault="00EC7491" w:rsidP="00EC7491">
            <w:pPr>
              <w:jc w:val="center"/>
              <w:rPr>
                <w:color w:val="000000"/>
                <w:sz w:val="20"/>
                <w:szCs w:val="20"/>
              </w:rPr>
            </w:pPr>
            <w:r w:rsidRPr="0032109B">
              <w:rPr>
                <w:color w:val="000000"/>
                <w:sz w:val="20"/>
                <w:szCs w:val="20"/>
              </w:rPr>
              <w:t>0.05</w:t>
            </w:r>
          </w:p>
        </w:tc>
      </w:tr>
    </w:tbl>
    <w:p w14:paraId="06147551" w14:textId="77777777" w:rsidR="00AE001B" w:rsidRDefault="00AE001B" w:rsidP="00BA5048">
      <w:pPr>
        <w:spacing w:line="480" w:lineRule="auto"/>
        <w:rPr>
          <w:b/>
          <w:bCs/>
        </w:rPr>
      </w:pPr>
    </w:p>
    <w:p w14:paraId="5C1B2DDA" w14:textId="44D04C85" w:rsidR="00BA5048" w:rsidRPr="00BA5048" w:rsidRDefault="00BA5048" w:rsidP="00BA5048">
      <w:pPr>
        <w:spacing w:line="480" w:lineRule="auto"/>
        <w:rPr>
          <w:b/>
          <w:bCs/>
        </w:rPr>
      </w:pPr>
      <w:r>
        <w:rPr>
          <w:b/>
          <w:bCs/>
        </w:rPr>
        <w:t>References</w:t>
      </w:r>
    </w:p>
    <w:p w14:paraId="0299E6D4" w14:textId="77777777" w:rsidR="00ED79C0" w:rsidRPr="00ED79C0" w:rsidRDefault="00BA5048" w:rsidP="00ED79C0">
      <w:pPr>
        <w:pStyle w:val="EndNoteBibliography"/>
        <w:ind w:left="720" w:hanging="720"/>
        <w:rPr>
          <w:noProof/>
        </w:rPr>
      </w:pPr>
      <w:r>
        <w:fldChar w:fldCharType="begin"/>
      </w:r>
      <w:r>
        <w:instrText xml:space="preserve"> ADDIN EN.REFLIST </w:instrText>
      </w:r>
      <w:r>
        <w:fldChar w:fldCharType="separate"/>
      </w:r>
      <w:r w:rsidR="00ED79C0" w:rsidRPr="00ED79C0">
        <w:rPr>
          <w:noProof/>
        </w:rPr>
        <w:t>1</w:t>
      </w:r>
      <w:r w:rsidR="00ED79C0" w:rsidRPr="00ED79C0">
        <w:rPr>
          <w:noProof/>
        </w:rPr>
        <w:tab/>
        <w:t xml:space="preserve">Watson, E. B., Wark, D. A. &amp; Thomas, J. B. Crystallization thermometers for zircon and rutile. </w:t>
      </w:r>
      <w:r w:rsidR="00ED79C0" w:rsidRPr="00ED79C0">
        <w:rPr>
          <w:i/>
          <w:noProof/>
        </w:rPr>
        <w:t>Contributions to Mineralogy and Petrology</w:t>
      </w:r>
      <w:r w:rsidR="00ED79C0" w:rsidRPr="00ED79C0">
        <w:rPr>
          <w:noProof/>
        </w:rPr>
        <w:t xml:space="preserve"> </w:t>
      </w:r>
      <w:r w:rsidR="00ED79C0" w:rsidRPr="00ED79C0">
        <w:rPr>
          <w:b/>
          <w:noProof/>
        </w:rPr>
        <w:t>151</w:t>
      </w:r>
      <w:r w:rsidR="00ED79C0" w:rsidRPr="00ED79C0">
        <w:rPr>
          <w:noProof/>
        </w:rPr>
        <w:t>, 413–433 (2006).</w:t>
      </w:r>
    </w:p>
    <w:p w14:paraId="23A82B87" w14:textId="1E2ADB56" w:rsidR="00ED79C0" w:rsidRPr="00ED79C0" w:rsidRDefault="00ED79C0" w:rsidP="00ED79C0">
      <w:pPr>
        <w:pStyle w:val="EndNoteBibliography"/>
        <w:ind w:left="720" w:hanging="720"/>
        <w:rPr>
          <w:noProof/>
        </w:rPr>
      </w:pPr>
      <w:r w:rsidRPr="00ED79C0">
        <w:rPr>
          <w:noProof/>
        </w:rPr>
        <w:t>2</w:t>
      </w:r>
      <w:r w:rsidRPr="00ED79C0">
        <w:rPr>
          <w:noProof/>
        </w:rPr>
        <w:tab/>
        <w:t>Sláma, J.</w:t>
      </w:r>
      <w:r w:rsidRPr="00ED79C0">
        <w:rPr>
          <w:i/>
          <w:noProof/>
        </w:rPr>
        <w:t xml:space="preserve"> et al.</w:t>
      </w:r>
      <w:r w:rsidRPr="00ED79C0">
        <w:rPr>
          <w:noProof/>
        </w:rPr>
        <w:t xml:space="preserve"> Plešovice zircon — A new natural reference material for U–Pb and Hf isotopic microanalysis. </w:t>
      </w:r>
      <w:r w:rsidRPr="00ED79C0">
        <w:rPr>
          <w:i/>
          <w:noProof/>
        </w:rPr>
        <w:t>Chemical Geology</w:t>
      </w:r>
      <w:r w:rsidRPr="00ED79C0">
        <w:rPr>
          <w:noProof/>
        </w:rPr>
        <w:t xml:space="preserve"> </w:t>
      </w:r>
      <w:r w:rsidRPr="00ED79C0">
        <w:rPr>
          <w:b/>
          <w:noProof/>
        </w:rPr>
        <w:t>249</w:t>
      </w:r>
      <w:r w:rsidRPr="00ED79C0">
        <w:rPr>
          <w:noProof/>
        </w:rPr>
        <w:t>, 1–35, doi:</w:t>
      </w:r>
      <w:hyperlink r:id="rId8" w:history="1">
        <w:r w:rsidRPr="00ED79C0">
          <w:rPr>
            <w:rStyle w:val="Hyperlink"/>
            <w:noProof/>
          </w:rPr>
          <w:t>https://doi.org/10.1016/j.chemgeo.2007.11.005</w:t>
        </w:r>
      </w:hyperlink>
      <w:r w:rsidRPr="00ED79C0">
        <w:rPr>
          <w:noProof/>
        </w:rPr>
        <w:t xml:space="preserve"> (2008).</w:t>
      </w:r>
    </w:p>
    <w:p w14:paraId="4C0F8518" w14:textId="77777777" w:rsidR="00ED79C0" w:rsidRPr="00ED79C0" w:rsidRDefault="00ED79C0" w:rsidP="00ED79C0">
      <w:pPr>
        <w:pStyle w:val="EndNoteBibliography"/>
        <w:ind w:left="720" w:hanging="720"/>
        <w:rPr>
          <w:noProof/>
        </w:rPr>
      </w:pPr>
      <w:r w:rsidRPr="00ED79C0">
        <w:rPr>
          <w:noProof/>
        </w:rPr>
        <w:t>3</w:t>
      </w:r>
      <w:r w:rsidRPr="00ED79C0">
        <w:rPr>
          <w:noProof/>
        </w:rPr>
        <w:tab/>
        <w:t>Wiedenbeck, M.</w:t>
      </w:r>
      <w:r w:rsidRPr="00ED79C0">
        <w:rPr>
          <w:i/>
          <w:noProof/>
        </w:rPr>
        <w:t xml:space="preserve"> et al.</w:t>
      </w:r>
      <w:r w:rsidRPr="00ED79C0">
        <w:rPr>
          <w:noProof/>
        </w:rPr>
        <w:t xml:space="preserve"> Three natural zircon standards for U-Th-Pb, Lu-Hf, trace element and REE analyses. </w:t>
      </w:r>
      <w:r w:rsidRPr="00ED79C0">
        <w:rPr>
          <w:i/>
          <w:noProof/>
        </w:rPr>
        <w:t>Geostandards Newsletter</w:t>
      </w:r>
      <w:r w:rsidRPr="00ED79C0">
        <w:rPr>
          <w:noProof/>
        </w:rPr>
        <w:t xml:space="preserve"> </w:t>
      </w:r>
      <w:r w:rsidRPr="00ED79C0">
        <w:rPr>
          <w:b/>
          <w:noProof/>
        </w:rPr>
        <w:t>19</w:t>
      </w:r>
      <w:r w:rsidRPr="00ED79C0">
        <w:rPr>
          <w:noProof/>
        </w:rPr>
        <w:t>, 1–23, doi:10.1111/j.1751-908X.1995.tb00147.x (1995).</w:t>
      </w:r>
    </w:p>
    <w:p w14:paraId="2CF58705" w14:textId="64DFF892" w:rsidR="00ED79C0" w:rsidRPr="00ED79C0" w:rsidRDefault="00ED79C0" w:rsidP="00ED79C0">
      <w:pPr>
        <w:pStyle w:val="EndNoteBibliography"/>
        <w:ind w:left="720" w:hanging="720"/>
        <w:rPr>
          <w:noProof/>
        </w:rPr>
      </w:pPr>
      <w:r w:rsidRPr="00ED79C0">
        <w:rPr>
          <w:noProof/>
        </w:rPr>
        <w:t>4</w:t>
      </w:r>
      <w:r w:rsidRPr="00ED79C0">
        <w:rPr>
          <w:noProof/>
        </w:rPr>
        <w:tab/>
        <w:t xml:space="preserve">Mattinson, J. M. Zircon U–Pb chemical abrasion (“CA-TIMS”) method: Combined annealing and multi-step partial dissolution analysis for improved precision and </w:t>
      </w:r>
      <w:r w:rsidRPr="00ED79C0">
        <w:rPr>
          <w:noProof/>
        </w:rPr>
        <w:lastRenderedPageBreak/>
        <w:t xml:space="preserve">accuracy of zircon ages. </w:t>
      </w:r>
      <w:r w:rsidRPr="00ED79C0">
        <w:rPr>
          <w:i/>
          <w:noProof/>
        </w:rPr>
        <w:t>Chemical Geology</w:t>
      </w:r>
      <w:r w:rsidRPr="00ED79C0">
        <w:rPr>
          <w:noProof/>
        </w:rPr>
        <w:t xml:space="preserve"> </w:t>
      </w:r>
      <w:r w:rsidRPr="00ED79C0">
        <w:rPr>
          <w:b/>
          <w:noProof/>
        </w:rPr>
        <w:t>220</w:t>
      </w:r>
      <w:r w:rsidRPr="00ED79C0">
        <w:rPr>
          <w:noProof/>
        </w:rPr>
        <w:t>, 47–66, doi:</w:t>
      </w:r>
      <w:hyperlink r:id="rId9" w:history="1">
        <w:r w:rsidRPr="00ED79C0">
          <w:rPr>
            <w:rStyle w:val="Hyperlink"/>
            <w:noProof/>
          </w:rPr>
          <w:t>https://doi.org/10.1016/j.chemgeo.2005.03.011</w:t>
        </w:r>
      </w:hyperlink>
      <w:r w:rsidRPr="00ED79C0">
        <w:rPr>
          <w:noProof/>
        </w:rPr>
        <w:t xml:space="preserve"> (2005).</w:t>
      </w:r>
    </w:p>
    <w:p w14:paraId="65F57B07" w14:textId="19041383" w:rsidR="00ED79C0" w:rsidRPr="00ED79C0" w:rsidRDefault="00ED79C0" w:rsidP="00ED79C0">
      <w:pPr>
        <w:pStyle w:val="EndNoteBibliography"/>
        <w:ind w:left="720" w:hanging="720"/>
        <w:rPr>
          <w:noProof/>
        </w:rPr>
      </w:pPr>
      <w:r w:rsidRPr="00ED79C0">
        <w:rPr>
          <w:noProof/>
        </w:rPr>
        <w:t>5</w:t>
      </w:r>
      <w:r w:rsidRPr="00ED79C0">
        <w:rPr>
          <w:noProof/>
        </w:rPr>
        <w:tab/>
        <w:t xml:space="preserve">Krogh, T. E. Zircon U–Pb chemical abrasion (“CA-TIMS”) method: Combined annealing and multi-step partial dissolution analysis for improved precision and accuracy of zircon ages. </w:t>
      </w:r>
      <w:r w:rsidRPr="00ED79C0">
        <w:rPr>
          <w:i/>
          <w:noProof/>
        </w:rPr>
        <w:t>Chemical Geology</w:t>
      </w:r>
      <w:r w:rsidRPr="00ED79C0">
        <w:rPr>
          <w:noProof/>
        </w:rPr>
        <w:t xml:space="preserve"> </w:t>
      </w:r>
      <w:r w:rsidRPr="00ED79C0">
        <w:rPr>
          <w:b/>
          <w:noProof/>
        </w:rPr>
        <w:t>220</w:t>
      </w:r>
      <w:r w:rsidRPr="00ED79C0">
        <w:rPr>
          <w:noProof/>
        </w:rPr>
        <w:t>, 47–66, doi:</w:t>
      </w:r>
      <w:hyperlink r:id="rId10" w:history="1">
        <w:r w:rsidRPr="00ED79C0">
          <w:rPr>
            <w:rStyle w:val="Hyperlink"/>
            <w:noProof/>
          </w:rPr>
          <w:t>https://doi.org/10.1016/j.chemgeo.2005.03.011</w:t>
        </w:r>
      </w:hyperlink>
      <w:r w:rsidRPr="00ED79C0">
        <w:rPr>
          <w:noProof/>
        </w:rPr>
        <w:t xml:space="preserve"> (2005).</w:t>
      </w:r>
    </w:p>
    <w:p w14:paraId="0908F30B" w14:textId="3BB6328E" w:rsidR="00ED79C0" w:rsidRPr="00ED79C0" w:rsidRDefault="00ED79C0" w:rsidP="00ED79C0">
      <w:pPr>
        <w:pStyle w:val="EndNoteBibliography"/>
        <w:ind w:left="720" w:hanging="720"/>
        <w:rPr>
          <w:noProof/>
        </w:rPr>
      </w:pPr>
      <w:r w:rsidRPr="00ED79C0">
        <w:rPr>
          <w:noProof/>
        </w:rPr>
        <w:t>6</w:t>
      </w:r>
      <w:r w:rsidRPr="00ED79C0">
        <w:rPr>
          <w:noProof/>
        </w:rPr>
        <w:tab/>
        <w:t xml:space="preserve">Gerstenberger, H. &amp; Haase, G. A highly effective emitter substance for mass spectrometric Pb isotope ratio determinations. </w:t>
      </w:r>
      <w:r w:rsidRPr="00ED79C0">
        <w:rPr>
          <w:i/>
          <w:noProof/>
        </w:rPr>
        <w:t>Chemical Geology</w:t>
      </w:r>
      <w:r w:rsidRPr="00ED79C0">
        <w:rPr>
          <w:noProof/>
        </w:rPr>
        <w:t xml:space="preserve"> </w:t>
      </w:r>
      <w:r w:rsidRPr="00ED79C0">
        <w:rPr>
          <w:b/>
          <w:noProof/>
        </w:rPr>
        <w:t>136</w:t>
      </w:r>
      <w:r w:rsidRPr="00ED79C0">
        <w:rPr>
          <w:noProof/>
        </w:rPr>
        <w:t>, 309–312, doi:</w:t>
      </w:r>
      <w:hyperlink r:id="rId11" w:history="1">
        <w:r w:rsidRPr="00ED79C0">
          <w:rPr>
            <w:rStyle w:val="Hyperlink"/>
            <w:noProof/>
          </w:rPr>
          <w:t>https://doi.org/10.1016/S0009-2541(96)00033-2</w:t>
        </w:r>
      </w:hyperlink>
      <w:r w:rsidRPr="00ED79C0">
        <w:rPr>
          <w:noProof/>
        </w:rPr>
        <w:t xml:space="preserve"> (1997).</w:t>
      </w:r>
    </w:p>
    <w:p w14:paraId="7D7F6ED8" w14:textId="77777777" w:rsidR="00ED79C0" w:rsidRPr="00ED79C0" w:rsidRDefault="00ED79C0" w:rsidP="00ED79C0">
      <w:pPr>
        <w:pStyle w:val="EndNoteBibliography"/>
        <w:ind w:left="720" w:hanging="720"/>
        <w:rPr>
          <w:noProof/>
        </w:rPr>
      </w:pPr>
      <w:r w:rsidRPr="00ED79C0">
        <w:rPr>
          <w:noProof/>
        </w:rPr>
        <w:t>7</w:t>
      </w:r>
      <w:r w:rsidRPr="00ED79C0">
        <w:rPr>
          <w:noProof/>
        </w:rPr>
        <w:tab/>
        <w:t xml:space="preserve">Schmitz, M. D. &amp; Schoene, B. Derivation of isotope ratios, errors, and error correlations for U-Pb geochronology using 205Pb-235U-(233U)-spiked isotope dilution thermal ionization mass spectrometric data. </w:t>
      </w:r>
      <w:r w:rsidRPr="00ED79C0">
        <w:rPr>
          <w:i/>
          <w:noProof/>
        </w:rPr>
        <w:t>Geochemistry, Geophysics, Geosystems</w:t>
      </w:r>
      <w:r w:rsidRPr="00ED79C0">
        <w:rPr>
          <w:noProof/>
        </w:rPr>
        <w:t xml:space="preserve"> </w:t>
      </w:r>
      <w:r w:rsidRPr="00ED79C0">
        <w:rPr>
          <w:b/>
          <w:noProof/>
        </w:rPr>
        <w:t>8</w:t>
      </w:r>
      <w:r w:rsidRPr="00ED79C0">
        <w:rPr>
          <w:noProof/>
        </w:rPr>
        <w:t>, doi:10.1029/2006gc001492 (2007).</w:t>
      </w:r>
    </w:p>
    <w:p w14:paraId="4BBC6C73" w14:textId="544A524D" w:rsidR="00ED79C0" w:rsidRPr="00ED79C0" w:rsidRDefault="00ED79C0" w:rsidP="00ED79C0">
      <w:pPr>
        <w:pStyle w:val="EndNoteBibliography"/>
        <w:ind w:left="720" w:hanging="720"/>
        <w:rPr>
          <w:noProof/>
        </w:rPr>
      </w:pPr>
      <w:r w:rsidRPr="00ED79C0">
        <w:rPr>
          <w:noProof/>
        </w:rPr>
        <w:t>8</w:t>
      </w:r>
      <w:r w:rsidRPr="00ED79C0">
        <w:rPr>
          <w:noProof/>
        </w:rPr>
        <w:tab/>
        <w:t xml:space="preserve">Condon, D. J., Schoene, B., McLean, N. M., Bowring, S. A. &amp; Parrish, R. R. Metrology and traceability of U–Pb isotope dilution geochronology (EARTHTIME Tracer Calibration Part I). </w:t>
      </w:r>
      <w:r w:rsidRPr="00ED79C0">
        <w:rPr>
          <w:i/>
          <w:noProof/>
        </w:rPr>
        <w:t>Geochimica et Cosmochimica Acta</w:t>
      </w:r>
      <w:r w:rsidRPr="00ED79C0">
        <w:rPr>
          <w:noProof/>
        </w:rPr>
        <w:t xml:space="preserve"> </w:t>
      </w:r>
      <w:r w:rsidRPr="00ED79C0">
        <w:rPr>
          <w:b/>
          <w:noProof/>
        </w:rPr>
        <w:t>164</w:t>
      </w:r>
      <w:r w:rsidRPr="00ED79C0">
        <w:rPr>
          <w:noProof/>
        </w:rPr>
        <w:t>, 464–480, doi:</w:t>
      </w:r>
      <w:hyperlink r:id="rId12" w:history="1">
        <w:r w:rsidRPr="00ED79C0">
          <w:rPr>
            <w:rStyle w:val="Hyperlink"/>
            <w:noProof/>
          </w:rPr>
          <w:t>https://doi.org/10.1016/j.gca.2015.05.026</w:t>
        </w:r>
      </w:hyperlink>
      <w:r w:rsidRPr="00ED79C0">
        <w:rPr>
          <w:noProof/>
        </w:rPr>
        <w:t xml:space="preserve"> (2015).</w:t>
      </w:r>
    </w:p>
    <w:p w14:paraId="11004EE7" w14:textId="77777777" w:rsidR="00ED79C0" w:rsidRPr="00ED79C0" w:rsidRDefault="00ED79C0" w:rsidP="00ED79C0">
      <w:pPr>
        <w:pStyle w:val="EndNoteBibliography"/>
        <w:ind w:left="720" w:hanging="720"/>
        <w:rPr>
          <w:noProof/>
        </w:rPr>
      </w:pPr>
      <w:r w:rsidRPr="00ED79C0">
        <w:rPr>
          <w:noProof/>
        </w:rPr>
        <w:t>9</w:t>
      </w:r>
      <w:r w:rsidRPr="00ED79C0">
        <w:rPr>
          <w:noProof/>
        </w:rPr>
        <w:tab/>
        <w:t xml:space="preserve">Jaffey, A. H., Flynn, K. F., Glendenin, L. E., Bentley, W. C. &amp; Essling, A. M. Precision Measurement of Half-Lives and Specific Activities of $^{235}\mathrm{U}$ and $^{238}\mathrm{U}$. </w:t>
      </w:r>
      <w:r w:rsidRPr="00ED79C0">
        <w:rPr>
          <w:i/>
          <w:noProof/>
        </w:rPr>
        <w:t>Physical Review C</w:t>
      </w:r>
      <w:r w:rsidRPr="00ED79C0">
        <w:rPr>
          <w:noProof/>
        </w:rPr>
        <w:t xml:space="preserve"> </w:t>
      </w:r>
      <w:r w:rsidRPr="00ED79C0">
        <w:rPr>
          <w:b/>
          <w:noProof/>
        </w:rPr>
        <w:t>4</w:t>
      </w:r>
      <w:r w:rsidRPr="00ED79C0">
        <w:rPr>
          <w:noProof/>
        </w:rPr>
        <w:t>, 1889–1906, doi:10.1103/PhysRevC.4.1889 (1971).</w:t>
      </w:r>
    </w:p>
    <w:p w14:paraId="46FD35AA" w14:textId="77777777" w:rsidR="00ED79C0" w:rsidRPr="00ED79C0" w:rsidRDefault="00ED79C0" w:rsidP="00ED79C0">
      <w:pPr>
        <w:pStyle w:val="EndNoteBibliography"/>
        <w:ind w:left="720" w:hanging="720"/>
        <w:rPr>
          <w:noProof/>
        </w:rPr>
      </w:pPr>
      <w:r w:rsidRPr="00ED79C0">
        <w:rPr>
          <w:noProof/>
        </w:rPr>
        <w:t>10</w:t>
      </w:r>
      <w:r w:rsidRPr="00ED79C0">
        <w:rPr>
          <w:noProof/>
        </w:rPr>
        <w:tab/>
        <w:t xml:space="preserve">Hiess, J., Condon, D. J., McLean, N. &amp; Noble, S. R. 238U/235U Systematics in Terrestrial Uranium-Bearing Minerals. </w:t>
      </w:r>
      <w:r w:rsidRPr="00ED79C0">
        <w:rPr>
          <w:i/>
          <w:noProof/>
        </w:rPr>
        <w:t>Science</w:t>
      </w:r>
      <w:r w:rsidRPr="00ED79C0">
        <w:rPr>
          <w:noProof/>
        </w:rPr>
        <w:t xml:space="preserve"> </w:t>
      </w:r>
      <w:r w:rsidRPr="00ED79C0">
        <w:rPr>
          <w:b/>
          <w:noProof/>
        </w:rPr>
        <w:t>335</w:t>
      </w:r>
      <w:r w:rsidRPr="00ED79C0">
        <w:rPr>
          <w:noProof/>
        </w:rPr>
        <w:t>, 1610–1614, doi:10.1126/science.1215507 (2012).</w:t>
      </w:r>
    </w:p>
    <w:p w14:paraId="1E84B3E8" w14:textId="77777777" w:rsidR="00ED79C0" w:rsidRPr="00ED79C0" w:rsidRDefault="00ED79C0" w:rsidP="00ED79C0">
      <w:pPr>
        <w:pStyle w:val="EndNoteBibliography"/>
        <w:ind w:left="720" w:hanging="720"/>
        <w:rPr>
          <w:noProof/>
        </w:rPr>
      </w:pPr>
      <w:r w:rsidRPr="00ED79C0">
        <w:rPr>
          <w:noProof/>
        </w:rPr>
        <w:t>11</w:t>
      </w:r>
      <w:r w:rsidRPr="00ED79C0">
        <w:rPr>
          <w:noProof/>
        </w:rPr>
        <w:tab/>
        <w:t xml:space="preserve">Crowley, J. L., Schoene, B. &amp; Bowring, S. A. U-Pb dating of zircon in the Bishop Tuff at the millennial scale. </w:t>
      </w:r>
      <w:r w:rsidRPr="00ED79C0">
        <w:rPr>
          <w:i/>
          <w:noProof/>
        </w:rPr>
        <w:t>Geology</w:t>
      </w:r>
      <w:r w:rsidRPr="00ED79C0">
        <w:rPr>
          <w:noProof/>
        </w:rPr>
        <w:t xml:space="preserve"> </w:t>
      </w:r>
      <w:r w:rsidRPr="00ED79C0">
        <w:rPr>
          <w:b/>
          <w:noProof/>
        </w:rPr>
        <w:t>35</w:t>
      </w:r>
      <w:r w:rsidRPr="00ED79C0">
        <w:rPr>
          <w:noProof/>
        </w:rPr>
        <w:t>, 1123–1126, doi:10.1130/g24017a.1 (2007).</w:t>
      </w:r>
    </w:p>
    <w:p w14:paraId="05802696" w14:textId="77777777" w:rsidR="00ED79C0" w:rsidRPr="00ED79C0" w:rsidRDefault="00ED79C0" w:rsidP="00ED79C0">
      <w:pPr>
        <w:pStyle w:val="EndNoteBibliography"/>
        <w:ind w:left="720" w:hanging="720"/>
        <w:rPr>
          <w:noProof/>
        </w:rPr>
      </w:pPr>
      <w:r w:rsidRPr="00ED79C0">
        <w:rPr>
          <w:noProof/>
        </w:rPr>
        <w:t>12</w:t>
      </w:r>
      <w:r w:rsidRPr="00ED79C0">
        <w:rPr>
          <w:noProof/>
        </w:rPr>
        <w:tab/>
        <w:t xml:space="preserve">Ludwig, K. R. </w:t>
      </w:r>
      <w:r w:rsidRPr="00ED79C0">
        <w:rPr>
          <w:i/>
          <w:noProof/>
        </w:rPr>
        <w:t>User’s manual for Isoplot 3.00</w:t>
      </w:r>
      <w:r w:rsidRPr="00ED79C0">
        <w:rPr>
          <w:noProof/>
        </w:rPr>
        <w:t>.  (Berkley Geochronology Center, 2003).</w:t>
      </w:r>
    </w:p>
    <w:p w14:paraId="7199338D" w14:textId="77777777" w:rsidR="00ED79C0" w:rsidRPr="00ED79C0" w:rsidRDefault="00ED79C0" w:rsidP="00ED79C0">
      <w:pPr>
        <w:pStyle w:val="EndNoteBibliography"/>
        <w:ind w:left="720" w:hanging="720"/>
        <w:rPr>
          <w:noProof/>
        </w:rPr>
      </w:pPr>
      <w:r w:rsidRPr="00ED79C0">
        <w:rPr>
          <w:noProof/>
        </w:rPr>
        <w:t>13</w:t>
      </w:r>
      <w:r w:rsidRPr="00ED79C0">
        <w:rPr>
          <w:noProof/>
        </w:rPr>
        <w:tab/>
        <w:t>Offenburg, A. C. &amp; Pogson, D. J.     (Geological Survey of New South Wales, Sydney, 1973).</w:t>
      </w:r>
    </w:p>
    <w:p w14:paraId="5FFD337B" w14:textId="77777777" w:rsidR="00ED79C0" w:rsidRPr="00ED79C0" w:rsidRDefault="00ED79C0" w:rsidP="00ED79C0">
      <w:pPr>
        <w:pStyle w:val="EndNoteBibliography"/>
        <w:ind w:left="720" w:hanging="720"/>
        <w:rPr>
          <w:noProof/>
        </w:rPr>
      </w:pPr>
      <w:r w:rsidRPr="00ED79C0">
        <w:rPr>
          <w:noProof/>
        </w:rPr>
        <w:t>14</w:t>
      </w:r>
      <w:r w:rsidRPr="00ED79C0">
        <w:rPr>
          <w:noProof/>
        </w:rPr>
        <w:tab/>
        <w:t>Cranfield, L. C., Whitaker, W. G. &amp; Green, P. M.     (Geological Survey of Queensland, Brisbane, 1978).</w:t>
      </w:r>
    </w:p>
    <w:p w14:paraId="243E0F15" w14:textId="77777777" w:rsidR="00ED79C0" w:rsidRPr="00ED79C0" w:rsidRDefault="00ED79C0" w:rsidP="00ED79C0">
      <w:pPr>
        <w:pStyle w:val="EndNoteBibliography"/>
        <w:ind w:left="720" w:hanging="720"/>
        <w:rPr>
          <w:noProof/>
        </w:rPr>
      </w:pPr>
      <w:r w:rsidRPr="00ED79C0">
        <w:rPr>
          <w:noProof/>
        </w:rPr>
        <w:lastRenderedPageBreak/>
        <w:t>15</w:t>
      </w:r>
      <w:r w:rsidRPr="00ED79C0">
        <w:rPr>
          <w:noProof/>
        </w:rPr>
        <w:tab/>
        <w:t xml:space="preserve">Shaw, S. E. &amp; Flood, R. H. The New England Batholith, eastern Australia: Geochemical variations in time and space. </w:t>
      </w:r>
      <w:r w:rsidRPr="00ED79C0">
        <w:rPr>
          <w:i/>
          <w:noProof/>
        </w:rPr>
        <w:t>Journal of Geophysical Research: Solid Earth</w:t>
      </w:r>
      <w:r w:rsidRPr="00ED79C0">
        <w:rPr>
          <w:noProof/>
        </w:rPr>
        <w:t xml:space="preserve"> </w:t>
      </w:r>
      <w:r w:rsidRPr="00ED79C0">
        <w:rPr>
          <w:b/>
          <w:noProof/>
        </w:rPr>
        <w:t>86</w:t>
      </w:r>
      <w:r w:rsidRPr="00ED79C0">
        <w:rPr>
          <w:noProof/>
        </w:rPr>
        <w:t>, 10530–10544, doi:10.1029/JB086iB11p10530 (1981).</w:t>
      </w:r>
    </w:p>
    <w:p w14:paraId="500DC41D" w14:textId="77777777" w:rsidR="00ED79C0" w:rsidRPr="00ED79C0" w:rsidRDefault="00ED79C0" w:rsidP="00ED79C0">
      <w:pPr>
        <w:pStyle w:val="EndNoteBibliography"/>
        <w:ind w:left="720" w:hanging="720"/>
        <w:rPr>
          <w:noProof/>
        </w:rPr>
      </w:pPr>
      <w:r w:rsidRPr="00ED79C0">
        <w:rPr>
          <w:noProof/>
        </w:rPr>
        <w:t>16</w:t>
      </w:r>
      <w:r w:rsidRPr="00ED79C0">
        <w:rPr>
          <w:noProof/>
        </w:rPr>
        <w:tab/>
        <w:t xml:space="preserve">Barnes, R. G., Brown, R. E., Brownlow, J. W. &amp; Stroud, W. J. Late Permian volcanics in New England. </w:t>
      </w:r>
      <w:r w:rsidRPr="00ED79C0">
        <w:rPr>
          <w:i/>
          <w:noProof/>
        </w:rPr>
        <w:t>Quarterly Note of the Geological Survey of New South Wales</w:t>
      </w:r>
      <w:r w:rsidRPr="00ED79C0">
        <w:rPr>
          <w:noProof/>
        </w:rPr>
        <w:t xml:space="preserve"> </w:t>
      </w:r>
      <w:r w:rsidRPr="00ED79C0">
        <w:rPr>
          <w:b/>
          <w:noProof/>
        </w:rPr>
        <w:t>84</w:t>
      </w:r>
      <w:r w:rsidRPr="00ED79C0">
        <w:rPr>
          <w:noProof/>
        </w:rPr>
        <w:t>, 1–36 (1991).</w:t>
      </w:r>
    </w:p>
    <w:p w14:paraId="17DC233B" w14:textId="77777777" w:rsidR="00ED79C0" w:rsidRPr="00ED79C0" w:rsidRDefault="00ED79C0" w:rsidP="00ED79C0">
      <w:pPr>
        <w:pStyle w:val="EndNoteBibliography"/>
        <w:ind w:left="720" w:hanging="720"/>
        <w:rPr>
          <w:noProof/>
        </w:rPr>
      </w:pPr>
      <w:r w:rsidRPr="00ED79C0">
        <w:rPr>
          <w:noProof/>
        </w:rPr>
        <w:t>17</w:t>
      </w:r>
      <w:r w:rsidRPr="00ED79C0">
        <w:rPr>
          <w:noProof/>
        </w:rPr>
        <w:tab/>
        <w:t xml:space="preserve">Finlayson, D. M. &amp; Collins, C. D. N. Lithospheric velocity structures under the southern New England Orogen: Evidence for underplating at the Tasman Sea margin. </w:t>
      </w:r>
      <w:r w:rsidRPr="00ED79C0">
        <w:rPr>
          <w:i/>
          <w:noProof/>
        </w:rPr>
        <w:t>Australian Journal of Earth Sciences</w:t>
      </w:r>
      <w:r w:rsidRPr="00ED79C0">
        <w:rPr>
          <w:noProof/>
        </w:rPr>
        <w:t xml:space="preserve"> </w:t>
      </w:r>
      <w:r w:rsidRPr="00ED79C0">
        <w:rPr>
          <w:b/>
          <w:noProof/>
        </w:rPr>
        <w:t>40</w:t>
      </w:r>
      <w:r w:rsidRPr="00ED79C0">
        <w:rPr>
          <w:noProof/>
        </w:rPr>
        <w:t>, 141–153, doi:10.1080/08120099308728071 (1993).</w:t>
      </w:r>
    </w:p>
    <w:p w14:paraId="40646DD9" w14:textId="77777777" w:rsidR="00ED79C0" w:rsidRPr="00ED79C0" w:rsidRDefault="00ED79C0" w:rsidP="00ED79C0">
      <w:pPr>
        <w:pStyle w:val="EndNoteBibliography"/>
        <w:ind w:left="720" w:hanging="720"/>
        <w:rPr>
          <w:noProof/>
        </w:rPr>
      </w:pPr>
      <w:r w:rsidRPr="00ED79C0">
        <w:rPr>
          <w:noProof/>
        </w:rPr>
        <w:t>18</w:t>
      </w:r>
      <w:r w:rsidRPr="00ED79C0">
        <w:rPr>
          <w:noProof/>
        </w:rPr>
        <w:tab/>
        <w:t>Kohn, B.</w:t>
      </w:r>
      <w:r w:rsidRPr="00ED79C0">
        <w:rPr>
          <w:i/>
          <w:noProof/>
        </w:rPr>
        <w:t xml:space="preserve"> et al.</w:t>
      </w:r>
      <w:r w:rsidRPr="00ED79C0">
        <w:rPr>
          <w:noProof/>
        </w:rPr>
        <w:t xml:space="preserve"> Shaping the Australian crust over the last 300 million years: insights from fission track thermotectonic imaging and denudation studies of key terranes. </w:t>
      </w:r>
      <w:r w:rsidRPr="00ED79C0">
        <w:rPr>
          <w:i/>
          <w:noProof/>
        </w:rPr>
        <w:t>Australian Journal of Earth Sciences</w:t>
      </w:r>
      <w:r w:rsidRPr="00ED79C0">
        <w:rPr>
          <w:noProof/>
        </w:rPr>
        <w:t xml:space="preserve"> </w:t>
      </w:r>
      <w:r w:rsidRPr="00ED79C0">
        <w:rPr>
          <w:b/>
          <w:noProof/>
        </w:rPr>
        <w:t>49</w:t>
      </w:r>
      <w:r w:rsidRPr="00ED79C0">
        <w:rPr>
          <w:noProof/>
        </w:rPr>
        <w:t>, 697–717 (2002).</w:t>
      </w:r>
    </w:p>
    <w:p w14:paraId="45B6CCE7" w14:textId="148DA12B" w:rsidR="00ED79C0" w:rsidRPr="00ED79C0" w:rsidRDefault="00ED79C0" w:rsidP="00ED79C0">
      <w:pPr>
        <w:pStyle w:val="EndNoteBibliography"/>
        <w:ind w:left="720" w:hanging="720"/>
        <w:rPr>
          <w:noProof/>
        </w:rPr>
      </w:pPr>
      <w:r w:rsidRPr="00ED79C0">
        <w:rPr>
          <w:noProof/>
        </w:rPr>
        <w:t>19</w:t>
      </w:r>
      <w:r w:rsidRPr="00ED79C0">
        <w:rPr>
          <w:noProof/>
        </w:rPr>
        <w:tab/>
        <w:t>Milan, L. A.</w:t>
      </w:r>
      <w:r w:rsidRPr="00ED79C0">
        <w:rPr>
          <w:i/>
          <w:noProof/>
        </w:rPr>
        <w:t xml:space="preserve"> et al.</w:t>
      </w:r>
      <w:r w:rsidRPr="00ED79C0">
        <w:rPr>
          <w:noProof/>
        </w:rPr>
        <w:t xml:space="preserve"> A New Reconstruction for Permian East Gondwana Based on Zircon Data From Ophiolite of the East Australian Great Serpentinite Belt. </w:t>
      </w:r>
      <w:r w:rsidRPr="00ED79C0">
        <w:rPr>
          <w:i/>
          <w:noProof/>
        </w:rPr>
        <w:t>Geophysical Research Letters</w:t>
      </w:r>
      <w:r w:rsidRPr="00ED79C0">
        <w:rPr>
          <w:noProof/>
        </w:rPr>
        <w:t xml:space="preserve"> </w:t>
      </w:r>
      <w:r w:rsidRPr="00ED79C0">
        <w:rPr>
          <w:b/>
          <w:noProof/>
        </w:rPr>
        <w:t>48</w:t>
      </w:r>
      <w:r w:rsidRPr="00ED79C0">
        <w:rPr>
          <w:noProof/>
        </w:rPr>
        <w:t>, e2020GL090293, doi:</w:t>
      </w:r>
      <w:hyperlink r:id="rId13" w:history="1">
        <w:r w:rsidRPr="00ED79C0">
          <w:rPr>
            <w:rStyle w:val="Hyperlink"/>
            <w:noProof/>
          </w:rPr>
          <w:t>https://doi.org/10.1029/2020GL090293</w:t>
        </w:r>
      </w:hyperlink>
      <w:r w:rsidRPr="00ED79C0">
        <w:rPr>
          <w:noProof/>
        </w:rPr>
        <w:t xml:space="preserve"> (2021).</w:t>
      </w:r>
    </w:p>
    <w:p w14:paraId="3B007B12" w14:textId="28E79A61" w:rsidR="00ED79C0" w:rsidRPr="00ED79C0" w:rsidRDefault="00ED79C0" w:rsidP="00ED79C0">
      <w:pPr>
        <w:pStyle w:val="EndNoteBibliography"/>
        <w:ind w:left="720" w:hanging="720"/>
        <w:rPr>
          <w:noProof/>
        </w:rPr>
      </w:pPr>
      <w:r w:rsidRPr="00ED79C0">
        <w:rPr>
          <w:noProof/>
        </w:rPr>
        <w:t>20</w:t>
      </w:r>
      <w:r w:rsidRPr="00ED79C0">
        <w:rPr>
          <w:noProof/>
        </w:rPr>
        <w:tab/>
        <w:t xml:space="preserve">Timothy, C., Geoffrey, L. C., Nathan, R. D., Sandra, P. &amp; Adrianna, R. Orthopyroxene–omphacite- and garnet–omphacite-bearing magmatic assemblages, Breaksea Orthogneiss, New Zealand: Oxidation state controlled by high-P oxide fractionation. </w:t>
      </w:r>
      <w:r w:rsidRPr="00ED79C0">
        <w:rPr>
          <w:i/>
          <w:noProof/>
        </w:rPr>
        <w:t>Lithos</w:t>
      </w:r>
      <w:r w:rsidRPr="00ED79C0">
        <w:rPr>
          <w:noProof/>
        </w:rPr>
        <w:t xml:space="preserve"> </w:t>
      </w:r>
      <w:r w:rsidRPr="00ED79C0">
        <w:rPr>
          <w:b/>
          <w:noProof/>
        </w:rPr>
        <w:t>216-217</w:t>
      </w:r>
      <w:r w:rsidRPr="00ED79C0">
        <w:rPr>
          <w:noProof/>
        </w:rPr>
        <w:t>, 1-16, doi:</w:t>
      </w:r>
      <w:hyperlink r:id="rId14" w:history="1">
        <w:r w:rsidRPr="00ED79C0">
          <w:rPr>
            <w:rStyle w:val="Hyperlink"/>
            <w:noProof/>
          </w:rPr>
          <w:t>https://doi.org/10.1016/j.lithos.2014.11.019</w:t>
        </w:r>
      </w:hyperlink>
      <w:r w:rsidRPr="00ED79C0">
        <w:rPr>
          <w:noProof/>
        </w:rPr>
        <w:t xml:space="preserve"> (2015).</w:t>
      </w:r>
    </w:p>
    <w:p w14:paraId="07CA8A40" w14:textId="77777777" w:rsidR="00ED79C0" w:rsidRPr="00ED79C0" w:rsidRDefault="00ED79C0" w:rsidP="00ED79C0">
      <w:pPr>
        <w:pStyle w:val="EndNoteBibliography"/>
        <w:ind w:left="720" w:hanging="720"/>
        <w:rPr>
          <w:noProof/>
        </w:rPr>
      </w:pPr>
      <w:r w:rsidRPr="00ED79C0">
        <w:rPr>
          <w:noProof/>
        </w:rPr>
        <w:t>21</w:t>
      </w:r>
      <w:r w:rsidRPr="00ED79C0">
        <w:rPr>
          <w:noProof/>
        </w:rPr>
        <w:tab/>
        <w:t xml:space="preserve">Chapman, T., Clarke, G. L. &amp; Daczko, N. R. Crustal Differentiation in a Thickened Arc—Evaluating Depth Dependences. </w:t>
      </w:r>
      <w:r w:rsidRPr="00ED79C0">
        <w:rPr>
          <w:i/>
          <w:noProof/>
        </w:rPr>
        <w:t>Journal of Petrology</w:t>
      </w:r>
      <w:r w:rsidRPr="00ED79C0">
        <w:rPr>
          <w:noProof/>
        </w:rPr>
        <w:t xml:space="preserve"> </w:t>
      </w:r>
      <w:r w:rsidRPr="00ED79C0">
        <w:rPr>
          <w:b/>
          <w:noProof/>
        </w:rPr>
        <w:t>57</w:t>
      </w:r>
      <w:r w:rsidRPr="00ED79C0">
        <w:rPr>
          <w:noProof/>
        </w:rPr>
        <w:t>, 595-620, doi:10.1093/petrology/egw022 (2016).</w:t>
      </w:r>
    </w:p>
    <w:p w14:paraId="5C039A4D" w14:textId="77777777" w:rsidR="00ED79C0" w:rsidRPr="00ED79C0" w:rsidRDefault="00ED79C0" w:rsidP="00ED79C0">
      <w:pPr>
        <w:pStyle w:val="EndNoteBibliography"/>
        <w:ind w:left="720" w:hanging="720"/>
        <w:rPr>
          <w:noProof/>
        </w:rPr>
      </w:pPr>
      <w:r w:rsidRPr="00ED79C0">
        <w:rPr>
          <w:noProof/>
        </w:rPr>
        <w:t>22</w:t>
      </w:r>
      <w:r w:rsidRPr="00ED79C0">
        <w:rPr>
          <w:noProof/>
        </w:rPr>
        <w:tab/>
        <w:t xml:space="preserve">Jagoutz, O. &amp; Behn, M. D. Foundering of lower island-arc crust as an explanation for the origin of the continental Moho. </w:t>
      </w:r>
      <w:r w:rsidRPr="00ED79C0">
        <w:rPr>
          <w:i/>
          <w:noProof/>
        </w:rPr>
        <w:t>Nature</w:t>
      </w:r>
      <w:r w:rsidRPr="00ED79C0">
        <w:rPr>
          <w:noProof/>
        </w:rPr>
        <w:t xml:space="preserve"> </w:t>
      </w:r>
      <w:r w:rsidRPr="00ED79C0">
        <w:rPr>
          <w:b/>
          <w:noProof/>
        </w:rPr>
        <w:t>504</w:t>
      </w:r>
      <w:r w:rsidRPr="00ED79C0">
        <w:rPr>
          <w:noProof/>
        </w:rPr>
        <w:t>, 131-134, doi:10.1038/nature12758 (2013).</w:t>
      </w:r>
    </w:p>
    <w:p w14:paraId="7E64D772" w14:textId="77777777" w:rsidR="00ED79C0" w:rsidRPr="00ED79C0" w:rsidRDefault="00ED79C0" w:rsidP="00ED79C0">
      <w:pPr>
        <w:pStyle w:val="EndNoteBibliography"/>
        <w:ind w:left="720" w:hanging="720"/>
        <w:rPr>
          <w:noProof/>
        </w:rPr>
      </w:pPr>
      <w:r w:rsidRPr="00ED79C0">
        <w:rPr>
          <w:noProof/>
        </w:rPr>
        <w:t>23</w:t>
      </w:r>
      <w:r w:rsidRPr="00ED79C0">
        <w:rPr>
          <w:noProof/>
        </w:rPr>
        <w:tab/>
        <w:t xml:space="preserve">Chapman, J. B., Ducea, M. N., DeCelles, P. G. &amp; Profeta, L. Tracking changes in crustal thickness during orogenic evolution with Sr/Y: An example from the North American Cordillera. </w:t>
      </w:r>
      <w:r w:rsidRPr="00ED79C0">
        <w:rPr>
          <w:i/>
          <w:noProof/>
        </w:rPr>
        <w:t>Geology</w:t>
      </w:r>
      <w:r w:rsidRPr="00ED79C0">
        <w:rPr>
          <w:noProof/>
        </w:rPr>
        <w:t xml:space="preserve"> </w:t>
      </w:r>
      <w:r w:rsidRPr="00ED79C0">
        <w:rPr>
          <w:b/>
          <w:noProof/>
        </w:rPr>
        <w:t>43</w:t>
      </w:r>
      <w:r w:rsidRPr="00ED79C0">
        <w:rPr>
          <w:noProof/>
        </w:rPr>
        <w:t>, 919–922, doi:10.1130/g36996.1 (2015).</w:t>
      </w:r>
    </w:p>
    <w:p w14:paraId="3B19AC39" w14:textId="77777777" w:rsidR="00ED79C0" w:rsidRPr="00ED79C0" w:rsidRDefault="00ED79C0" w:rsidP="00ED79C0">
      <w:pPr>
        <w:pStyle w:val="EndNoteBibliography"/>
        <w:ind w:left="720" w:hanging="720"/>
        <w:rPr>
          <w:noProof/>
        </w:rPr>
      </w:pPr>
      <w:r w:rsidRPr="00ED79C0">
        <w:rPr>
          <w:noProof/>
        </w:rPr>
        <w:t>24</w:t>
      </w:r>
      <w:r w:rsidRPr="00ED79C0">
        <w:rPr>
          <w:noProof/>
        </w:rPr>
        <w:tab/>
        <w:t>Bryant, C. J. A compendium of granites of the southern new England Orogen, eastern Australia. (Geological Survey of New South Wales, Sydney, 2017).</w:t>
      </w:r>
    </w:p>
    <w:p w14:paraId="48772C50" w14:textId="7386CC29" w:rsidR="00ED79C0" w:rsidRPr="00ED79C0" w:rsidRDefault="00ED79C0" w:rsidP="00ED79C0">
      <w:pPr>
        <w:pStyle w:val="EndNoteBibliography"/>
        <w:ind w:left="720" w:hanging="720"/>
        <w:rPr>
          <w:noProof/>
        </w:rPr>
      </w:pPr>
      <w:r w:rsidRPr="00ED79C0">
        <w:rPr>
          <w:noProof/>
        </w:rPr>
        <w:lastRenderedPageBreak/>
        <w:t>25</w:t>
      </w:r>
      <w:r w:rsidRPr="00ED79C0">
        <w:rPr>
          <w:noProof/>
        </w:rPr>
        <w:tab/>
        <w:t xml:space="preserve">Phillips, G., Landenberger, B. &amp; Belousova, E. A. Building the New England Batholith, eastern Australia—Linking granite petrogenesis with geodynamic setting using Hf isotopes in zircon. </w:t>
      </w:r>
      <w:r w:rsidRPr="00ED79C0">
        <w:rPr>
          <w:i/>
          <w:noProof/>
        </w:rPr>
        <w:t>Lithos</w:t>
      </w:r>
      <w:r w:rsidRPr="00ED79C0">
        <w:rPr>
          <w:noProof/>
        </w:rPr>
        <w:t xml:space="preserve"> </w:t>
      </w:r>
      <w:r w:rsidRPr="00ED79C0">
        <w:rPr>
          <w:b/>
          <w:noProof/>
        </w:rPr>
        <w:t>122</w:t>
      </w:r>
      <w:r w:rsidRPr="00ED79C0">
        <w:rPr>
          <w:noProof/>
        </w:rPr>
        <w:t>, 1–12, doi:</w:t>
      </w:r>
      <w:hyperlink r:id="rId15" w:history="1">
        <w:r w:rsidRPr="00ED79C0">
          <w:rPr>
            <w:rStyle w:val="Hyperlink"/>
            <w:noProof/>
          </w:rPr>
          <w:t>https://doi.org/10.1016/j.lithos.2010.11.005</w:t>
        </w:r>
      </w:hyperlink>
      <w:r w:rsidRPr="00ED79C0">
        <w:rPr>
          <w:noProof/>
        </w:rPr>
        <w:t xml:space="preserve"> (2011).</w:t>
      </w:r>
    </w:p>
    <w:p w14:paraId="1ECB5DC8" w14:textId="77777777" w:rsidR="00ED79C0" w:rsidRPr="00ED79C0" w:rsidRDefault="00ED79C0" w:rsidP="00ED79C0">
      <w:pPr>
        <w:pStyle w:val="EndNoteBibliography"/>
        <w:ind w:left="720" w:hanging="720"/>
        <w:rPr>
          <w:noProof/>
        </w:rPr>
      </w:pPr>
      <w:r w:rsidRPr="00ED79C0">
        <w:rPr>
          <w:noProof/>
        </w:rPr>
        <w:t>26</w:t>
      </w:r>
      <w:r w:rsidRPr="00ED79C0">
        <w:rPr>
          <w:noProof/>
        </w:rPr>
        <w:tab/>
        <w:t xml:space="preserve">Shaw, S., Flood, R. &amp; Pearson, N. The New England Batholith of eastern Australia: Evidence of silicic magma mixing from zircon 176Hf/177Hf ratios. </w:t>
      </w:r>
      <w:r w:rsidRPr="00ED79C0">
        <w:rPr>
          <w:i/>
          <w:noProof/>
        </w:rPr>
        <w:t>Lithos</w:t>
      </w:r>
      <w:r w:rsidRPr="00ED79C0">
        <w:rPr>
          <w:noProof/>
        </w:rPr>
        <w:t xml:space="preserve"> </w:t>
      </w:r>
      <w:r w:rsidRPr="00ED79C0">
        <w:rPr>
          <w:b/>
          <w:noProof/>
        </w:rPr>
        <w:t>126</w:t>
      </w:r>
      <w:r w:rsidRPr="00ED79C0">
        <w:rPr>
          <w:noProof/>
        </w:rPr>
        <w:t>, 115–126 (2011).</w:t>
      </w:r>
    </w:p>
    <w:p w14:paraId="508AEA42" w14:textId="77777777" w:rsidR="00ED79C0" w:rsidRPr="00ED79C0" w:rsidRDefault="00ED79C0" w:rsidP="00ED79C0">
      <w:pPr>
        <w:pStyle w:val="EndNoteBibliography"/>
        <w:ind w:left="720" w:hanging="720"/>
        <w:rPr>
          <w:noProof/>
        </w:rPr>
      </w:pPr>
      <w:r w:rsidRPr="00ED79C0">
        <w:rPr>
          <w:noProof/>
        </w:rPr>
        <w:t>27</w:t>
      </w:r>
      <w:r w:rsidRPr="00ED79C0">
        <w:rPr>
          <w:noProof/>
        </w:rPr>
        <w:tab/>
        <w:t xml:space="preserve">Kemp, A., Hawkesworth, C., Collins, W., Gray, C. &amp; Blevin, P. Isotopic evidence for rapid continental growth in an extensional accretionary orogen: The Tasmanides, eastern Australia. </w:t>
      </w:r>
      <w:r w:rsidRPr="00ED79C0">
        <w:rPr>
          <w:i/>
          <w:noProof/>
        </w:rPr>
        <w:t>Earth and Planetary Science Letters</w:t>
      </w:r>
      <w:r w:rsidRPr="00ED79C0">
        <w:rPr>
          <w:noProof/>
        </w:rPr>
        <w:t xml:space="preserve"> </w:t>
      </w:r>
      <w:r w:rsidRPr="00ED79C0">
        <w:rPr>
          <w:b/>
          <w:noProof/>
        </w:rPr>
        <w:t>284</w:t>
      </w:r>
      <w:r w:rsidRPr="00ED79C0">
        <w:rPr>
          <w:noProof/>
        </w:rPr>
        <w:t>, 455–466 (2009).</w:t>
      </w:r>
    </w:p>
    <w:p w14:paraId="3333F367" w14:textId="77777777" w:rsidR="00ED79C0" w:rsidRPr="00ED79C0" w:rsidRDefault="00ED79C0" w:rsidP="00ED79C0">
      <w:pPr>
        <w:pStyle w:val="EndNoteBibliography"/>
        <w:ind w:left="720" w:hanging="720"/>
        <w:rPr>
          <w:noProof/>
        </w:rPr>
      </w:pPr>
      <w:r w:rsidRPr="00ED79C0">
        <w:rPr>
          <w:noProof/>
        </w:rPr>
        <w:t>28</w:t>
      </w:r>
      <w:r w:rsidRPr="00ED79C0">
        <w:rPr>
          <w:noProof/>
        </w:rPr>
        <w:tab/>
        <w:t>Anderson, J. R., Fraser, G. L., McLennan, S. M. &amp; Lewis, C. J. A U–Pb geochronology compilation for northern Australia. Report No. 2017/22, (Geoscience Australia, 2017).</w:t>
      </w:r>
    </w:p>
    <w:p w14:paraId="1D6A1FD7" w14:textId="77777777" w:rsidR="00ED79C0" w:rsidRPr="00ED79C0" w:rsidRDefault="00ED79C0" w:rsidP="00ED79C0">
      <w:pPr>
        <w:pStyle w:val="EndNoteBibliography"/>
        <w:ind w:left="720" w:hanging="720"/>
        <w:rPr>
          <w:noProof/>
        </w:rPr>
      </w:pPr>
      <w:r w:rsidRPr="00ED79C0">
        <w:rPr>
          <w:noProof/>
        </w:rPr>
        <w:t>29</w:t>
      </w:r>
      <w:r w:rsidRPr="00ED79C0">
        <w:rPr>
          <w:noProof/>
        </w:rPr>
        <w:tab/>
        <w:t xml:space="preserve">Belousova, E. A., Griffin, W. L. &amp; O'Reilly, S. Y. Zircon Crystal Morphology, Trace Element Signatures and Hf Isotope Composition as a Tool for Petrogenetic Modelling: Examples From Eastern Australian Granitoids. </w:t>
      </w:r>
      <w:r w:rsidRPr="00ED79C0">
        <w:rPr>
          <w:i/>
          <w:noProof/>
        </w:rPr>
        <w:t>Journal of Petrology</w:t>
      </w:r>
      <w:r w:rsidRPr="00ED79C0">
        <w:rPr>
          <w:noProof/>
        </w:rPr>
        <w:t xml:space="preserve"> </w:t>
      </w:r>
      <w:r w:rsidRPr="00ED79C0">
        <w:rPr>
          <w:b/>
          <w:noProof/>
        </w:rPr>
        <w:t>47</w:t>
      </w:r>
      <w:r w:rsidRPr="00ED79C0">
        <w:rPr>
          <w:noProof/>
        </w:rPr>
        <w:t>, 329–353, doi:10.1093/petrology/egi077 (2005).</w:t>
      </w:r>
    </w:p>
    <w:p w14:paraId="79C553A4" w14:textId="77777777" w:rsidR="00ED79C0" w:rsidRPr="00ED79C0" w:rsidRDefault="00ED79C0" w:rsidP="00ED79C0">
      <w:pPr>
        <w:pStyle w:val="EndNoteBibliography"/>
        <w:ind w:left="720" w:hanging="720"/>
        <w:rPr>
          <w:noProof/>
        </w:rPr>
      </w:pPr>
      <w:r w:rsidRPr="00ED79C0">
        <w:rPr>
          <w:noProof/>
        </w:rPr>
        <w:t>30</w:t>
      </w:r>
      <w:r w:rsidRPr="00ED79C0">
        <w:rPr>
          <w:noProof/>
        </w:rPr>
        <w:tab/>
        <w:t>Bodorkos, S.</w:t>
      </w:r>
      <w:r w:rsidRPr="00ED79C0">
        <w:rPr>
          <w:i/>
          <w:noProof/>
        </w:rPr>
        <w:t xml:space="preserve"> et al.</w:t>
      </w:r>
      <w:r w:rsidRPr="00ED79C0">
        <w:rPr>
          <w:noProof/>
        </w:rPr>
        <w:t xml:space="preserve"> U–Pb ages from the central Lachlan Orogen and New England Orogen, New South Wales. Report No. Record 2016/21, (Geoscience Australia, 2016).</w:t>
      </w:r>
    </w:p>
    <w:p w14:paraId="015DBBC8" w14:textId="77777777" w:rsidR="00ED79C0" w:rsidRPr="00ED79C0" w:rsidRDefault="00ED79C0" w:rsidP="00ED79C0">
      <w:pPr>
        <w:pStyle w:val="EndNoteBibliography"/>
        <w:ind w:left="720" w:hanging="720"/>
        <w:rPr>
          <w:noProof/>
        </w:rPr>
      </w:pPr>
      <w:r w:rsidRPr="00ED79C0">
        <w:rPr>
          <w:noProof/>
        </w:rPr>
        <w:t>31</w:t>
      </w:r>
      <w:r w:rsidRPr="00ED79C0">
        <w:rPr>
          <w:noProof/>
        </w:rPr>
        <w:tab/>
        <w:t xml:space="preserve">Cawood, P. A., Pisarevsky, S. A. &amp; Leitch, E. C. Unraveling the New England orocline, east Gondwana accretionary margin. </w:t>
      </w:r>
      <w:r w:rsidRPr="00ED79C0">
        <w:rPr>
          <w:i/>
          <w:noProof/>
        </w:rPr>
        <w:t>Tectonics</w:t>
      </w:r>
      <w:r w:rsidRPr="00ED79C0">
        <w:rPr>
          <w:noProof/>
        </w:rPr>
        <w:t xml:space="preserve"> </w:t>
      </w:r>
      <w:r w:rsidRPr="00ED79C0">
        <w:rPr>
          <w:b/>
          <w:noProof/>
        </w:rPr>
        <w:t>30</w:t>
      </w:r>
      <w:r w:rsidRPr="00ED79C0">
        <w:rPr>
          <w:noProof/>
        </w:rPr>
        <w:t>, doi:10.1029/2011tc002864 (2011).</w:t>
      </w:r>
    </w:p>
    <w:p w14:paraId="2EF2A307" w14:textId="77777777" w:rsidR="00ED79C0" w:rsidRPr="00ED79C0" w:rsidRDefault="00ED79C0" w:rsidP="00ED79C0">
      <w:pPr>
        <w:pStyle w:val="EndNoteBibliography"/>
        <w:ind w:left="720" w:hanging="720"/>
        <w:rPr>
          <w:noProof/>
        </w:rPr>
      </w:pPr>
      <w:r w:rsidRPr="00ED79C0">
        <w:rPr>
          <w:noProof/>
        </w:rPr>
        <w:t>32</w:t>
      </w:r>
      <w:r w:rsidRPr="00ED79C0">
        <w:rPr>
          <w:noProof/>
        </w:rPr>
        <w:tab/>
        <w:t>Chisholm, E. I., Blevin, P. L. &amp; Simpson, C. J. New SHRIMP U–Pb zircon ages from the New England Orogen, New South Wales: July 2012–June 2014. Report No. Record 2014/13, (Geoscience Australia, 2014).</w:t>
      </w:r>
    </w:p>
    <w:p w14:paraId="1A2A3D94" w14:textId="77777777" w:rsidR="00ED79C0" w:rsidRPr="00ED79C0" w:rsidRDefault="00ED79C0" w:rsidP="00ED79C0">
      <w:pPr>
        <w:pStyle w:val="EndNoteBibliography"/>
        <w:ind w:left="720" w:hanging="720"/>
        <w:rPr>
          <w:noProof/>
        </w:rPr>
      </w:pPr>
      <w:r w:rsidRPr="00ED79C0">
        <w:rPr>
          <w:noProof/>
        </w:rPr>
        <w:t>33</w:t>
      </w:r>
      <w:r w:rsidRPr="00ED79C0">
        <w:rPr>
          <w:noProof/>
        </w:rPr>
        <w:tab/>
        <w:t>Chisholm, E. I., Blevin, P. L. &amp; Simpson, C. J. New SHRIMP U–Pb zircon ages from the New England Orogen, New South Wales:July 2010–June 2012. Report No. Record 2014/13, (Geoscience Australia, 2014).</w:t>
      </w:r>
    </w:p>
    <w:p w14:paraId="0A7566D1" w14:textId="77777777" w:rsidR="00ED79C0" w:rsidRPr="00ED79C0" w:rsidRDefault="00ED79C0" w:rsidP="00ED79C0">
      <w:pPr>
        <w:pStyle w:val="EndNoteBibliography"/>
        <w:ind w:left="720" w:hanging="720"/>
        <w:rPr>
          <w:noProof/>
        </w:rPr>
      </w:pPr>
      <w:r w:rsidRPr="00ED79C0">
        <w:rPr>
          <w:noProof/>
        </w:rPr>
        <w:t>34</w:t>
      </w:r>
      <w:r w:rsidRPr="00ED79C0">
        <w:rPr>
          <w:noProof/>
        </w:rPr>
        <w:tab/>
        <w:t xml:space="preserve">Chisholm, E.-K. I., Simpson, C. &amp; Blevin, P. </w:t>
      </w:r>
      <w:r w:rsidRPr="00ED79C0">
        <w:rPr>
          <w:i/>
          <w:noProof/>
        </w:rPr>
        <w:t>New SHRIMP U–Pb Zircon Ages from the New England Orogen, New South Wales: July 2010-June 2012</w:t>
      </w:r>
      <w:r w:rsidRPr="00ED79C0">
        <w:rPr>
          <w:noProof/>
        </w:rPr>
        <w:t>.  (Geoscience Australia, 2014).</w:t>
      </w:r>
    </w:p>
    <w:p w14:paraId="53FA54F1" w14:textId="77777777" w:rsidR="00ED79C0" w:rsidRPr="00ED79C0" w:rsidRDefault="00ED79C0" w:rsidP="00ED79C0">
      <w:pPr>
        <w:pStyle w:val="EndNoteBibliography"/>
        <w:ind w:left="720" w:hanging="720"/>
        <w:rPr>
          <w:noProof/>
        </w:rPr>
      </w:pPr>
      <w:r w:rsidRPr="00ED79C0">
        <w:rPr>
          <w:noProof/>
        </w:rPr>
        <w:lastRenderedPageBreak/>
        <w:t>35</w:t>
      </w:r>
      <w:r w:rsidRPr="00ED79C0">
        <w:rPr>
          <w:noProof/>
        </w:rPr>
        <w:tab/>
        <w:t>Cross, A. &amp; Blevin, P. L. Summary of results for the joint GSNSW–GA geochronology project. Report No. Record GS2013/0426, (Geoscience Australia, 2013).</w:t>
      </w:r>
    </w:p>
    <w:p w14:paraId="1F740F26" w14:textId="77777777" w:rsidR="00ED79C0" w:rsidRPr="00ED79C0" w:rsidRDefault="00ED79C0" w:rsidP="00ED79C0">
      <w:pPr>
        <w:pStyle w:val="EndNoteBibliography"/>
        <w:ind w:left="720" w:hanging="720"/>
        <w:rPr>
          <w:noProof/>
        </w:rPr>
      </w:pPr>
      <w:r w:rsidRPr="00ED79C0">
        <w:rPr>
          <w:noProof/>
        </w:rPr>
        <w:t>36</w:t>
      </w:r>
      <w:r w:rsidRPr="00ED79C0">
        <w:rPr>
          <w:noProof/>
        </w:rPr>
        <w:tab/>
        <w:t xml:space="preserve">Craven, S. J., Daczko, N. R. &amp; Halpin, J. A. Thermal gradient and timing of high-T–low-P metamorphism in the Wongwibinda Metamorphic Complex, southern New England Orogen, Australia. </w:t>
      </w:r>
      <w:r w:rsidRPr="00ED79C0">
        <w:rPr>
          <w:i/>
          <w:noProof/>
        </w:rPr>
        <w:t>Journal of Metamorphic Geology</w:t>
      </w:r>
      <w:r w:rsidRPr="00ED79C0">
        <w:rPr>
          <w:noProof/>
        </w:rPr>
        <w:t xml:space="preserve"> </w:t>
      </w:r>
      <w:r w:rsidRPr="00ED79C0">
        <w:rPr>
          <w:b/>
          <w:noProof/>
        </w:rPr>
        <w:t>30</w:t>
      </w:r>
      <w:r w:rsidRPr="00ED79C0">
        <w:rPr>
          <w:noProof/>
        </w:rPr>
        <w:t>, 3–20, doi:10.1111/j.1525-1314.2011.00949.x (2012).</w:t>
      </w:r>
    </w:p>
    <w:p w14:paraId="405B5848" w14:textId="77777777" w:rsidR="00ED79C0" w:rsidRPr="00ED79C0" w:rsidRDefault="00ED79C0" w:rsidP="00ED79C0">
      <w:pPr>
        <w:pStyle w:val="EndNoteBibliography"/>
        <w:ind w:left="720" w:hanging="720"/>
        <w:rPr>
          <w:noProof/>
        </w:rPr>
      </w:pPr>
      <w:r w:rsidRPr="00ED79C0">
        <w:rPr>
          <w:noProof/>
        </w:rPr>
        <w:t>37</w:t>
      </w:r>
      <w:r w:rsidRPr="00ED79C0">
        <w:rPr>
          <w:noProof/>
        </w:rPr>
        <w:tab/>
        <w:t>Black, L. P. U–Pb zircon ages obtained during 2006/07 for NSW Geological Survey projects. (Geoscience Australia, 2007).</w:t>
      </w:r>
    </w:p>
    <w:p w14:paraId="3D620B13" w14:textId="77777777" w:rsidR="00ED79C0" w:rsidRPr="00ED79C0" w:rsidRDefault="00ED79C0" w:rsidP="00ED79C0">
      <w:pPr>
        <w:pStyle w:val="EndNoteBibliography"/>
        <w:ind w:left="720" w:hanging="720"/>
        <w:rPr>
          <w:noProof/>
        </w:rPr>
      </w:pPr>
      <w:r w:rsidRPr="00ED79C0">
        <w:rPr>
          <w:noProof/>
        </w:rPr>
        <w:t>38</w:t>
      </w:r>
      <w:r w:rsidRPr="00ED79C0">
        <w:rPr>
          <w:noProof/>
        </w:rPr>
        <w:tab/>
        <w:t xml:space="preserve">Rosenbaum, G., Li, P. &amp; Rubatto, D. The contorted New England Orogen (eastern Australia): New evidence from U-Pb geochronology of early Permian granitoids. </w:t>
      </w:r>
      <w:r w:rsidRPr="00ED79C0">
        <w:rPr>
          <w:i/>
          <w:noProof/>
        </w:rPr>
        <w:t>Tectonics</w:t>
      </w:r>
      <w:r w:rsidRPr="00ED79C0">
        <w:rPr>
          <w:noProof/>
        </w:rPr>
        <w:t xml:space="preserve"> </w:t>
      </w:r>
      <w:r w:rsidRPr="00ED79C0">
        <w:rPr>
          <w:b/>
          <w:noProof/>
        </w:rPr>
        <w:t>31</w:t>
      </w:r>
      <w:r w:rsidRPr="00ED79C0">
        <w:rPr>
          <w:noProof/>
        </w:rPr>
        <w:t>, doi:10.1029/2011tc002960 (2012).</w:t>
      </w:r>
    </w:p>
    <w:p w14:paraId="4B640415" w14:textId="77777777" w:rsidR="00ED79C0" w:rsidRPr="00ED79C0" w:rsidRDefault="00ED79C0" w:rsidP="00ED79C0">
      <w:pPr>
        <w:pStyle w:val="EndNoteBibliography"/>
        <w:ind w:left="720" w:hanging="720"/>
        <w:rPr>
          <w:noProof/>
        </w:rPr>
      </w:pPr>
      <w:r w:rsidRPr="00ED79C0">
        <w:rPr>
          <w:noProof/>
        </w:rPr>
        <w:t>39</w:t>
      </w:r>
      <w:r w:rsidRPr="00ED79C0">
        <w:rPr>
          <w:noProof/>
        </w:rPr>
        <w:tab/>
        <w:t>Walthenberg, K., Blevin, P. L., Bull, K. F., Cronin, D. E. &amp; Armistead, S. E. New SHRIMP U–Pb zircon ages from the Lachland Orogen and the New England Orogen, New South Wales: mineral systems projects, July 2015–June 2016. Report No. Record 2016/28, (Geoscience Australia, 2016).</w:t>
      </w:r>
    </w:p>
    <w:p w14:paraId="02570716" w14:textId="77777777" w:rsidR="00ED79C0" w:rsidRPr="00ED79C0" w:rsidRDefault="00ED79C0" w:rsidP="00ED79C0">
      <w:pPr>
        <w:pStyle w:val="EndNoteBibliography"/>
        <w:ind w:left="720" w:hanging="720"/>
        <w:rPr>
          <w:noProof/>
        </w:rPr>
      </w:pPr>
      <w:r w:rsidRPr="00ED79C0">
        <w:rPr>
          <w:noProof/>
        </w:rPr>
        <w:t>40</w:t>
      </w:r>
      <w:r w:rsidRPr="00ED79C0">
        <w:rPr>
          <w:noProof/>
        </w:rPr>
        <w:tab/>
        <w:t>Walthenberg, K., Blevin, P. L., Bodorkos, S. &amp; Cronin, D. E. New SHRIMP U–Pb ages from the New England Orogen, New South Wales: July 2014–June 2015. Report No. Record 2015/28, (Geoscience Australia, 2015).</w:t>
      </w:r>
    </w:p>
    <w:p w14:paraId="21E52BF8" w14:textId="5C285AC8" w:rsidR="00ED79C0" w:rsidRPr="00ED79C0" w:rsidRDefault="00ED79C0" w:rsidP="00ED79C0">
      <w:pPr>
        <w:pStyle w:val="EndNoteBibliography"/>
        <w:ind w:left="720" w:hanging="720"/>
        <w:rPr>
          <w:noProof/>
        </w:rPr>
      </w:pPr>
      <w:r w:rsidRPr="00ED79C0">
        <w:rPr>
          <w:noProof/>
        </w:rPr>
        <w:t>41</w:t>
      </w:r>
      <w:r w:rsidRPr="00ED79C0">
        <w:rPr>
          <w:noProof/>
        </w:rPr>
        <w:tab/>
        <w:t xml:space="preserve">Jeon, H., Williams, I. S. &amp; Chappell, B. W. Magma to mud to magma: Rapid crustal recycling by Permian granite magmatism near the eastern Gondwana margin. </w:t>
      </w:r>
      <w:r w:rsidRPr="00ED79C0">
        <w:rPr>
          <w:i/>
          <w:noProof/>
        </w:rPr>
        <w:t>Earth and Planetary Science Letters</w:t>
      </w:r>
      <w:r w:rsidRPr="00ED79C0">
        <w:rPr>
          <w:noProof/>
        </w:rPr>
        <w:t xml:space="preserve"> </w:t>
      </w:r>
      <w:r w:rsidRPr="00ED79C0">
        <w:rPr>
          <w:b/>
          <w:noProof/>
        </w:rPr>
        <w:t>319-320</w:t>
      </w:r>
      <w:r w:rsidRPr="00ED79C0">
        <w:rPr>
          <w:noProof/>
        </w:rPr>
        <w:t>, 104–117, doi:</w:t>
      </w:r>
      <w:hyperlink r:id="rId16" w:history="1">
        <w:r w:rsidRPr="00ED79C0">
          <w:rPr>
            <w:rStyle w:val="Hyperlink"/>
            <w:noProof/>
          </w:rPr>
          <w:t>https://doi.org/10.1016/j.epsl.2011.12.010</w:t>
        </w:r>
      </w:hyperlink>
      <w:r w:rsidRPr="00ED79C0">
        <w:rPr>
          <w:noProof/>
        </w:rPr>
        <w:t xml:space="preserve"> (2012).</w:t>
      </w:r>
    </w:p>
    <w:p w14:paraId="4A170C88" w14:textId="77777777" w:rsidR="00ED79C0" w:rsidRPr="00ED79C0" w:rsidRDefault="00ED79C0" w:rsidP="00ED79C0">
      <w:pPr>
        <w:pStyle w:val="EndNoteBibliography"/>
        <w:ind w:left="720" w:hanging="720"/>
        <w:rPr>
          <w:noProof/>
        </w:rPr>
      </w:pPr>
      <w:r w:rsidRPr="00ED79C0">
        <w:rPr>
          <w:noProof/>
        </w:rPr>
        <w:t>42</w:t>
      </w:r>
      <w:r w:rsidRPr="00ED79C0">
        <w:rPr>
          <w:noProof/>
        </w:rPr>
        <w:tab/>
        <w:t>Alroy, J.</w:t>
      </w:r>
      <w:r w:rsidRPr="00ED79C0">
        <w:rPr>
          <w:i/>
          <w:noProof/>
        </w:rPr>
        <w:t xml:space="preserve"> et al.</w:t>
      </w:r>
      <w:r w:rsidRPr="00ED79C0">
        <w:rPr>
          <w:noProof/>
        </w:rPr>
        <w:t xml:space="preserve"> Phanerozoic trends in the global diversity of marine invertebrates. </w:t>
      </w:r>
      <w:r w:rsidRPr="00ED79C0">
        <w:rPr>
          <w:i/>
          <w:noProof/>
        </w:rPr>
        <w:t>Science</w:t>
      </w:r>
      <w:r w:rsidRPr="00ED79C0">
        <w:rPr>
          <w:noProof/>
        </w:rPr>
        <w:t xml:space="preserve"> </w:t>
      </w:r>
      <w:r w:rsidRPr="00ED79C0">
        <w:rPr>
          <w:b/>
          <w:noProof/>
        </w:rPr>
        <w:t>321</w:t>
      </w:r>
      <w:r w:rsidRPr="00ED79C0">
        <w:rPr>
          <w:noProof/>
        </w:rPr>
        <w:t>, 97–100 (2008).</w:t>
      </w:r>
    </w:p>
    <w:p w14:paraId="33D4DEE0" w14:textId="6FD499A4" w:rsidR="0064238E" w:rsidRDefault="00BA5048" w:rsidP="00BA5048">
      <w:r>
        <w:fldChar w:fldCharType="end"/>
      </w:r>
    </w:p>
    <w:sectPr w:rsidR="0064238E" w:rsidSect="00D47E8E">
      <w:pgSz w:w="11900" w:h="16840"/>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w:altName w:val="Times"/>
    <w:panose1 w:val="0200050000000000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7A1107C"/>
    <w:multiLevelType w:val="hybridMultilevel"/>
    <w:tmpl w:val="9830F1C2"/>
    <w:lvl w:ilvl="0" w:tplc="F1DC0C42">
      <w:start w:val="44"/>
      <w:numFmt w:val="decimal"/>
      <w:lvlText w:val="%1."/>
      <w:lvlJc w:val="left"/>
      <w:pPr>
        <w:ind w:left="720" w:hanging="360"/>
      </w:pPr>
      <w:rPr>
        <w:rFonts w:hint="default"/>
      </w:rPr>
    </w:lvl>
    <w:lvl w:ilvl="1" w:tplc="04090019" w:tentative="1">
      <w:start w:val="1"/>
      <w:numFmt w:val="lowerLetter"/>
      <w:lvlText w:val="%2."/>
      <w:lvlJc w:val="left"/>
      <w:pPr>
        <w:ind w:left="1146" w:hanging="360"/>
      </w:pPr>
    </w:lvl>
    <w:lvl w:ilvl="2" w:tplc="0409001B" w:tentative="1">
      <w:start w:val="1"/>
      <w:numFmt w:val="lowerRoman"/>
      <w:lvlText w:val="%3."/>
      <w:lvlJc w:val="right"/>
      <w:pPr>
        <w:ind w:left="1866" w:hanging="180"/>
      </w:pPr>
    </w:lvl>
    <w:lvl w:ilvl="3" w:tplc="0409000F" w:tentative="1">
      <w:start w:val="1"/>
      <w:numFmt w:val="decimal"/>
      <w:lvlText w:val="%4."/>
      <w:lvlJc w:val="left"/>
      <w:pPr>
        <w:ind w:left="2586" w:hanging="360"/>
      </w:pPr>
    </w:lvl>
    <w:lvl w:ilvl="4" w:tplc="04090019" w:tentative="1">
      <w:start w:val="1"/>
      <w:numFmt w:val="lowerLetter"/>
      <w:lvlText w:val="%5."/>
      <w:lvlJc w:val="left"/>
      <w:pPr>
        <w:ind w:left="3306" w:hanging="360"/>
      </w:pPr>
    </w:lvl>
    <w:lvl w:ilvl="5" w:tplc="0409001B" w:tentative="1">
      <w:start w:val="1"/>
      <w:numFmt w:val="lowerRoman"/>
      <w:lvlText w:val="%6."/>
      <w:lvlJc w:val="right"/>
      <w:pPr>
        <w:ind w:left="4026" w:hanging="180"/>
      </w:pPr>
    </w:lvl>
    <w:lvl w:ilvl="6" w:tplc="0409000F" w:tentative="1">
      <w:start w:val="1"/>
      <w:numFmt w:val="decimal"/>
      <w:lvlText w:val="%7."/>
      <w:lvlJc w:val="left"/>
      <w:pPr>
        <w:ind w:left="4746" w:hanging="360"/>
      </w:pPr>
    </w:lvl>
    <w:lvl w:ilvl="7" w:tplc="04090019" w:tentative="1">
      <w:start w:val="1"/>
      <w:numFmt w:val="lowerLetter"/>
      <w:lvlText w:val="%8."/>
      <w:lvlJc w:val="left"/>
      <w:pPr>
        <w:ind w:left="5466" w:hanging="360"/>
      </w:pPr>
    </w:lvl>
    <w:lvl w:ilvl="8" w:tplc="0409001B" w:tentative="1">
      <w:start w:val="1"/>
      <w:numFmt w:val="lowerRoman"/>
      <w:lvlText w:val="%9."/>
      <w:lvlJc w:val="right"/>
      <w:pPr>
        <w:ind w:left="618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1&lt;/LineSpacing&gt;&lt;SpaceAfter&gt;0&lt;/SpaceAfter&gt;&lt;HyperlinksEnabled&gt;0&lt;/HyperlinksEnabled&gt;&lt;HyperlinksVisible&gt;0&lt;/HyperlinksVisible&gt;&lt;EnableBibliographyCategories&gt;0&lt;/EnableBibliographyCategories&gt;&lt;/ENLayout&gt;"/>
    <w:docVar w:name="EN.Libraries" w:val="&lt;Libraries&gt;&lt;item db-id=&quot;epdfw2r9qt2dr1ep59j5sss0pr0vapa9rsfd&quot;&gt;Wandsworths Flare Up&lt;record-ids&gt;&lt;item&gt;3&lt;/item&gt;&lt;item&gt;4&lt;/item&gt;&lt;item&gt;5&lt;/item&gt;&lt;item&gt;14&lt;/item&gt;&lt;item&gt;36&lt;/item&gt;&lt;item&gt;55&lt;/item&gt;&lt;item&gt;57&lt;/item&gt;&lt;item&gt;58&lt;/item&gt;&lt;item&gt;59&lt;/item&gt;&lt;item&gt;60&lt;/item&gt;&lt;item&gt;61&lt;/item&gt;&lt;item&gt;62&lt;/item&gt;&lt;item&gt;63&lt;/item&gt;&lt;item&gt;64&lt;/item&gt;&lt;item&gt;65&lt;/item&gt;&lt;item&gt;66&lt;/item&gt;&lt;item&gt;67&lt;/item&gt;&lt;item&gt;68&lt;/item&gt;&lt;item&gt;69&lt;/item&gt;&lt;item&gt;70&lt;/item&gt;&lt;item&gt;71&lt;/item&gt;&lt;item&gt;72&lt;/item&gt;&lt;item&gt;73&lt;/item&gt;&lt;item&gt;74&lt;/item&gt;&lt;item&gt;75&lt;/item&gt;&lt;item&gt;76&lt;/item&gt;&lt;item&gt;77&lt;/item&gt;&lt;item&gt;78&lt;/item&gt;&lt;item&gt;79&lt;/item&gt;&lt;item&gt;80&lt;/item&gt;&lt;item&gt;81&lt;/item&gt;&lt;item&gt;82&lt;/item&gt;&lt;item&gt;83&lt;/item&gt;&lt;item&gt;84&lt;/item&gt;&lt;item&gt;85&lt;/item&gt;&lt;item&gt;86&lt;/item&gt;&lt;item&gt;87&lt;/item&gt;&lt;item&gt;88&lt;/item&gt;&lt;item&gt;92&lt;/item&gt;&lt;item&gt;93&lt;/item&gt;&lt;item&gt;94&lt;/item&gt;&lt;item&gt;99&lt;/item&gt;&lt;/record-ids&gt;&lt;/item&gt;&lt;/Libraries&gt;"/>
  </w:docVars>
  <w:rsids>
    <w:rsidRoot w:val="00BA5048"/>
    <w:rsid w:val="00010C07"/>
    <w:rsid w:val="000379B8"/>
    <w:rsid w:val="00086E97"/>
    <w:rsid w:val="000E70D2"/>
    <w:rsid w:val="00110608"/>
    <w:rsid w:val="00136267"/>
    <w:rsid w:val="002E073A"/>
    <w:rsid w:val="00304187"/>
    <w:rsid w:val="0032397C"/>
    <w:rsid w:val="003D3E2E"/>
    <w:rsid w:val="003E3815"/>
    <w:rsid w:val="004A7900"/>
    <w:rsid w:val="004B31A9"/>
    <w:rsid w:val="004F48FD"/>
    <w:rsid w:val="00581787"/>
    <w:rsid w:val="005A6EB7"/>
    <w:rsid w:val="005B04EF"/>
    <w:rsid w:val="005B4A39"/>
    <w:rsid w:val="005D0CFE"/>
    <w:rsid w:val="00656A01"/>
    <w:rsid w:val="0067319D"/>
    <w:rsid w:val="00691AC6"/>
    <w:rsid w:val="008131A5"/>
    <w:rsid w:val="008A6B13"/>
    <w:rsid w:val="008D70BD"/>
    <w:rsid w:val="009A3B8D"/>
    <w:rsid w:val="00AE001B"/>
    <w:rsid w:val="00B41D66"/>
    <w:rsid w:val="00BA5048"/>
    <w:rsid w:val="00BF6215"/>
    <w:rsid w:val="00C4156D"/>
    <w:rsid w:val="00CE5D28"/>
    <w:rsid w:val="00D47E8E"/>
    <w:rsid w:val="00DB3B57"/>
    <w:rsid w:val="00DC5CEF"/>
    <w:rsid w:val="00DD1430"/>
    <w:rsid w:val="00DE35BE"/>
    <w:rsid w:val="00E1177A"/>
    <w:rsid w:val="00EA6B60"/>
    <w:rsid w:val="00EC7491"/>
    <w:rsid w:val="00ED79C0"/>
    <w:rsid w:val="00EE6C14"/>
    <w:rsid w:val="00F14FB7"/>
    <w:rsid w:val="00F673BA"/>
    <w:rsid w:val="00F810A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21450C"/>
  <w14:defaultImageDpi w14:val="32767"/>
  <w15:chartTrackingRefBased/>
  <w15:docId w15:val="{59EC6886-794B-5E46-BD15-0904D41543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BA5048"/>
    <w:rPr>
      <w:rFonts w:ascii="Times New Roman" w:eastAsia="Times New Roman" w:hAnsi="Times New Roman" w:cs="Times New Roman"/>
      <w:lang w:val="en-AU"/>
    </w:rPr>
  </w:style>
  <w:style w:type="paragraph" w:styleId="Heading2">
    <w:name w:val="heading 2"/>
    <w:basedOn w:val="Normal"/>
    <w:next w:val="Normal"/>
    <w:link w:val="Heading2Char"/>
    <w:qFormat/>
    <w:rsid w:val="00BA5048"/>
    <w:pPr>
      <w:keepNext/>
      <w:spacing w:before="240" w:after="60"/>
      <w:outlineLvl w:val="1"/>
    </w:pPr>
    <w:rPr>
      <w:b/>
      <w:i/>
      <w:szCs w:val="28"/>
      <w:lang w:val="en-US" w:eastAsia="cs-C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5048"/>
    <w:rPr>
      <w:sz w:val="18"/>
      <w:szCs w:val="18"/>
    </w:rPr>
  </w:style>
  <w:style w:type="character" w:customStyle="1" w:styleId="BalloonTextChar">
    <w:name w:val="Balloon Text Char"/>
    <w:basedOn w:val="DefaultParagraphFont"/>
    <w:link w:val="BalloonText"/>
    <w:uiPriority w:val="99"/>
    <w:semiHidden/>
    <w:rsid w:val="00BA5048"/>
    <w:rPr>
      <w:rFonts w:ascii="Times New Roman" w:hAnsi="Times New Roman" w:cs="Times New Roman"/>
      <w:sz w:val="18"/>
      <w:szCs w:val="18"/>
    </w:rPr>
  </w:style>
  <w:style w:type="character" w:customStyle="1" w:styleId="Heading2Char">
    <w:name w:val="Heading 2 Char"/>
    <w:basedOn w:val="DefaultParagraphFont"/>
    <w:link w:val="Heading2"/>
    <w:rsid w:val="00BA5048"/>
    <w:rPr>
      <w:rFonts w:ascii="Times New Roman" w:eastAsia="Times New Roman" w:hAnsi="Times New Roman" w:cs="Times New Roman"/>
      <w:b/>
      <w:i/>
      <w:szCs w:val="28"/>
      <w:lang w:val="en-US" w:eastAsia="cs-CZ"/>
    </w:rPr>
  </w:style>
  <w:style w:type="character" w:styleId="CommentReference">
    <w:name w:val="annotation reference"/>
    <w:basedOn w:val="DefaultParagraphFont"/>
    <w:uiPriority w:val="99"/>
    <w:semiHidden/>
    <w:unhideWhenUsed/>
    <w:rsid w:val="00BA5048"/>
    <w:rPr>
      <w:sz w:val="16"/>
      <w:szCs w:val="16"/>
    </w:rPr>
  </w:style>
  <w:style w:type="paragraph" w:styleId="CommentText">
    <w:name w:val="annotation text"/>
    <w:basedOn w:val="Normal"/>
    <w:link w:val="CommentTextChar"/>
    <w:uiPriority w:val="99"/>
    <w:semiHidden/>
    <w:unhideWhenUsed/>
    <w:rsid w:val="00BA5048"/>
    <w:rPr>
      <w:rFonts w:asciiTheme="minorHAnsi" w:eastAsiaTheme="minorHAnsi" w:hAnsiTheme="minorHAnsi" w:cstheme="minorBidi"/>
      <w:sz w:val="20"/>
      <w:szCs w:val="20"/>
      <w:lang w:val="en-GB"/>
    </w:rPr>
  </w:style>
  <w:style w:type="character" w:customStyle="1" w:styleId="CommentTextChar">
    <w:name w:val="Comment Text Char"/>
    <w:basedOn w:val="DefaultParagraphFont"/>
    <w:link w:val="CommentText"/>
    <w:uiPriority w:val="99"/>
    <w:semiHidden/>
    <w:rsid w:val="00BA5048"/>
    <w:rPr>
      <w:sz w:val="20"/>
      <w:szCs w:val="20"/>
    </w:rPr>
  </w:style>
  <w:style w:type="paragraph" w:styleId="ListParagraph">
    <w:name w:val="List Paragraph"/>
    <w:basedOn w:val="Normal"/>
    <w:uiPriority w:val="34"/>
    <w:qFormat/>
    <w:rsid w:val="00BA5048"/>
    <w:pPr>
      <w:ind w:left="720"/>
      <w:contextualSpacing/>
    </w:pPr>
  </w:style>
  <w:style w:type="paragraph" w:styleId="BodyText">
    <w:name w:val="Body Text"/>
    <w:basedOn w:val="Normal"/>
    <w:link w:val="BodyTextChar"/>
    <w:rsid w:val="00BA5048"/>
    <w:pPr>
      <w:spacing w:after="120"/>
    </w:pPr>
    <w:rPr>
      <w:lang w:val="en-GB" w:eastAsia="cs-CZ"/>
    </w:rPr>
  </w:style>
  <w:style w:type="character" w:customStyle="1" w:styleId="BodyTextChar">
    <w:name w:val="Body Text Char"/>
    <w:basedOn w:val="DefaultParagraphFont"/>
    <w:link w:val="BodyText"/>
    <w:rsid w:val="00BA5048"/>
    <w:rPr>
      <w:rFonts w:ascii="Times New Roman" w:eastAsia="Times New Roman" w:hAnsi="Times New Roman" w:cs="Times New Roman"/>
      <w:lang w:eastAsia="cs-CZ"/>
    </w:rPr>
  </w:style>
  <w:style w:type="character" w:styleId="Hyperlink">
    <w:name w:val="Hyperlink"/>
    <w:rsid w:val="00BA5048"/>
    <w:rPr>
      <w:color w:val="0000FF"/>
      <w:u w:val="single"/>
    </w:rPr>
  </w:style>
  <w:style w:type="paragraph" w:customStyle="1" w:styleId="EndNoteBibliographyTitle">
    <w:name w:val="EndNote Bibliography Title"/>
    <w:basedOn w:val="Normal"/>
    <w:link w:val="EndNoteBibliographyTitleChar"/>
    <w:rsid w:val="00BA5048"/>
    <w:pPr>
      <w:jc w:val="center"/>
    </w:pPr>
    <w:rPr>
      <w:lang w:val="en-US"/>
    </w:rPr>
  </w:style>
  <w:style w:type="character" w:customStyle="1" w:styleId="EndNoteBibliographyTitleChar">
    <w:name w:val="EndNote Bibliography Title Char"/>
    <w:basedOn w:val="DefaultParagraphFont"/>
    <w:link w:val="EndNoteBibliographyTitle"/>
    <w:rsid w:val="00BA5048"/>
    <w:rPr>
      <w:rFonts w:ascii="Times New Roman" w:eastAsia="Times New Roman" w:hAnsi="Times New Roman" w:cs="Times New Roman"/>
      <w:lang w:val="en-US"/>
    </w:rPr>
  </w:style>
  <w:style w:type="paragraph" w:customStyle="1" w:styleId="EndNoteBibliography">
    <w:name w:val="EndNote Bibliography"/>
    <w:basedOn w:val="Normal"/>
    <w:link w:val="EndNoteBibliographyChar"/>
    <w:rsid w:val="00BA5048"/>
    <w:pPr>
      <w:spacing w:line="360" w:lineRule="auto"/>
    </w:pPr>
    <w:rPr>
      <w:lang w:val="en-US"/>
    </w:rPr>
  </w:style>
  <w:style w:type="character" w:customStyle="1" w:styleId="EndNoteBibliographyChar">
    <w:name w:val="EndNote Bibliography Char"/>
    <w:basedOn w:val="DefaultParagraphFont"/>
    <w:link w:val="EndNoteBibliography"/>
    <w:rsid w:val="00BA5048"/>
    <w:rPr>
      <w:rFonts w:ascii="Times New Roman" w:eastAsia="Times New Roman" w:hAnsi="Times New Roman" w:cs="Times New Roman"/>
      <w:lang w:val="en-US"/>
    </w:rPr>
  </w:style>
  <w:style w:type="character" w:styleId="UnresolvedMention">
    <w:name w:val="Unresolved Mention"/>
    <w:basedOn w:val="DefaultParagraphFont"/>
    <w:uiPriority w:val="99"/>
    <w:rsid w:val="005A6EB7"/>
    <w:rPr>
      <w:color w:val="605E5C"/>
      <w:shd w:val="clear" w:color="auto" w:fill="E1DFDD"/>
    </w:rPr>
  </w:style>
  <w:style w:type="character" w:styleId="LineNumber">
    <w:name w:val="line number"/>
    <w:basedOn w:val="DefaultParagraphFont"/>
    <w:uiPriority w:val="99"/>
    <w:semiHidden/>
    <w:unhideWhenUsed/>
    <w:rsid w:val="00D47E8E"/>
  </w:style>
  <w:style w:type="paragraph" w:styleId="CommentSubject">
    <w:name w:val="annotation subject"/>
    <w:basedOn w:val="CommentText"/>
    <w:next w:val="CommentText"/>
    <w:link w:val="CommentSubjectChar"/>
    <w:uiPriority w:val="99"/>
    <w:semiHidden/>
    <w:unhideWhenUsed/>
    <w:rsid w:val="004F48FD"/>
    <w:rPr>
      <w:rFonts w:ascii="Times New Roman" w:eastAsia="Times New Roman" w:hAnsi="Times New Roman" w:cs="Times New Roman"/>
      <w:b/>
      <w:bCs/>
      <w:lang w:val="en-AU"/>
    </w:rPr>
  </w:style>
  <w:style w:type="character" w:customStyle="1" w:styleId="CommentSubjectChar">
    <w:name w:val="Comment Subject Char"/>
    <w:basedOn w:val="CommentTextChar"/>
    <w:link w:val="CommentSubject"/>
    <w:uiPriority w:val="99"/>
    <w:semiHidden/>
    <w:rsid w:val="004F48FD"/>
    <w:rPr>
      <w:rFonts w:ascii="Times New Roman" w:eastAsia="Times New Roman" w:hAnsi="Times New Roman" w:cs="Times New Roman"/>
      <w:b/>
      <w:bCs/>
      <w:sz w:val="20"/>
      <w:szCs w:val="20"/>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16/j.chemgeo.2007.11.005" TargetMode="External"/><Relationship Id="rId13" Type="http://schemas.openxmlformats.org/officeDocument/2006/relationships/hyperlink" Target="https://doi.org/10.1029/2020GL090293"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emf"/><Relationship Id="rId12" Type="http://schemas.openxmlformats.org/officeDocument/2006/relationships/hyperlink" Target="https://doi.org/10.1016/j.gca.2015.05.026"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doi.org/10.1016/j.epsl.2011.12.010" TargetMode="External"/><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hyperlink" Target="https://doi.org/10.1016/S0009-2541(96)00033-2" TargetMode="External"/><Relationship Id="rId5" Type="http://schemas.openxmlformats.org/officeDocument/2006/relationships/hyperlink" Target="https://paleobiodb.org/" TargetMode="External"/><Relationship Id="rId15" Type="http://schemas.openxmlformats.org/officeDocument/2006/relationships/hyperlink" Target="https://doi.org/10.1016/j.lithos.2010.11.005" TargetMode="External"/><Relationship Id="rId10" Type="http://schemas.openxmlformats.org/officeDocument/2006/relationships/hyperlink" Target="https://doi.org/10.1016/j.chemgeo.2005.03.011" TargetMode="External"/><Relationship Id="rId4" Type="http://schemas.openxmlformats.org/officeDocument/2006/relationships/webSettings" Target="webSettings.xml"/><Relationship Id="rId9" Type="http://schemas.openxmlformats.org/officeDocument/2006/relationships/hyperlink" Target="https://doi.org/10.1016/j.chemgeo.2005.03.011" TargetMode="External"/><Relationship Id="rId14" Type="http://schemas.openxmlformats.org/officeDocument/2006/relationships/hyperlink" Target="https://doi.org/10.1016/j.lithos.2014.11.01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124</TotalTime>
  <Pages>15</Pages>
  <Words>8528</Words>
  <Characters>48615</Characters>
  <Application>Microsoft Office Word</Application>
  <DocSecurity>0</DocSecurity>
  <Lines>405</Lines>
  <Paragraphs>114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Chapman</dc:creator>
  <cp:keywords/>
  <dc:description/>
  <cp:lastModifiedBy>Tim Chapman</cp:lastModifiedBy>
  <cp:revision>16</cp:revision>
  <dcterms:created xsi:type="dcterms:W3CDTF">2020-10-20T22:38:00Z</dcterms:created>
  <dcterms:modified xsi:type="dcterms:W3CDTF">2021-06-22T00:34:00Z</dcterms:modified>
</cp:coreProperties>
</file>