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B11C3" w14:textId="74DE12D4" w:rsidR="00F30288" w:rsidRPr="00EC2489" w:rsidRDefault="00006FC2">
      <w:pPr>
        <w:rPr>
          <w:rFonts w:ascii="Times New Roman" w:hAnsi="Times New Roman" w:cs="Times New Roman"/>
          <w:b/>
          <w:bCs/>
          <w:i/>
          <w:iCs/>
        </w:rPr>
      </w:pPr>
      <w:r w:rsidRPr="00EC2489">
        <w:rPr>
          <w:rFonts w:ascii="Times New Roman" w:hAnsi="Times New Roman" w:cs="Times New Roman"/>
          <w:b/>
          <w:bCs/>
          <w:i/>
          <w:iCs/>
        </w:rPr>
        <w:t>Project summary</w:t>
      </w:r>
    </w:p>
    <w:p w14:paraId="41E9B85A" w14:textId="77777777" w:rsidR="00006FC2" w:rsidRPr="00EC2489" w:rsidRDefault="00006FC2" w:rsidP="00006FC2">
      <w:pPr>
        <w:spacing w:line="276" w:lineRule="auto"/>
        <w:rPr>
          <w:rFonts w:ascii="Times New Roman" w:hAnsi="Times New Roman" w:cs="Times New Roman"/>
        </w:rPr>
      </w:pPr>
      <w:r w:rsidRPr="00EC2489">
        <w:rPr>
          <w:rFonts w:ascii="Times New Roman" w:hAnsi="Times New Roman" w:cs="Times New Roman"/>
        </w:rPr>
        <w:t>Postoperative pain management is an important factor for early postoperative ambulation and recovery; however, epidural analgesia requires catheter placement and could negatively affect early postoperative ambulation. Furthermore, patients undergoing anticoagulant or antiplatelet therapy to treat cerebrocardiovascular diseases, which has recently been increasing, cannot receive epidural analgesia given the risk of serious complications, including epidural hematoma. Intravenous patient-controlled analgesia (IV-PCA) with opioids is a method of pain management that allows postoperative patients to easily secure the administration route. Moreover, it can be used even in patients unable to receive epidural analgesia. However, it has an inadequate analgesic effect during coughing and body movement. Furthermore, additional bolus opioid administration could be required in uncontrolled patients, which might induce opioid-related side effects. Therefore, there is a need for a rational approach involving various treatment modalities to obtain optimal pain control and minimize opioid use. Multimodal analgesia, which combines different analgesic drug classes, is recommended for postoperative pain treatment since its synergistic effect on pain relief at lower analgesic doses. We aimed to evaluate the feasibility of IV-PCA and repeated scheduled acetaminophen administration to establish an alternative postoperative analgesia management protocol to epidural analgesia in laparoscopic colectomy.</w:t>
      </w:r>
    </w:p>
    <w:p w14:paraId="06854661" w14:textId="3E52289E" w:rsidR="00006FC2" w:rsidRPr="00EC2489" w:rsidRDefault="00006FC2">
      <w:pPr>
        <w:rPr>
          <w:rFonts w:ascii="Times New Roman" w:hAnsi="Times New Roman" w:cs="Times New Roman"/>
          <w:b/>
          <w:bCs/>
          <w:i/>
          <w:iCs/>
        </w:rPr>
      </w:pPr>
    </w:p>
    <w:p w14:paraId="70ECF9A8" w14:textId="7428B522" w:rsidR="00006FC2" w:rsidRPr="00EC2489" w:rsidRDefault="00006FC2">
      <w:pPr>
        <w:rPr>
          <w:rFonts w:ascii="Times New Roman" w:hAnsi="Times New Roman" w:cs="Times New Roman"/>
          <w:b/>
          <w:bCs/>
          <w:i/>
          <w:iCs/>
        </w:rPr>
      </w:pPr>
      <w:r w:rsidRPr="00EC2489">
        <w:rPr>
          <w:rFonts w:ascii="Times New Roman" w:hAnsi="Times New Roman" w:cs="Times New Roman"/>
          <w:b/>
          <w:bCs/>
          <w:i/>
          <w:iCs/>
        </w:rPr>
        <w:t>General information</w:t>
      </w:r>
    </w:p>
    <w:p w14:paraId="38251C9A" w14:textId="5912D74D" w:rsidR="00006FC2" w:rsidRPr="00EC2489" w:rsidRDefault="00006FC2" w:rsidP="00006FC2">
      <w:pPr>
        <w:rPr>
          <w:rFonts w:ascii="Times New Roman" w:hAnsi="Times New Roman" w:cs="Times New Roman"/>
          <w:color w:val="000000" w:themeColor="text1"/>
        </w:rPr>
      </w:pPr>
      <w:r w:rsidRPr="00EC2489">
        <w:rPr>
          <w:rFonts w:ascii="Times New Roman" w:hAnsi="Times New Roman" w:cs="Times New Roman"/>
          <w:b/>
          <w:color w:val="000000" w:themeColor="text1"/>
        </w:rPr>
        <w:t>Protocol Title:</w:t>
      </w:r>
      <w:r w:rsidRPr="00EC2489">
        <w:rPr>
          <w:rFonts w:ascii="Times New Roman" w:hAnsi="Times New Roman" w:cs="Times New Roman"/>
          <w:color w:val="000000" w:themeColor="text1"/>
        </w:rPr>
        <w:t xml:space="preserve"> </w:t>
      </w:r>
    </w:p>
    <w:p w14:paraId="02C705A2" w14:textId="77777777" w:rsidR="00006FC2" w:rsidRPr="00EC2489" w:rsidRDefault="00006FC2" w:rsidP="00006FC2">
      <w:pPr>
        <w:rPr>
          <w:rFonts w:ascii="Times New Roman" w:hAnsi="Times New Roman" w:cs="Times New Roman"/>
          <w:color w:val="000000" w:themeColor="text1"/>
        </w:rPr>
      </w:pPr>
      <w:r w:rsidRPr="00EC2489">
        <w:rPr>
          <w:rFonts w:ascii="Times New Roman" w:hAnsi="Times New Roman" w:cs="Times New Roman"/>
          <w:color w:val="000000" w:themeColor="text1"/>
        </w:rPr>
        <w:t>Phase Ⅱ clinical trial of multimodal analgesia for postoperative pain management in patients undergoing laparoscopic colorectal resection for cancer</w:t>
      </w:r>
    </w:p>
    <w:p w14:paraId="58B9D402" w14:textId="42DA931E" w:rsidR="00006FC2" w:rsidRPr="00EC2489" w:rsidRDefault="00006FC2">
      <w:pPr>
        <w:rPr>
          <w:rFonts w:ascii="Times New Roman" w:hAnsi="Times New Roman" w:cs="Times New Roman"/>
          <w:b/>
          <w:bCs/>
          <w:i/>
          <w:iCs/>
        </w:rPr>
      </w:pPr>
    </w:p>
    <w:p w14:paraId="564AC030" w14:textId="32D5B6FF" w:rsidR="00006FC2" w:rsidRPr="00EC2489" w:rsidRDefault="00006FC2">
      <w:pPr>
        <w:rPr>
          <w:rFonts w:ascii="Times New Roman" w:hAnsi="Times New Roman" w:cs="Times New Roman"/>
          <w:b/>
          <w:bCs/>
        </w:rPr>
      </w:pPr>
      <w:r w:rsidRPr="00EC2489">
        <w:rPr>
          <w:rFonts w:ascii="Times New Roman" w:hAnsi="Times New Roman" w:cs="Times New Roman"/>
          <w:b/>
          <w:bCs/>
        </w:rPr>
        <w:t>Protocol identifying number and date:</w:t>
      </w:r>
    </w:p>
    <w:p w14:paraId="651B4872" w14:textId="270A19E1" w:rsidR="00006FC2" w:rsidRPr="00EC2489" w:rsidRDefault="00006FC2">
      <w:pPr>
        <w:rPr>
          <w:rFonts w:ascii="Times New Roman" w:hAnsi="Times New Roman" w:cs="Times New Roman"/>
        </w:rPr>
      </w:pPr>
      <w:r w:rsidRPr="00EC2489">
        <w:rPr>
          <w:rFonts w:ascii="Times New Roman" w:hAnsi="Times New Roman" w:cs="Times New Roman"/>
        </w:rPr>
        <w:t>UMIN000028240, 14/07/2017 (</w:t>
      </w:r>
      <w:hyperlink r:id="rId5" w:history="1">
        <w:r w:rsidRPr="00EC2489">
          <w:rPr>
            <w:rStyle w:val="a3"/>
            <w:rFonts w:ascii="Times New Roman" w:hAnsi="Times New Roman" w:cs="Times New Roman"/>
          </w:rPr>
          <w:t>http://www.umin.ac.jp/ctr/index-j.htm</w:t>
        </w:r>
      </w:hyperlink>
      <w:r w:rsidRPr="00EC2489">
        <w:rPr>
          <w:rFonts w:ascii="Times New Roman" w:hAnsi="Times New Roman" w:cs="Times New Roman"/>
        </w:rPr>
        <w:t>)</w:t>
      </w:r>
    </w:p>
    <w:p w14:paraId="20DD72BA" w14:textId="498F902C" w:rsidR="00006FC2" w:rsidRPr="00EC2489" w:rsidRDefault="00006FC2">
      <w:pPr>
        <w:rPr>
          <w:rFonts w:ascii="Times New Roman" w:hAnsi="Times New Roman" w:cs="Times New Roman"/>
        </w:rPr>
      </w:pPr>
    </w:p>
    <w:p w14:paraId="239AD41C" w14:textId="5C20DAE5" w:rsidR="00006FC2" w:rsidRPr="00EC2489" w:rsidRDefault="00006FC2">
      <w:pPr>
        <w:rPr>
          <w:rFonts w:ascii="Times New Roman" w:hAnsi="Times New Roman" w:cs="Times New Roman"/>
          <w:b/>
          <w:bCs/>
        </w:rPr>
      </w:pPr>
      <w:r w:rsidRPr="00EC2489">
        <w:rPr>
          <w:rFonts w:ascii="Times New Roman" w:hAnsi="Times New Roman" w:cs="Times New Roman"/>
          <w:b/>
          <w:bCs/>
        </w:rPr>
        <w:t>Name and address of the sponsor/funder:</w:t>
      </w:r>
    </w:p>
    <w:p w14:paraId="737A7B13" w14:textId="50E11318" w:rsidR="00006FC2" w:rsidRPr="00EC2489" w:rsidRDefault="00006FC2">
      <w:pPr>
        <w:rPr>
          <w:rFonts w:ascii="Times New Roman" w:hAnsi="Times New Roman" w:cs="Times New Roman"/>
        </w:rPr>
      </w:pPr>
      <w:r w:rsidRPr="00EC2489">
        <w:rPr>
          <w:rFonts w:ascii="Times New Roman" w:hAnsi="Times New Roman" w:cs="Times New Roman"/>
        </w:rPr>
        <w:t>None</w:t>
      </w:r>
    </w:p>
    <w:p w14:paraId="65A67355" w14:textId="19BDCA36" w:rsidR="00006FC2" w:rsidRPr="00EC2489" w:rsidRDefault="00006FC2">
      <w:pPr>
        <w:rPr>
          <w:rFonts w:ascii="Times New Roman" w:hAnsi="Times New Roman" w:cs="Times New Roman"/>
          <w:b/>
          <w:bCs/>
        </w:rPr>
      </w:pPr>
      <w:r w:rsidRPr="00EC2489">
        <w:rPr>
          <w:rFonts w:ascii="Times New Roman" w:hAnsi="Times New Roman" w:cs="Times New Roman"/>
          <w:b/>
          <w:bCs/>
        </w:rPr>
        <w:lastRenderedPageBreak/>
        <w:t>Name and title of the investigator:</w:t>
      </w:r>
    </w:p>
    <w:p w14:paraId="67C589CF" w14:textId="386E6E0C" w:rsidR="00006FC2" w:rsidRPr="00EC2489" w:rsidRDefault="00006FC2">
      <w:pPr>
        <w:rPr>
          <w:rFonts w:ascii="Times New Roman" w:hAnsi="Times New Roman" w:cs="Times New Roman"/>
          <w:color w:val="000000" w:themeColor="text1"/>
        </w:rPr>
      </w:pPr>
      <w:r w:rsidRPr="00EC2489">
        <w:rPr>
          <w:rFonts w:ascii="Times New Roman" w:hAnsi="Times New Roman" w:cs="Times New Roman"/>
          <w:color w:val="000000" w:themeColor="text1"/>
        </w:rPr>
        <w:t>Junichiro Kawamura, PhD</w:t>
      </w:r>
    </w:p>
    <w:p w14:paraId="7F808724" w14:textId="00CD668B" w:rsidR="00006FC2" w:rsidRPr="00EC2489" w:rsidRDefault="00006FC2">
      <w:pPr>
        <w:rPr>
          <w:rFonts w:ascii="Times New Roman" w:hAnsi="Times New Roman" w:cs="Times New Roman"/>
          <w:color w:val="000000" w:themeColor="text1"/>
        </w:rPr>
      </w:pPr>
    </w:p>
    <w:p w14:paraId="62E39CB7" w14:textId="55C1CA96" w:rsidR="00006FC2" w:rsidRPr="00EC2489" w:rsidRDefault="00006FC2">
      <w:pPr>
        <w:rPr>
          <w:rFonts w:ascii="Times New Roman" w:hAnsi="Times New Roman" w:cs="Times New Roman"/>
          <w:b/>
          <w:bCs/>
        </w:rPr>
      </w:pPr>
      <w:r w:rsidRPr="00EC2489">
        <w:rPr>
          <w:rFonts w:ascii="Times New Roman" w:hAnsi="Times New Roman" w:cs="Times New Roman"/>
          <w:b/>
          <w:bCs/>
        </w:rPr>
        <w:t>The address and telephone number of the research site:</w:t>
      </w:r>
    </w:p>
    <w:p w14:paraId="6DB375CD" w14:textId="77777777" w:rsidR="00006FC2" w:rsidRPr="00EC2489" w:rsidRDefault="00006FC2" w:rsidP="00006FC2">
      <w:pPr>
        <w:rPr>
          <w:rFonts w:ascii="Times New Roman" w:hAnsi="Times New Roman" w:cs="Times New Roman"/>
        </w:rPr>
      </w:pPr>
      <w:r w:rsidRPr="00EC2489">
        <w:rPr>
          <w:rFonts w:ascii="Times New Roman" w:hAnsi="Times New Roman" w:cs="Times New Roman"/>
        </w:rPr>
        <w:t xml:space="preserve">Department of Surgery, Faculty of Medicine, </w:t>
      </w:r>
      <w:proofErr w:type="spellStart"/>
      <w:r w:rsidRPr="00EC2489">
        <w:rPr>
          <w:rFonts w:ascii="Times New Roman" w:hAnsi="Times New Roman" w:cs="Times New Roman"/>
        </w:rPr>
        <w:t>Kindai</w:t>
      </w:r>
      <w:proofErr w:type="spellEnd"/>
      <w:r w:rsidRPr="00EC2489">
        <w:rPr>
          <w:rFonts w:ascii="Times New Roman" w:hAnsi="Times New Roman" w:cs="Times New Roman"/>
        </w:rPr>
        <w:t xml:space="preserve"> University </w:t>
      </w:r>
    </w:p>
    <w:p w14:paraId="3D6B3953" w14:textId="6A12C8EF" w:rsidR="00006FC2" w:rsidRPr="00EC2489" w:rsidRDefault="00006FC2" w:rsidP="00006FC2">
      <w:pPr>
        <w:rPr>
          <w:rFonts w:ascii="Times New Roman" w:hAnsi="Times New Roman" w:cs="Times New Roman"/>
        </w:rPr>
      </w:pPr>
      <w:r w:rsidRPr="00EC2489">
        <w:rPr>
          <w:rFonts w:ascii="Times New Roman" w:hAnsi="Times New Roman" w:cs="Times New Roman"/>
        </w:rPr>
        <w:t>377-2 Ohno-Higashi, Osaka-</w:t>
      </w:r>
      <w:proofErr w:type="spellStart"/>
      <w:r w:rsidRPr="00EC2489">
        <w:rPr>
          <w:rFonts w:ascii="Times New Roman" w:hAnsi="Times New Roman" w:cs="Times New Roman"/>
        </w:rPr>
        <w:t>sayama</w:t>
      </w:r>
      <w:proofErr w:type="spellEnd"/>
      <w:r w:rsidRPr="00EC2489">
        <w:rPr>
          <w:rFonts w:ascii="Times New Roman" w:hAnsi="Times New Roman" w:cs="Times New Roman"/>
        </w:rPr>
        <w:t>, Osaka 589-8511, Japan</w:t>
      </w:r>
    </w:p>
    <w:p w14:paraId="17F21E2D" w14:textId="39E6ACB2" w:rsidR="00006FC2" w:rsidRPr="00EC2489" w:rsidRDefault="00006FC2">
      <w:pPr>
        <w:rPr>
          <w:rFonts w:ascii="Times New Roman" w:hAnsi="Times New Roman" w:cs="Times New Roman"/>
        </w:rPr>
      </w:pPr>
      <w:r w:rsidRPr="00EC2489">
        <w:rPr>
          <w:rFonts w:ascii="Times New Roman" w:hAnsi="Times New Roman" w:cs="Times New Roman"/>
        </w:rPr>
        <w:t>+81-72-366-0221</w:t>
      </w:r>
    </w:p>
    <w:p w14:paraId="617BFE9B" w14:textId="6CE36742" w:rsidR="00006FC2" w:rsidRPr="00EC2489" w:rsidRDefault="00006FC2">
      <w:pPr>
        <w:rPr>
          <w:rFonts w:ascii="Times New Roman" w:hAnsi="Times New Roman" w:cs="Times New Roman"/>
        </w:rPr>
      </w:pPr>
    </w:p>
    <w:p w14:paraId="6AFD3ED8" w14:textId="5220388F" w:rsidR="00006FC2" w:rsidRPr="00EC2489" w:rsidRDefault="00006FC2">
      <w:pPr>
        <w:rPr>
          <w:rFonts w:ascii="Times New Roman" w:hAnsi="Times New Roman" w:cs="Times New Roman"/>
          <w:b/>
          <w:bCs/>
        </w:rPr>
      </w:pPr>
      <w:r w:rsidRPr="00EC2489">
        <w:rPr>
          <w:rFonts w:ascii="Times New Roman" w:hAnsi="Times New Roman" w:cs="Times New Roman"/>
          <w:b/>
          <w:bCs/>
        </w:rPr>
        <w:t>Name(s) and address(es) of the clinical laboratory(</w:t>
      </w:r>
      <w:proofErr w:type="spellStart"/>
      <w:r w:rsidRPr="00EC2489">
        <w:rPr>
          <w:rFonts w:ascii="Times New Roman" w:hAnsi="Times New Roman" w:cs="Times New Roman"/>
          <w:b/>
          <w:bCs/>
        </w:rPr>
        <w:t>ies</w:t>
      </w:r>
      <w:proofErr w:type="spellEnd"/>
      <w:r w:rsidRPr="00EC2489">
        <w:rPr>
          <w:rFonts w:ascii="Times New Roman" w:hAnsi="Times New Roman" w:cs="Times New Roman"/>
          <w:b/>
          <w:bCs/>
        </w:rPr>
        <w:t>) and other medical and/or technical department(s) and/or institutions involved in the research:</w:t>
      </w:r>
    </w:p>
    <w:p w14:paraId="10DF858A" w14:textId="77777777" w:rsidR="00006FC2" w:rsidRPr="00EC2489" w:rsidRDefault="00006FC2">
      <w:pPr>
        <w:rPr>
          <w:rFonts w:ascii="Times New Roman" w:hAnsi="Times New Roman" w:cs="Times New Roman"/>
        </w:rPr>
      </w:pPr>
      <w:r w:rsidRPr="00EC2489">
        <w:rPr>
          <w:rFonts w:ascii="Times New Roman" w:hAnsi="Times New Roman" w:cs="Times New Roman"/>
        </w:rPr>
        <w:t xml:space="preserve">Department of Surgery, Faculty of Medicine, </w:t>
      </w:r>
      <w:proofErr w:type="spellStart"/>
      <w:r w:rsidRPr="00EC2489">
        <w:rPr>
          <w:rFonts w:ascii="Times New Roman" w:hAnsi="Times New Roman" w:cs="Times New Roman"/>
        </w:rPr>
        <w:t>Kindai</w:t>
      </w:r>
      <w:proofErr w:type="spellEnd"/>
      <w:r w:rsidRPr="00EC2489">
        <w:rPr>
          <w:rFonts w:ascii="Times New Roman" w:hAnsi="Times New Roman" w:cs="Times New Roman"/>
        </w:rPr>
        <w:t xml:space="preserve"> University </w:t>
      </w:r>
    </w:p>
    <w:p w14:paraId="6EBBF149" w14:textId="25F7074B" w:rsidR="00006FC2" w:rsidRPr="00EC2489" w:rsidRDefault="00006FC2">
      <w:pPr>
        <w:rPr>
          <w:rFonts w:ascii="Times New Roman" w:hAnsi="Times New Roman" w:cs="Times New Roman"/>
        </w:rPr>
      </w:pPr>
      <w:r w:rsidRPr="00EC2489">
        <w:rPr>
          <w:rFonts w:ascii="Times New Roman" w:hAnsi="Times New Roman" w:cs="Times New Roman"/>
        </w:rPr>
        <w:t>377-2 Ohno-Higashi, Osaka-</w:t>
      </w:r>
      <w:proofErr w:type="spellStart"/>
      <w:r w:rsidRPr="00EC2489">
        <w:rPr>
          <w:rFonts w:ascii="Times New Roman" w:hAnsi="Times New Roman" w:cs="Times New Roman"/>
        </w:rPr>
        <w:t>sayama</w:t>
      </w:r>
      <w:proofErr w:type="spellEnd"/>
      <w:r w:rsidRPr="00EC2489">
        <w:rPr>
          <w:rFonts w:ascii="Times New Roman" w:hAnsi="Times New Roman" w:cs="Times New Roman"/>
        </w:rPr>
        <w:t>, Osaka 589-8511, Japan</w:t>
      </w:r>
    </w:p>
    <w:p w14:paraId="4DBEA61A" w14:textId="18BB38C7" w:rsidR="00006FC2" w:rsidRPr="00EC2489" w:rsidRDefault="00006FC2">
      <w:pPr>
        <w:rPr>
          <w:rFonts w:ascii="Times New Roman" w:hAnsi="Times New Roman" w:cs="Times New Roman"/>
          <w:b/>
          <w:bCs/>
        </w:rPr>
      </w:pPr>
    </w:p>
    <w:p w14:paraId="617DF525" w14:textId="0B469233" w:rsidR="00006FC2" w:rsidRPr="00EC2489" w:rsidRDefault="00006FC2">
      <w:pPr>
        <w:rPr>
          <w:rFonts w:ascii="Times New Roman" w:hAnsi="Times New Roman" w:cs="Times New Roman"/>
          <w:b/>
          <w:bCs/>
        </w:rPr>
      </w:pPr>
      <w:r w:rsidRPr="00EC2489">
        <w:rPr>
          <w:rFonts w:ascii="Times New Roman" w:hAnsi="Times New Roman" w:cs="Times New Roman"/>
          <w:b/>
          <w:bCs/>
        </w:rPr>
        <w:t>Rationale &amp; background information:</w:t>
      </w:r>
    </w:p>
    <w:p w14:paraId="4D9B2424" w14:textId="77777777" w:rsidR="00F3092A" w:rsidRPr="00EC2489" w:rsidRDefault="00F3092A" w:rsidP="00F3092A">
      <w:pPr>
        <w:spacing w:line="276" w:lineRule="auto"/>
        <w:rPr>
          <w:rFonts w:ascii="Times New Roman" w:hAnsi="Times New Roman" w:cs="Times New Roman"/>
        </w:rPr>
      </w:pPr>
      <w:r w:rsidRPr="00EC2489">
        <w:rPr>
          <w:rFonts w:ascii="Times New Roman" w:hAnsi="Times New Roman" w:cs="Times New Roman"/>
        </w:rPr>
        <w:t xml:space="preserve">Postoperative pain management is an important factor for early postoperative ambulation and recovery; however, epidural analgesia requires catheter placement and could negatively affect early postoperative ambulation. Furthermore, patients undergoing anticoagulant or antiplatelet therapy to treat cerebrocardiovascular diseases, which has recently been increasing, cannot receive epidural analgesia given the risk of serious complications, including epidural hematoma. Intravenous patient-controlled analgesia (IV-PCA) with opioids is a method of pain management that allows postoperative patients to easily secure the administration route. Moreover, it can be used even in patients unable to receive epidural analgesia. However, it has an inadequate analgesic effect during coughing and body movement. Furthermore, additional bolus opioid administration could be required in uncontrolled patients, which might induce opioid-related side effects. Therefore, there is a need for a rational approach involving various treatment modalities to obtain optimal pain control and minimize opioid use. Multimodal analgesia, which combines different analgesic drug classes, is recommended for postoperative pain treatment since its synergistic effect on pain relief at lower analgesic doses. We aimed to evaluate the feasibility of IV-PCA and repeated scheduled acetaminophen administration </w:t>
      </w:r>
      <w:r w:rsidRPr="00EC2489">
        <w:rPr>
          <w:rFonts w:ascii="Times New Roman" w:hAnsi="Times New Roman" w:cs="Times New Roman"/>
        </w:rPr>
        <w:lastRenderedPageBreak/>
        <w:t>to establish an alternative postoperative analgesia management protocol to epidural analgesia in laparoscopic colectomy.</w:t>
      </w:r>
    </w:p>
    <w:p w14:paraId="2D6368F9" w14:textId="53C65F94" w:rsidR="00006FC2" w:rsidRPr="00EC2489" w:rsidRDefault="00006FC2">
      <w:pPr>
        <w:rPr>
          <w:rFonts w:ascii="Times New Roman" w:hAnsi="Times New Roman" w:cs="Times New Roman"/>
          <w:b/>
          <w:bCs/>
        </w:rPr>
      </w:pPr>
    </w:p>
    <w:p w14:paraId="57A43E97" w14:textId="0C160C5A" w:rsidR="00F3092A" w:rsidRPr="001D36CB" w:rsidRDefault="00F3092A">
      <w:pPr>
        <w:rPr>
          <w:rFonts w:ascii="Times New Roman" w:hAnsi="Times New Roman" w:cs="Times New Roman"/>
          <w:b/>
          <w:bCs/>
          <w:i/>
          <w:iCs/>
          <w:color w:val="000000" w:themeColor="text1"/>
        </w:rPr>
      </w:pPr>
      <w:r w:rsidRPr="001D36CB">
        <w:rPr>
          <w:rFonts w:ascii="Times New Roman" w:hAnsi="Times New Roman" w:cs="Times New Roman"/>
          <w:b/>
          <w:bCs/>
          <w:i/>
          <w:iCs/>
          <w:color w:val="000000" w:themeColor="text1"/>
        </w:rPr>
        <w:t>Study goals and objectives:</w:t>
      </w:r>
    </w:p>
    <w:p w14:paraId="44E4A32D" w14:textId="2E7E3B2F" w:rsidR="00F3092A" w:rsidRPr="00EC2489" w:rsidRDefault="00B102AD" w:rsidP="00B102AD">
      <w:pPr>
        <w:rPr>
          <w:rFonts w:ascii="Times New Roman" w:hAnsi="Times New Roman" w:cs="Times New Roman"/>
        </w:rPr>
      </w:pPr>
      <w:r w:rsidRPr="00EC2489">
        <w:rPr>
          <w:rFonts w:ascii="Times New Roman" w:hAnsi="Times New Roman" w:cs="Times New Roman"/>
        </w:rPr>
        <w:t>To establish a postoperative pain management that replaces epidural anesthesia in laparoscopic colectomy, to investigate the analgesic effect of postoperative pain management in the early postoperative period by intravenous patient-controlled analgesia (IV-PCA) and repeated scheduled acetaminophen administration.</w:t>
      </w:r>
    </w:p>
    <w:p w14:paraId="580813DA" w14:textId="48EE86B5" w:rsidR="00F3092A" w:rsidRPr="00EC2489" w:rsidRDefault="00F3092A">
      <w:pPr>
        <w:rPr>
          <w:rFonts w:ascii="Times New Roman" w:hAnsi="Times New Roman" w:cs="Times New Roman"/>
          <w:b/>
          <w:bCs/>
        </w:rPr>
      </w:pPr>
    </w:p>
    <w:p w14:paraId="01B2B8E8" w14:textId="06089D06" w:rsidR="00F3092A" w:rsidRPr="00EC2489" w:rsidRDefault="00F3092A">
      <w:pPr>
        <w:rPr>
          <w:rFonts w:ascii="Times New Roman" w:hAnsi="Times New Roman" w:cs="Times New Roman"/>
          <w:b/>
          <w:bCs/>
          <w:i/>
          <w:iCs/>
        </w:rPr>
      </w:pPr>
      <w:r w:rsidRPr="00EC2489">
        <w:rPr>
          <w:rFonts w:ascii="Times New Roman" w:hAnsi="Times New Roman" w:cs="Times New Roman"/>
          <w:b/>
          <w:bCs/>
          <w:i/>
          <w:iCs/>
        </w:rPr>
        <w:t>Study design</w:t>
      </w:r>
    </w:p>
    <w:p w14:paraId="2F257C74" w14:textId="77777777" w:rsidR="00F3092A" w:rsidRPr="00EC2489" w:rsidRDefault="00F3092A" w:rsidP="00F3092A">
      <w:pPr>
        <w:rPr>
          <w:rFonts w:ascii="Times New Roman" w:hAnsi="Times New Roman" w:cs="Times New Roman"/>
          <w:color w:val="000000" w:themeColor="text1"/>
        </w:rPr>
      </w:pPr>
      <w:r w:rsidRPr="00EC2489">
        <w:rPr>
          <w:rFonts w:ascii="Times New Roman" w:hAnsi="Times New Roman" w:cs="Times New Roman"/>
          <w:color w:val="000000" w:themeColor="text1"/>
        </w:rPr>
        <w:t>Study Type: Interventional (Clinical Trial)</w:t>
      </w:r>
    </w:p>
    <w:p w14:paraId="4C244BF3" w14:textId="77777777" w:rsidR="00F3092A" w:rsidRPr="00EC2489" w:rsidRDefault="00F3092A" w:rsidP="00F3092A">
      <w:pPr>
        <w:rPr>
          <w:rFonts w:ascii="Times New Roman" w:hAnsi="Times New Roman" w:cs="Times New Roman"/>
          <w:color w:val="000000" w:themeColor="text1"/>
        </w:rPr>
      </w:pPr>
      <w:r w:rsidRPr="00EC2489">
        <w:rPr>
          <w:rFonts w:ascii="Times New Roman" w:hAnsi="Times New Roman" w:cs="Times New Roman"/>
          <w:color w:val="000000" w:themeColor="text1"/>
        </w:rPr>
        <w:t>Estimated Enrollment: 45 participants</w:t>
      </w:r>
    </w:p>
    <w:p w14:paraId="27829301" w14:textId="77777777" w:rsidR="00F3092A" w:rsidRPr="00EC2489" w:rsidRDefault="00F3092A" w:rsidP="00F3092A">
      <w:pPr>
        <w:rPr>
          <w:rFonts w:ascii="Times New Roman" w:hAnsi="Times New Roman" w:cs="Times New Roman"/>
          <w:color w:val="000000" w:themeColor="text1"/>
        </w:rPr>
      </w:pPr>
      <w:r w:rsidRPr="00EC2489">
        <w:rPr>
          <w:rFonts w:ascii="Times New Roman" w:hAnsi="Times New Roman" w:cs="Times New Roman"/>
          <w:color w:val="000000" w:themeColor="text1"/>
        </w:rPr>
        <w:t>Basic Design: Single arm</w:t>
      </w:r>
    </w:p>
    <w:p w14:paraId="574E4C27" w14:textId="77777777" w:rsidR="00F3092A" w:rsidRPr="00EC2489" w:rsidRDefault="00F3092A" w:rsidP="00F3092A">
      <w:pPr>
        <w:rPr>
          <w:rFonts w:ascii="Times New Roman" w:hAnsi="Times New Roman" w:cs="Times New Roman"/>
          <w:color w:val="000000" w:themeColor="text1"/>
        </w:rPr>
      </w:pPr>
      <w:r w:rsidRPr="00EC2489">
        <w:rPr>
          <w:rFonts w:ascii="Times New Roman" w:hAnsi="Times New Roman" w:cs="Times New Roman"/>
          <w:color w:val="000000" w:themeColor="text1"/>
        </w:rPr>
        <w:t>Randomization: Non-Randomized</w:t>
      </w:r>
    </w:p>
    <w:p w14:paraId="71CC563F" w14:textId="77777777" w:rsidR="00F3092A" w:rsidRPr="00EC2489" w:rsidRDefault="00F3092A" w:rsidP="00F3092A">
      <w:pPr>
        <w:rPr>
          <w:rFonts w:ascii="Times New Roman" w:hAnsi="Times New Roman" w:cs="Times New Roman"/>
          <w:color w:val="000000" w:themeColor="text1"/>
        </w:rPr>
      </w:pPr>
      <w:r w:rsidRPr="00EC2489">
        <w:rPr>
          <w:rFonts w:ascii="Times New Roman" w:hAnsi="Times New Roman" w:cs="Times New Roman"/>
          <w:color w:val="000000" w:themeColor="text1"/>
        </w:rPr>
        <w:t>Blinding: Open- No one is blinded</w:t>
      </w:r>
    </w:p>
    <w:p w14:paraId="4715A62C" w14:textId="77777777" w:rsidR="00F3092A" w:rsidRPr="00EC2489" w:rsidRDefault="00F3092A" w:rsidP="00F3092A">
      <w:pPr>
        <w:rPr>
          <w:rFonts w:ascii="Times New Roman" w:hAnsi="Times New Roman" w:cs="Times New Roman"/>
          <w:color w:val="000000" w:themeColor="text1"/>
        </w:rPr>
      </w:pPr>
      <w:r w:rsidRPr="00EC2489">
        <w:rPr>
          <w:rFonts w:ascii="Times New Roman" w:hAnsi="Times New Roman" w:cs="Times New Roman"/>
          <w:color w:val="000000" w:themeColor="text1"/>
        </w:rPr>
        <w:t>Control: Historical</w:t>
      </w:r>
    </w:p>
    <w:p w14:paraId="2494C66B" w14:textId="77777777" w:rsidR="00F3092A" w:rsidRPr="00EC2489" w:rsidRDefault="00F3092A" w:rsidP="00F3092A">
      <w:pPr>
        <w:rPr>
          <w:rFonts w:ascii="Times New Roman" w:hAnsi="Times New Roman" w:cs="Times New Roman"/>
        </w:rPr>
      </w:pPr>
      <w:r w:rsidRPr="00EC2489">
        <w:rPr>
          <w:rFonts w:ascii="Times New Roman" w:hAnsi="Times New Roman" w:cs="Times New Roman"/>
          <w:color w:val="000000" w:themeColor="text1"/>
        </w:rPr>
        <w:t xml:space="preserve">Official Title: </w:t>
      </w:r>
      <w:r w:rsidRPr="00EC2489">
        <w:rPr>
          <w:rFonts w:ascii="Times New Roman" w:hAnsi="Times New Roman" w:cs="Times New Roman"/>
        </w:rPr>
        <w:t>Effectiveness of postoperative pain management by multimodal analgesia without epidural analgesia after laparoscopic colon cancer surgery: A prospective Cohort Study</w:t>
      </w:r>
    </w:p>
    <w:p w14:paraId="7A8CC7F1" w14:textId="77777777" w:rsidR="00F3092A" w:rsidRPr="00EC2489" w:rsidRDefault="00F3092A" w:rsidP="00F3092A">
      <w:pPr>
        <w:rPr>
          <w:rFonts w:ascii="Times New Roman" w:hAnsi="Times New Roman" w:cs="Times New Roman"/>
          <w:color w:val="000000" w:themeColor="text1"/>
        </w:rPr>
      </w:pPr>
      <w:r w:rsidRPr="00EC2489">
        <w:rPr>
          <w:rFonts w:ascii="Times New Roman" w:hAnsi="Times New Roman" w:cs="Times New Roman"/>
          <w:color w:val="000000" w:themeColor="text1"/>
        </w:rPr>
        <w:t>Actual Study Start Date: July 14, 2017</w:t>
      </w:r>
    </w:p>
    <w:p w14:paraId="05DF56ED" w14:textId="77777777" w:rsidR="00F3092A" w:rsidRPr="00EC2489" w:rsidRDefault="00F3092A" w:rsidP="00F3092A">
      <w:pPr>
        <w:rPr>
          <w:rFonts w:ascii="Times New Roman" w:hAnsi="Times New Roman" w:cs="Times New Roman"/>
          <w:color w:val="000000" w:themeColor="text1"/>
        </w:rPr>
      </w:pPr>
      <w:r w:rsidRPr="00EC2489">
        <w:rPr>
          <w:rFonts w:ascii="Times New Roman" w:hAnsi="Times New Roman" w:cs="Times New Roman"/>
          <w:color w:val="000000" w:themeColor="text1"/>
        </w:rPr>
        <w:t>Estimated Primary Completion Date: December 31, 2019</w:t>
      </w:r>
    </w:p>
    <w:p w14:paraId="641664A3" w14:textId="77777777" w:rsidR="00F3092A" w:rsidRPr="00EC2489" w:rsidRDefault="00F3092A" w:rsidP="00F3092A">
      <w:pPr>
        <w:rPr>
          <w:rFonts w:ascii="Times New Roman" w:hAnsi="Times New Roman" w:cs="Times New Roman"/>
          <w:color w:val="000000" w:themeColor="text1"/>
        </w:rPr>
      </w:pPr>
      <w:r w:rsidRPr="00EC2489">
        <w:rPr>
          <w:rFonts w:ascii="Times New Roman" w:hAnsi="Times New Roman" w:cs="Times New Roman"/>
          <w:color w:val="000000" w:themeColor="text1"/>
        </w:rPr>
        <w:t>Estimated Study Completion Date: December 31, 2019</w:t>
      </w:r>
    </w:p>
    <w:p w14:paraId="137CA07C" w14:textId="4A1FB74D" w:rsidR="00F3092A" w:rsidRPr="00EC2489" w:rsidRDefault="00F3092A">
      <w:pPr>
        <w:rPr>
          <w:rFonts w:ascii="Times New Roman" w:hAnsi="Times New Roman" w:cs="Times New Roman"/>
          <w:b/>
          <w:bCs/>
          <w:i/>
          <w:iCs/>
        </w:rPr>
      </w:pPr>
    </w:p>
    <w:p w14:paraId="3DC7E901" w14:textId="3AE466FC" w:rsidR="00F3092A" w:rsidRPr="00EC2489" w:rsidRDefault="00F3092A">
      <w:pPr>
        <w:rPr>
          <w:rFonts w:ascii="Times New Roman" w:hAnsi="Times New Roman" w:cs="Times New Roman"/>
          <w:b/>
          <w:bCs/>
          <w:i/>
          <w:iCs/>
        </w:rPr>
      </w:pPr>
      <w:r w:rsidRPr="00EC2489">
        <w:rPr>
          <w:rFonts w:ascii="Times New Roman" w:hAnsi="Times New Roman" w:cs="Times New Roman"/>
          <w:b/>
          <w:bCs/>
          <w:i/>
          <w:iCs/>
        </w:rPr>
        <w:t>Methodology</w:t>
      </w:r>
    </w:p>
    <w:p w14:paraId="2D0B4EC4" w14:textId="77777777" w:rsidR="00F12350" w:rsidRPr="00EC2489" w:rsidRDefault="00F12350" w:rsidP="00F12350">
      <w:pPr>
        <w:rPr>
          <w:rFonts w:ascii="Times New Roman" w:hAnsi="Times New Roman" w:cs="Times New Roman"/>
        </w:rPr>
      </w:pPr>
      <w:r w:rsidRPr="00EC2489">
        <w:rPr>
          <w:rFonts w:ascii="Times New Roman" w:hAnsi="Times New Roman" w:cs="Times New Roman"/>
          <w:b/>
          <w:bCs/>
          <w:color w:val="000000" w:themeColor="text1"/>
        </w:rPr>
        <w:t>Arm:</w:t>
      </w:r>
      <w:r w:rsidRPr="00EC2489">
        <w:rPr>
          <w:rFonts w:ascii="Times New Roman" w:hAnsi="Times New Roman" w:cs="Times New Roman"/>
          <w:color w:val="000000" w:themeColor="text1"/>
        </w:rPr>
        <w:t xml:space="preserve"> Intravenous analgesia with fentanyl and </w:t>
      </w:r>
      <w:r w:rsidRPr="00EC2489">
        <w:rPr>
          <w:rFonts w:ascii="Times New Roman" w:hAnsi="Times New Roman" w:cs="Times New Roman"/>
        </w:rPr>
        <w:t>acetaminophen+ Local anesthesia with ropivacaine</w:t>
      </w:r>
    </w:p>
    <w:p w14:paraId="25D988AD" w14:textId="77777777" w:rsidR="00F12350" w:rsidRPr="00EC2489" w:rsidRDefault="00F12350" w:rsidP="00F12350">
      <w:pPr>
        <w:rPr>
          <w:rFonts w:ascii="Times New Roman" w:hAnsi="Times New Roman" w:cs="Times New Roman"/>
          <w:color w:val="000000" w:themeColor="text1"/>
        </w:rPr>
      </w:pPr>
    </w:p>
    <w:p w14:paraId="255D15AA" w14:textId="77777777" w:rsidR="00F12350" w:rsidRPr="00EC2489" w:rsidRDefault="00F12350" w:rsidP="00F12350">
      <w:pPr>
        <w:rPr>
          <w:rFonts w:ascii="Times New Roman" w:hAnsi="Times New Roman" w:cs="Times New Roman"/>
          <w:b/>
          <w:bCs/>
          <w:color w:val="000000" w:themeColor="text1"/>
        </w:rPr>
      </w:pPr>
      <w:r w:rsidRPr="00EC2489">
        <w:rPr>
          <w:rFonts w:ascii="Times New Roman" w:hAnsi="Times New Roman" w:cs="Times New Roman"/>
          <w:b/>
          <w:bCs/>
          <w:color w:val="000000" w:themeColor="text1"/>
        </w:rPr>
        <w:t xml:space="preserve">Intervention/treatment: </w:t>
      </w:r>
    </w:p>
    <w:p w14:paraId="7F14D2CD" w14:textId="77777777" w:rsidR="00F12350" w:rsidRPr="00EC2489" w:rsidRDefault="00F12350" w:rsidP="00F12350">
      <w:pPr>
        <w:rPr>
          <w:rFonts w:ascii="Times New Roman" w:hAnsi="Times New Roman" w:cs="Times New Roman"/>
        </w:rPr>
      </w:pPr>
      <w:r w:rsidRPr="00EC2489">
        <w:rPr>
          <w:rFonts w:ascii="Times New Roman" w:hAnsi="Times New Roman" w:cs="Times New Roman"/>
          <w:color w:val="000000" w:themeColor="text1"/>
        </w:rPr>
        <w:t xml:space="preserve">Drug: fentanyl+ </w:t>
      </w:r>
      <w:r w:rsidRPr="00EC2489">
        <w:rPr>
          <w:rFonts w:ascii="Times New Roman" w:hAnsi="Times New Roman" w:cs="Times New Roman"/>
        </w:rPr>
        <w:t>acetaminophen+ ropivacaine</w:t>
      </w:r>
    </w:p>
    <w:p w14:paraId="5CE7FD94" w14:textId="77777777" w:rsidR="00F12350" w:rsidRPr="00EC2489" w:rsidRDefault="00F12350" w:rsidP="00F12350">
      <w:pPr>
        <w:rPr>
          <w:rFonts w:ascii="Times New Roman" w:hAnsi="Times New Roman" w:cs="Times New Roman"/>
        </w:rPr>
      </w:pPr>
      <w:r w:rsidRPr="00EC2489">
        <w:rPr>
          <w:rFonts w:ascii="Times New Roman" w:hAnsi="Times New Roman" w:cs="Times New Roman"/>
          <w:color w:val="000000" w:themeColor="text1"/>
        </w:rPr>
        <w:t xml:space="preserve">Patients will be </w:t>
      </w:r>
      <w:r w:rsidRPr="00EC2489">
        <w:rPr>
          <w:rFonts w:ascii="Times New Roman" w:hAnsi="Times New Roman" w:cs="Times New Roman"/>
        </w:rPr>
        <w:t xml:space="preserve">administered onto the fascia of each wound as local anesthesia with ropivacaine. At the end of surgery, a solution of fentanyl will be administered until the morning of POD2. 1000 mg of acetaminophen intravenous solution will be administered </w:t>
      </w:r>
      <w:r w:rsidRPr="00EC2489">
        <w:rPr>
          <w:rFonts w:ascii="Times New Roman" w:hAnsi="Times New Roman" w:cs="Times New Roman"/>
        </w:rPr>
        <w:lastRenderedPageBreak/>
        <w:t>at the end of the surgery and subsequently at 6-h intervals until POD 3.</w:t>
      </w:r>
    </w:p>
    <w:p w14:paraId="674FAA8F" w14:textId="4AF80163" w:rsidR="00F3092A" w:rsidRPr="00EC2489" w:rsidRDefault="00F3092A">
      <w:pPr>
        <w:rPr>
          <w:rFonts w:ascii="Times New Roman" w:hAnsi="Times New Roman" w:cs="Times New Roman"/>
          <w:b/>
          <w:bCs/>
          <w:i/>
          <w:iCs/>
        </w:rPr>
      </w:pPr>
    </w:p>
    <w:p w14:paraId="275A1F03" w14:textId="4C2A8CE5" w:rsidR="00F12350" w:rsidRPr="00EC2489" w:rsidRDefault="00F12350">
      <w:pPr>
        <w:rPr>
          <w:rFonts w:ascii="Times New Roman" w:hAnsi="Times New Roman" w:cs="Times New Roman"/>
          <w:b/>
          <w:bCs/>
          <w:i/>
          <w:iCs/>
        </w:rPr>
      </w:pPr>
      <w:r w:rsidRPr="001D36CB">
        <w:rPr>
          <w:rFonts w:ascii="Times New Roman" w:hAnsi="Times New Roman" w:cs="Times New Roman"/>
          <w:b/>
          <w:bCs/>
          <w:i/>
          <w:iCs/>
        </w:rPr>
        <w:t>Safety considerations</w:t>
      </w:r>
    </w:p>
    <w:p w14:paraId="70BE2A10" w14:textId="31629903" w:rsidR="00465355" w:rsidRPr="00EC2489" w:rsidRDefault="00465355" w:rsidP="00465355">
      <w:pPr>
        <w:pStyle w:val="a5"/>
        <w:rPr>
          <w:rFonts w:ascii="Times New Roman" w:hAnsi="Times New Roman" w:cs="Times New Roman"/>
          <w:sz w:val="24"/>
          <w:szCs w:val="24"/>
        </w:rPr>
      </w:pPr>
      <w:bookmarkStart w:id="0" w:name="_bookmark90"/>
      <w:bookmarkEnd w:id="0"/>
      <w:r w:rsidRPr="00EC2489">
        <w:rPr>
          <w:rFonts w:ascii="Times New Roman" w:hAnsi="Times New Roman" w:cs="Times New Roman"/>
          <w:sz w:val="24"/>
          <w:szCs w:val="24"/>
        </w:rPr>
        <w:t>If a serious adverse event or adverse reaction occurs, physicians will take appropriate treatments and report it to the principal investigator.</w:t>
      </w:r>
      <w:r w:rsidR="003D1189" w:rsidRPr="00EC2489">
        <w:rPr>
          <w:rFonts w:ascii="Times New Roman" w:hAnsi="Times New Roman" w:cs="Times New Roman"/>
          <w:sz w:val="24"/>
          <w:szCs w:val="24"/>
        </w:rPr>
        <w:t xml:space="preserve"> </w:t>
      </w:r>
      <w:r w:rsidRPr="00EC2489">
        <w:rPr>
          <w:rFonts w:ascii="Times New Roman" w:hAnsi="Times New Roman" w:cs="Times New Roman"/>
          <w:sz w:val="24"/>
          <w:szCs w:val="24"/>
        </w:rPr>
        <w:t>In addition, the principal investigator will promptly report to the Dean of the School of Medicine and the Ethics Committee, and follow the opinion of the Ethics Committee as to whether or not to continue the research thereafter.</w:t>
      </w:r>
    </w:p>
    <w:p w14:paraId="3146DE58" w14:textId="77777777" w:rsidR="003D1189" w:rsidRPr="00EC2489" w:rsidRDefault="003D1189" w:rsidP="003D1189">
      <w:pPr>
        <w:pStyle w:val="a5"/>
        <w:ind w:left="0" w:firstLine="324"/>
        <w:rPr>
          <w:rFonts w:ascii="Times New Roman" w:hAnsi="Times New Roman" w:cs="Times New Roman"/>
          <w:kern w:val="0"/>
          <w:sz w:val="24"/>
          <w:szCs w:val="24"/>
        </w:rPr>
      </w:pPr>
      <w:r w:rsidRPr="00EC2489">
        <w:rPr>
          <w:rFonts w:ascii="Times New Roman" w:hAnsi="Times New Roman" w:cs="Times New Roman"/>
          <w:kern w:val="0"/>
          <w:sz w:val="24"/>
          <w:szCs w:val="24"/>
        </w:rPr>
        <w:t>A serious complication is defined as a complication which:</w:t>
      </w:r>
    </w:p>
    <w:p w14:paraId="1DB36EFD" w14:textId="77777777" w:rsidR="003D1189" w:rsidRPr="00EC2489" w:rsidRDefault="003D1189" w:rsidP="00865E1F">
      <w:pPr>
        <w:pStyle w:val="a5"/>
        <w:numPr>
          <w:ilvl w:val="2"/>
          <w:numId w:val="1"/>
        </w:numPr>
        <w:rPr>
          <w:rFonts w:ascii="Times New Roman" w:hAnsi="Times New Roman" w:cs="Times New Roman"/>
          <w:sz w:val="24"/>
          <w:szCs w:val="24"/>
        </w:rPr>
      </w:pPr>
      <w:r w:rsidRPr="00EC2489">
        <w:rPr>
          <w:rFonts w:ascii="Times New Roman" w:hAnsi="Times New Roman" w:cs="Times New Roman"/>
          <w:sz w:val="24"/>
          <w:szCs w:val="24"/>
        </w:rPr>
        <w:t>All deaths during the study treatment period or within 30 days of the last day of study treatment as defined in the study</w:t>
      </w:r>
    </w:p>
    <w:p w14:paraId="0ECAE372" w14:textId="77777777" w:rsidR="003D1189" w:rsidRPr="00EC2489" w:rsidRDefault="003D1189" w:rsidP="00865E1F">
      <w:pPr>
        <w:pStyle w:val="a5"/>
        <w:numPr>
          <w:ilvl w:val="2"/>
          <w:numId w:val="1"/>
        </w:numPr>
        <w:rPr>
          <w:rFonts w:ascii="Times New Roman" w:hAnsi="Times New Roman" w:cs="Times New Roman"/>
          <w:sz w:val="24"/>
          <w:szCs w:val="24"/>
        </w:rPr>
      </w:pPr>
      <w:r w:rsidRPr="00EC2489">
        <w:rPr>
          <w:rFonts w:ascii="Times New Roman" w:hAnsi="Times New Roman" w:cs="Times New Roman"/>
          <w:sz w:val="24"/>
          <w:szCs w:val="24"/>
        </w:rPr>
        <w:t>Deaths occurring after 30 days from the last treatment date for which a causal relationship to the study treatment cannot be ruled out.</w:t>
      </w:r>
    </w:p>
    <w:p w14:paraId="67EE3EE0" w14:textId="77777777" w:rsidR="003D1189" w:rsidRPr="00EC2489" w:rsidRDefault="003D1189" w:rsidP="003D1189">
      <w:pPr>
        <w:pStyle w:val="a5"/>
        <w:numPr>
          <w:ilvl w:val="2"/>
          <w:numId w:val="1"/>
        </w:numPr>
        <w:rPr>
          <w:rFonts w:ascii="Times New Roman" w:hAnsi="Times New Roman" w:cs="Times New Roman"/>
          <w:sz w:val="24"/>
          <w:szCs w:val="24"/>
        </w:rPr>
      </w:pPr>
      <w:r w:rsidRPr="00EC2489">
        <w:rPr>
          <w:rFonts w:ascii="Times New Roman" w:hAnsi="Times New Roman" w:cs="Times New Roman"/>
          <w:sz w:val="24"/>
          <w:szCs w:val="24"/>
        </w:rPr>
        <w:t>Grade 4 non-hematological toxicity</w:t>
      </w:r>
    </w:p>
    <w:p w14:paraId="1B915A07" w14:textId="314EA6D2" w:rsidR="00865E1F" w:rsidRPr="00EC2489" w:rsidRDefault="003D1189" w:rsidP="003D1189">
      <w:pPr>
        <w:pStyle w:val="a5"/>
        <w:numPr>
          <w:ilvl w:val="2"/>
          <w:numId w:val="1"/>
        </w:numPr>
        <w:rPr>
          <w:rFonts w:ascii="Times New Roman" w:hAnsi="Times New Roman" w:cs="Times New Roman"/>
          <w:sz w:val="24"/>
          <w:szCs w:val="24"/>
        </w:rPr>
      </w:pPr>
      <w:r w:rsidRPr="00EC2489">
        <w:rPr>
          <w:rFonts w:ascii="Times New Roman" w:hAnsi="Times New Roman" w:cs="Times New Roman"/>
          <w:sz w:val="24"/>
          <w:szCs w:val="24"/>
        </w:rPr>
        <w:t xml:space="preserve">Other serious adverse events (excluding Grade 4 hematologic toxicity) which needs hospitalization for treatment or prolongation of hospital stay, disability, congenital disease or abnormality in later generations that may lead to disability, other serious medical events </w:t>
      </w:r>
    </w:p>
    <w:p w14:paraId="176C139F" w14:textId="283979DA" w:rsidR="00F12350" w:rsidRPr="00EC2489" w:rsidRDefault="00F12350">
      <w:pPr>
        <w:rPr>
          <w:rFonts w:ascii="Times New Roman" w:hAnsi="Times New Roman" w:cs="Times New Roman"/>
          <w:b/>
          <w:bCs/>
          <w:i/>
          <w:iCs/>
        </w:rPr>
      </w:pPr>
    </w:p>
    <w:p w14:paraId="400477C9" w14:textId="07DC51FB" w:rsidR="00F12350" w:rsidRPr="00EC2489" w:rsidRDefault="00F12350">
      <w:pPr>
        <w:rPr>
          <w:rFonts w:ascii="Times New Roman" w:hAnsi="Times New Roman" w:cs="Times New Roman"/>
          <w:b/>
          <w:bCs/>
          <w:i/>
          <w:iCs/>
        </w:rPr>
      </w:pPr>
      <w:r w:rsidRPr="00EC2489">
        <w:rPr>
          <w:rFonts w:ascii="Times New Roman" w:hAnsi="Times New Roman" w:cs="Times New Roman"/>
          <w:b/>
          <w:bCs/>
          <w:i/>
          <w:iCs/>
        </w:rPr>
        <w:t>Follow-up</w:t>
      </w:r>
    </w:p>
    <w:p w14:paraId="2A41B425" w14:textId="29C6C7CC" w:rsidR="00F12350" w:rsidRPr="00EC2489" w:rsidRDefault="00F37192">
      <w:pPr>
        <w:rPr>
          <w:rFonts w:ascii="Times New Roman" w:hAnsi="Times New Roman" w:cs="Times New Roman"/>
          <w:b/>
          <w:bCs/>
          <w:i/>
          <w:iCs/>
        </w:rPr>
      </w:pPr>
      <w:r w:rsidRPr="00EC2489">
        <w:rPr>
          <w:rFonts w:ascii="Times New Roman" w:hAnsi="Times New Roman" w:cs="Times New Roman"/>
        </w:rPr>
        <w:t>The pain evaluation was performed by a nurse from the day of surgery, NRS scores and PRS scores were obtained every 8 hours from 6 hours after surgery through POD5, and at first ambulation.</w:t>
      </w:r>
    </w:p>
    <w:p w14:paraId="2D72710E" w14:textId="77777777" w:rsidR="002B463A" w:rsidRPr="00EC2489" w:rsidRDefault="002B463A">
      <w:pPr>
        <w:rPr>
          <w:rFonts w:ascii="Times New Roman" w:hAnsi="Times New Roman" w:cs="Times New Roman"/>
          <w:b/>
          <w:bCs/>
          <w:i/>
          <w:iCs/>
          <w:highlight w:val="yellow"/>
        </w:rPr>
      </w:pPr>
    </w:p>
    <w:p w14:paraId="25A0B374" w14:textId="4CB453A3" w:rsidR="00F12350" w:rsidRPr="00EC2489" w:rsidRDefault="00F12350">
      <w:pPr>
        <w:rPr>
          <w:rFonts w:ascii="Times New Roman" w:hAnsi="Times New Roman" w:cs="Times New Roman"/>
          <w:b/>
          <w:bCs/>
          <w:i/>
          <w:iCs/>
        </w:rPr>
      </w:pPr>
      <w:r w:rsidRPr="001D36CB">
        <w:rPr>
          <w:rFonts w:ascii="Times New Roman" w:hAnsi="Times New Roman" w:cs="Times New Roman"/>
          <w:b/>
          <w:bCs/>
          <w:i/>
          <w:iCs/>
        </w:rPr>
        <w:t>Data management</w:t>
      </w:r>
    </w:p>
    <w:p w14:paraId="525589D7" w14:textId="7E8CC21D" w:rsidR="009A5754" w:rsidRPr="00EC2489" w:rsidRDefault="003D1189" w:rsidP="00EC2489">
      <w:pPr>
        <w:pStyle w:val="a5"/>
        <w:ind w:left="0"/>
        <w:rPr>
          <w:rFonts w:ascii="Times New Roman" w:hAnsi="Times New Roman" w:cs="Times New Roman"/>
          <w:sz w:val="24"/>
          <w:szCs w:val="24"/>
        </w:rPr>
      </w:pPr>
      <w:r w:rsidRPr="00EC2489">
        <w:rPr>
          <w:rFonts w:ascii="Times New Roman" w:eastAsiaTheme="minorEastAsia" w:hAnsi="Times New Roman" w:cs="Times New Roman"/>
          <w:w w:val="100"/>
          <w:sz w:val="24"/>
          <w:szCs w:val="24"/>
        </w:rPr>
        <w:t xml:space="preserve">The data of enrolled cases will be collected using the case report form (CRF) of the study and sent to the research secretariat. The subject cases will be anonymized. Specifically, a registration number will be assigned to each patient in the order of registration, so that only that registration number will be managed as personal identification information. The correspondence table will be recorded on an external storage medium (e.g., USB) using a computer disconnected from the network, and it </w:t>
      </w:r>
      <w:r w:rsidRPr="00EC2489">
        <w:rPr>
          <w:rFonts w:ascii="Times New Roman" w:eastAsiaTheme="minorEastAsia" w:hAnsi="Times New Roman" w:cs="Times New Roman"/>
          <w:w w:val="100"/>
          <w:sz w:val="24"/>
          <w:szCs w:val="24"/>
        </w:rPr>
        <w:lastRenderedPageBreak/>
        <w:t xml:space="preserve">will be kept under lock and key. The storage location will be a locked cabinet in the most secure laboratory of the Department of Surgery at Kinki University School of Medicine. When the results of the research are published, great care will be taken to ensure that they do not contain information that could identify the subjects. The principal investigator will keep the materials related to this research in a locked cabinet in the laboratory of Department of Surgery, </w:t>
      </w:r>
      <w:proofErr w:type="spellStart"/>
      <w:r w:rsidRPr="00EC2489">
        <w:rPr>
          <w:rFonts w:ascii="Times New Roman" w:eastAsiaTheme="minorEastAsia" w:hAnsi="Times New Roman" w:cs="Times New Roman"/>
          <w:w w:val="100"/>
          <w:sz w:val="24"/>
          <w:szCs w:val="24"/>
        </w:rPr>
        <w:t>Kin</w:t>
      </w:r>
      <w:r w:rsidR="00EC2489" w:rsidRPr="00EC2489">
        <w:rPr>
          <w:rFonts w:ascii="Times New Roman" w:eastAsiaTheme="minorEastAsia" w:hAnsi="Times New Roman" w:cs="Times New Roman"/>
          <w:w w:val="100"/>
          <w:sz w:val="24"/>
          <w:szCs w:val="24"/>
        </w:rPr>
        <w:t>dai</w:t>
      </w:r>
      <w:proofErr w:type="spellEnd"/>
      <w:r w:rsidRPr="00EC2489">
        <w:rPr>
          <w:rFonts w:ascii="Times New Roman" w:eastAsiaTheme="minorEastAsia" w:hAnsi="Times New Roman" w:cs="Times New Roman"/>
          <w:w w:val="100"/>
          <w:sz w:val="24"/>
          <w:szCs w:val="24"/>
        </w:rPr>
        <w:t xml:space="preserve"> University School of Medicine, until five years after the completion of the research, three years after the final report of the research results, or ten years after the publication of the paper, whichever is later. At the end of the storage period, the documents will be shredded and the information will be erased from the computer and external storage media using special software.</w:t>
      </w:r>
    </w:p>
    <w:p w14:paraId="3DBE2963" w14:textId="3CF973F9" w:rsidR="003D1189" w:rsidRPr="00EC2489" w:rsidRDefault="003D1189">
      <w:pPr>
        <w:rPr>
          <w:rFonts w:ascii="Times New Roman" w:hAnsi="Times New Roman" w:cs="Times New Roman"/>
        </w:rPr>
      </w:pPr>
    </w:p>
    <w:p w14:paraId="48E2F68A" w14:textId="354DB542" w:rsidR="003D1189" w:rsidRPr="00EC2489" w:rsidRDefault="003D1189">
      <w:pPr>
        <w:rPr>
          <w:rFonts w:ascii="Times New Roman" w:hAnsi="Times New Roman" w:cs="Times New Roman"/>
        </w:rPr>
      </w:pPr>
      <w:r w:rsidRPr="001D36CB">
        <w:rPr>
          <w:rFonts w:ascii="Times New Roman" w:hAnsi="Times New Roman" w:cs="Times New Roman"/>
          <w:b/>
          <w:bCs/>
          <w:i/>
          <w:iCs/>
        </w:rPr>
        <w:t>Statistical analysis</w:t>
      </w:r>
    </w:p>
    <w:p w14:paraId="43951A09" w14:textId="0AD23815" w:rsidR="00F12350" w:rsidRPr="00EC2489" w:rsidRDefault="00F37192">
      <w:pPr>
        <w:rPr>
          <w:rFonts w:ascii="Times New Roman" w:hAnsi="Times New Roman" w:cs="Times New Roman"/>
          <w:b/>
          <w:bCs/>
          <w:i/>
          <w:iCs/>
        </w:rPr>
      </w:pPr>
      <w:r w:rsidRPr="00EC2489">
        <w:rPr>
          <w:rFonts w:ascii="Times New Roman" w:hAnsi="Times New Roman" w:cs="Times New Roman"/>
        </w:rPr>
        <w:t>For 531 patients who underwent epidural anesthesia for laparoscopic colectomy at our hospital from 2005 to 2015, the distribution of days skewed the right, where right implies long hospital stay. Then, we analyzed the data on the log scale. For the 531 patients, the mean postoperative hospital stay was 2.310 (standard deviation [SD] = 0.378) on the log scale, where exp(2.310) = 10.073 days. On the basis of the result, for the present study, the expected postoperative hospital stay by the use of IV-PCA was assumed to be 2.303 (SD = 0.4) on the log scale, where exp(2.303) = 10 days. Given these assumptions, the study was designed to examine the non-inferiority of IV-PCA against epidural anesthesia with 2 day margin, the significance level of 0.025 (one-sided), and the power of 0.8; resulting in a requirement for 40 patients according to the one-sample t-test. Allowing for patients ineligible for analysis, we planned on enrolling 45 patients, where the analysis set was the patients for whom the days of postoperative hospital stay could be observed. We show the results after converting the mean and 95% confidence interval (CI) calculated on the log scale to the exponential scale, with the one-sided p-value.</w:t>
      </w:r>
    </w:p>
    <w:p w14:paraId="64EDB042" w14:textId="77777777" w:rsidR="00F37192" w:rsidRPr="00EC2489" w:rsidRDefault="00F37192">
      <w:pPr>
        <w:rPr>
          <w:rFonts w:ascii="Times New Roman" w:hAnsi="Times New Roman" w:cs="Times New Roman"/>
          <w:b/>
          <w:bCs/>
          <w:i/>
          <w:iCs/>
        </w:rPr>
      </w:pPr>
    </w:p>
    <w:p w14:paraId="14CCD7D2" w14:textId="5C9F4382" w:rsidR="00F12350" w:rsidRPr="001D36CB" w:rsidRDefault="00F12350">
      <w:pPr>
        <w:rPr>
          <w:rFonts w:ascii="Times New Roman" w:hAnsi="Times New Roman" w:cs="Times New Roman"/>
          <w:b/>
          <w:bCs/>
          <w:i/>
          <w:iCs/>
        </w:rPr>
      </w:pPr>
      <w:r w:rsidRPr="001D36CB">
        <w:rPr>
          <w:rFonts w:ascii="Times New Roman" w:hAnsi="Times New Roman" w:cs="Times New Roman"/>
          <w:b/>
          <w:bCs/>
          <w:i/>
          <w:iCs/>
        </w:rPr>
        <w:t>Quality assurance</w:t>
      </w:r>
    </w:p>
    <w:p w14:paraId="618F5D19" w14:textId="28C3AC4F" w:rsidR="00F37192" w:rsidRPr="00EC2489" w:rsidRDefault="00EC2489">
      <w:pPr>
        <w:rPr>
          <w:rFonts w:ascii="Times New Roman" w:hAnsi="Times New Roman" w:cs="Times New Roman"/>
          <w:b/>
          <w:bCs/>
          <w:i/>
          <w:iCs/>
        </w:rPr>
      </w:pPr>
      <w:r w:rsidRPr="00EC2489">
        <w:rPr>
          <w:rFonts w:ascii="Times New Roman" w:eastAsia="ヒラギノ角ゴ ProN W3" w:hAnsi="Times New Roman" w:cs="Times New Roman"/>
          <w:w w:val="95"/>
        </w:rPr>
        <w:t>Investigators participating in this study will comply with this study protocol to the extent that it does not compromise patient safety and human rights. In addition, any changes (revisions) to the study protocol must be approved by the Ethics Committee.</w:t>
      </w:r>
    </w:p>
    <w:p w14:paraId="65DADE34" w14:textId="77777777" w:rsidR="00EC2489" w:rsidRPr="00EC2489" w:rsidRDefault="00EC2489">
      <w:pPr>
        <w:rPr>
          <w:rFonts w:ascii="Times New Roman" w:hAnsi="Times New Roman" w:cs="Times New Roman"/>
          <w:b/>
          <w:bCs/>
          <w:i/>
          <w:iCs/>
        </w:rPr>
      </w:pPr>
    </w:p>
    <w:p w14:paraId="0ABF556E" w14:textId="75B6189B" w:rsidR="00F12350" w:rsidRPr="00EC2489" w:rsidRDefault="00F12350">
      <w:pPr>
        <w:rPr>
          <w:rFonts w:ascii="Times New Roman" w:hAnsi="Times New Roman" w:cs="Times New Roman"/>
          <w:b/>
          <w:bCs/>
          <w:i/>
          <w:iCs/>
        </w:rPr>
      </w:pPr>
      <w:r w:rsidRPr="00EC2489">
        <w:rPr>
          <w:rFonts w:ascii="Times New Roman" w:hAnsi="Times New Roman" w:cs="Times New Roman"/>
          <w:b/>
          <w:bCs/>
          <w:i/>
          <w:iCs/>
        </w:rPr>
        <w:t>Expected outcomes of the study</w:t>
      </w:r>
    </w:p>
    <w:p w14:paraId="09AF3F8D" w14:textId="5279F726" w:rsidR="00F12350" w:rsidRPr="00EC2489" w:rsidRDefault="00D843ED">
      <w:pPr>
        <w:rPr>
          <w:rFonts w:ascii="Times New Roman" w:hAnsi="Times New Roman" w:cs="Times New Roman"/>
          <w:b/>
          <w:bCs/>
          <w:i/>
          <w:iCs/>
        </w:rPr>
      </w:pPr>
      <w:r w:rsidRPr="00EC2489">
        <w:rPr>
          <w:rFonts w:ascii="Times New Roman" w:hAnsi="Times New Roman" w:cs="Times New Roman"/>
        </w:rPr>
        <w:lastRenderedPageBreak/>
        <w:t>The combination of IV-PCA and acetaminophen maintained a low pain score and did not affect the postoperative hospital stay.</w:t>
      </w:r>
    </w:p>
    <w:p w14:paraId="3C67BC3E" w14:textId="77777777" w:rsidR="00F37192" w:rsidRPr="00EC2489" w:rsidRDefault="00F37192">
      <w:pPr>
        <w:rPr>
          <w:rFonts w:ascii="Times New Roman" w:hAnsi="Times New Roman" w:cs="Times New Roman"/>
          <w:b/>
          <w:bCs/>
          <w:i/>
          <w:iCs/>
        </w:rPr>
      </w:pPr>
    </w:p>
    <w:p w14:paraId="776CF20F" w14:textId="53F36B49" w:rsidR="00F12350" w:rsidRPr="00EC2489" w:rsidRDefault="00F12350">
      <w:pPr>
        <w:rPr>
          <w:rFonts w:ascii="Times New Roman" w:hAnsi="Times New Roman" w:cs="Times New Roman"/>
          <w:b/>
          <w:bCs/>
          <w:i/>
          <w:iCs/>
        </w:rPr>
      </w:pPr>
      <w:r w:rsidRPr="00EC2489">
        <w:rPr>
          <w:rFonts w:ascii="Times New Roman" w:hAnsi="Times New Roman" w:cs="Times New Roman"/>
          <w:b/>
          <w:bCs/>
          <w:i/>
          <w:iCs/>
        </w:rPr>
        <w:t>Duration of the project</w:t>
      </w:r>
    </w:p>
    <w:p w14:paraId="1191E2BE" w14:textId="298CF9EB" w:rsidR="00F12350" w:rsidRPr="00EC2489" w:rsidRDefault="00B56C35" w:rsidP="00B56C35">
      <w:pPr>
        <w:autoSpaceDE w:val="0"/>
        <w:autoSpaceDN w:val="0"/>
        <w:adjustRightInd w:val="0"/>
        <w:jc w:val="left"/>
        <w:rPr>
          <w:rFonts w:ascii="Times New Roman" w:hAnsi="Times New Roman" w:cs="Times New Roman"/>
          <w:kern w:val="0"/>
        </w:rPr>
      </w:pPr>
      <w:r w:rsidRPr="00EC2489">
        <w:rPr>
          <w:rFonts w:ascii="Times New Roman" w:hAnsi="Times New Roman" w:cs="Times New Roman"/>
          <w:kern w:val="0"/>
        </w:rPr>
        <w:t>The end of the project is defined as 3 years after the date that the last patient has been registered to the trial.</w:t>
      </w:r>
    </w:p>
    <w:p w14:paraId="0206556F" w14:textId="48083E84" w:rsidR="00F12350" w:rsidRPr="00EC2489" w:rsidRDefault="00F12350">
      <w:pPr>
        <w:rPr>
          <w:rFonts w:ascii="Times New Roman" w:hAnsi="Times New Roman" w:cs="Times New Roman"/>
          <w:b/>
          <w:bCs/>
          <w:i/>
          <w:iCs/>
        </w:rPr>
      </w:pPr>
    </w:p>
    <w:p w14:paraId="7F533AD3" w14:textId="657AC04B" w:rsidR="00F12350" w:rsidRPr="001D36CB" w:rsidRDefault="00F12350">
      <w:pPr>
        <w:rPr>
          <w:rFonts w:ascii="Times New Roman" w:hAnsi="Times New Roman" w:cs="Times New Roman"/>
          <w:b/>
          <w:bCs/>
          <w:i/>
          <w:iCs/>
          <w:color w:val="000000" w:themeColor="text1"/>
        </w:rPr>
      </w:pPr>
      <w:r w:rsidRPr="001D36CB">
        <w:rPr>
          <w:rFonts w:ascii="Times New Roman" w:hAnsi="Times New Roman" w:cs="Times New Roman"/>
          <w:b/>
          <w:bCs/>
          <w:i/>
          <w:iCs/>
          <w:color w:val="000000" w:themeColor="text1"/>
        </w:rPr>
        <w:t>Ethics</w:t>
      </w:r>
    </w:p>
    <w:p w14:paraId="312FD8A9" w14:textId="333E7E4B" w:rsidR="00F12350" w:rsidRPr="00EC2489" w:rsidRDefault="00C76E8B">
      <w:pPr>
        <w:rPr>
          <w:rFonts w:ascii="Times New Roman" w:hAnsi="Times New Roman" w:cs="Times New Roman"/>
        </w:rPr>
      </w:pPr>
      <w:r w:rsidRPr="00EC2489">
        <w:rPr>
          <w:rFonts w:ascii="Times New Roman" w:hAnsi="Times New Roman" w:cs="Times New Roman"/>
        </w:rPr>
        <w:t xml:space="preserve">The study </w:t>
      </w:r>
      <w:r w:rsidR="00EB2C42" w:rsidRPr="00EC2489">
        <w:rPr>
          <w:rFonts w:ascii="Times New Roman" w:hAnsi="Times New Roman" w:cs="Times New Roman"/>
        </w:rPr>
        <w:t>is</w:t>
      </w:r>
      <w:r w:rsidRPr="00EC2489">
        <w:rPr>
          <w:rFonts w:ascii="Times New Roman" w:hAnsi="Times New Roman" w:cs="Times New Roman"/>
        </w:rPr>
        <w:t xml:space="preserve"> conducted in accordance with the Helsinki declaration on experimentation on human subjects. Written informed consent are obtained from all patients at study enrollment.</w:t>
      </w:r>
    </w:p>
    <w:p w14:paraId="7FA93066" w14:textId="77777777" w:rsidR="00F12350" w:rsidRPr="00EC2489" w:rsidRDefault="00F12350">
      <w:pPr>
        <w:rPr>
          <w:rFonts w:ascii="Times New Roman" w:hAnsi="Times New Roman" w:cs="Times New Roman"/>
          <w:b/>
          <w:bCs/>
          <w:i/>
          <w:iCs/>
        </w:rPr>
      </w:pPr>
    </w:p>
    <w:sectPr w:rsidR="00F12350" w:rsidRPr="00EC2489" w:rsidSect="00AA3CF7">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ヒラギノ角ゴ ProN W3">
    <w:panose1 w:val="020B0300000000000000"/>
    <w:charset w:val="80"/>
    <w:family w:val="swiss"/>
    <w:pitch w:val="variable"/>
    <w:sig w:usb0="E00002FF"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3E686E"/>
    <w:multiLevelType w:val="hybridMultilevel"/>
    <w:tmpl w:val="23F02BE2"/>
    <w:lvl w:ilvl="0" w:tplc="0409000B">
      <w:start w:val="1"/>
      <w:numFmt w:val="bullet"/>
      <w:lvlText w:val=""/>
      <w:lvlJc w:val="left"/>
      <w:pPr>
        <w:ind w:left="480" w:hanging="480"/>
      </w:pPr>
      <w:rPr>
        <w:rFonts w:ascii="Wingdings" w:hAnsi="Wingdings" w:hint="default"/>
      </w:rPr>
    </w:lvl>
    <w:lvl w:ilvl="1" w:tplc="0409000B">
      <w:start w:val="1"/>
      <w:numFmt w:val="bullet"/>
      <w:lvlText w:val=""/>
      <w:lvlJc w:val="left"/>
      <w:pPr>
        <w:ind w:left="960" w:hanging="480"/>
      </w:pPr>
      <w:rPr>
        <w:rFonts w:ascii="Wingdings" w:hAnsi="Wingdings" w:hint="default"/>
      </w:rPr>
    </w:lvl>
    <w:lvl w:ilvl="2" w:tplc="0409000D">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defaultTabStop w:val="9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FC2"/>
    <w:rsid w:val="00003783"/>
    <w:rsid w:val="00006FC2"/>
    <w:rsid w:val="0000765B"/>
    <w:rsid w:val="00022B03"/>
    <w:rsid w:val="0007679B"/>
    <w:rsid w:val="00090D17"/>
    <w:rsid w:val="00092FF6"/>
    <w:rsid w:val="000C1443"/>
    <w:rsid w:val="000C7E39"/>
    <w:rsid w:val="00104F99"/>
    <w:rsid w:val="0019770E"/>
    <w:rsid w:val="001C34BA"/>
    <w:rsid w:val="001C370E"/>
    <w:rsid w:val="001D36CB"/>
    <w:rsid w:val="0021442E"/>
    <w:rsid w:val="00260CD4"/>
    <w:rsid w:val="00284A2E"/>
    <w:rsid w:val="002B463A"/>
    <w:rsid w:val="002B6827"/>
    <w:rsid w:val="002E0D72"/>
    <w:rsid w:val="00311421"/>
    <w:rsid w:val="00340120"/>
    <w:rsid w:val="0035633C"/>
    <w:rsid w:val="00357587"/>
    <w:rsid w:val="003D1189"/>
    <w:rsid w:val="00465355"/>
    <w:rsid w:val="004C02A3"/>
    <w:rsid w:val="00512BD5"/>
    <w:rsid w:val="00532CB0"/>
    <w:rsid w:val="005914D1"/>
    <w:rsid w:val="005A18F3"/>
    <w:rsid w:val="005C24C7"/>
    <w:rsid w:val="005C3AFF"/>
    <w:rsid w:val="00624FB1"/>
    <w:rsid w:val="0065266B"/>
    <w:rsid w:val="006907F9"/>
    <w:rsid w:val="006C33C3"/>
    <w:rsid w:val="006D6D25"/>
    <w:rsid w:val="00703CA0"/>
    <w:rsid w:val="00785C41"/>
    <w:rsid w:val="007C40AA"/>
    <w:rsid w:val="007D363A"/>
    <w:rsid w:val="007E441C"/>
    <w:rsid w:val="007F2C62"/>
    <w:rsid w:val="00823339"/>
    <w:rsid w:val="0082586E"/>
    <w:rsid w:val="0084437E"/>
    <w:rsid w:val="00856A01"/>
    <w:rsid w:val="00865E1F"/>
    <w:rsid w:val="008D463D"/>
    <w:rsid w:val="009171D4"/>
    <w:rsid w:val="00970E81"/>
    <w:rsid w:val="00971321"/>
    <w:rsid w:val="0097600B"/>
    <w:rsid w:val="009A5754"/>
    <w:rsid w:val="009C5F23"/>
    <w:rsid w:val="00A556C0"/>
    <w:rsid w:val="00AA3CF7"/>
    <w:rsid w:val="00AB437B"/>
    <w:rsid w:val="00B00F89"/>
    <w:rsid w:val="00B102AD"/>
    <w:rsid w:val="00B520A7"/>
    <w:rsid w:val="00B529E5"/>
    <w:rsid w:val="00B53948"/>
    <w:rsid w:val="00B56C35"/>
    <w:rsid w:val="00B96B56"/>
    <w:rsid w:val="00C31E2A"/>
    <w:rsid w:val="00C76E8B"/>
    <w:rsid w:val="00C87BCA"/>
    <w:rsid w:val="00C9095D"/>
    <w:rsid w:val="00C97405"/>
    <w:rsid w:val="00C97FB6"/>
    <w:rsid w:val="00CA0490"/>
    <w:rsid w:val="00CB0B6C"/>
    <w:rsid w:val="00CE2FFF"/>
    <w:rsid w:val="00CE7B77"/>
    <w:rsid w:val="00D2144D"/>
    <w:rsid w:val="00D75291"/>
    <w:rsid w:val="00D843ED"/>
    <w:rsid w:val="00DC3DCA"/>
    <w:rsid w:val="00E7060A"/>
    <w:rsid w:val="00EB2C42"/>
    <w:rsid w:val="00EB645A"/>
    <w:rsid w:val="00EC2489"/>
    <w:rsid w:val="00EF5709"/>
    <w:rsid w:val="00F059D9"/>
    <w:rsid w:val="00F12350"/>
    <w:rsid w:val="00F3092A"/>
    <w:rsid w:val="00F37192"/>
    <w:rsid w:val="00F53A87"/>
    <w:rsid w:val="00FC0B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9E3BA6F"/>
  <w14:defaultImageDpi w14:val="32767"/>
  <w15:chartTrackingRefBased/>
  <w15:docId w15:val="{4D3450F8-947D-7945-B935-BC487E6D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06FC2"/>
    <w:rPr>
      <w:color w:val="0563C1" w:themeColor="hyperlink"/>
      <w:u w:val="single"/>
    </w:rPr>
  </w:style>
  <w:style w:type="character" w:styleId="a4">
    <w:name w:val="Unresolved Mention"/>
    <w:basedOn w:val="a0"/>
    <w:uiPriority w:val="99"/>
    <w:rsid w:val="00006FC2"/>
    <w:rPr>
      <w:color w:val="605E5C"/>
      <w:shd w:val="clear" w:color="auto" w:fill="E1DFDD"/>
    </w:rPr>
  </w:style>
  <w:style w:type="paragraph" w:styleId="a5">
    <w:name w:val="Body Text"/>
    <w:basedOn w:val="a"/>
    <w:link w:val="a6"/>
    <w:uiPriority w:val="1"/>
    <w:qFormat/>
    <w:rsid w:val="009A5754"/>
    <w:pPr>
      <w:spacing w:before="78"/>
      <w:ind w:left="324"/>
      <w:jc w:val="left"/>
    </w:pPr>
    <w:rPr>
      <w:rFonts w:ascii="Century" w:eastAsia="ヒラギノ角ゴ ProN W3" w:hAnsi="Century" w:cs="Arial"/>
      <w:w w:val="95"/>
      <w:sz w:val="22"/>
      <w:szCs w:val="22"/>
    </w:rPr>
  </w:style>
  <w:style w:type="character" w:customStyle="1" w:styleId="a6">
    <w:name w:val="本文 (文字)"/>
    <w:basedOn w:val="a0"/>
    <w:link w:val="a5"/>
    <w:uiPriority w:val="1"/>
    <w:rsid w:val="009A5754"/>
    <w:rPr>
      <w:rFonts w:ascii="Century" w:eastAsia="ヒラギノ角ゴ ProN W3" w:hAnsi="Century" w:cs="Arial"/>
      <w:w w:val="95"/>
      <w:sz w:val="22"/>
      <w:szCs w:val="22"/>
    </w:rPr>
  </w:style>
  <w:style w:type="paragraph" w:customStyle="1" w:styleId="a7">
    <w:name w:val="レベル２のスタイル"/>
    <w:basedOn w:val="a"/>
    <w:uiPriority w:val="1"/>
    <w:qFormat/>
    <w:rsid w:val="00865E1F"/>
    <w:pPr>
      <w:pBdr>
        <w:bottom w:val="double" w:sz="4" w:space="1" w:color="4472C4" w:themeColor="accent1"/>
      </w:pBdr>
      <w:snapToGrid w:val="0"/>
      <w:ind w:leftChars="100" w:left="220" w:rightChars="100" w:right="220"/>
      <w:jc w:val="left"/>
      <w:outlineLvl w:val="1"/>
    </w:pPr>
    <w:rPr>
      <w:rFonts w:ascii="ヒラギノ角ゴ ProN W3" w:eastAsia="ヒラギノ角ゴ ProN W3" w:hAnsi="ヒラギノ角ゴ ProN W3" w:cs="Arial Unicode MS"/>
      <w:w w:val="9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min.ac.jp/ctr/index-j.htm" TargetMode="External"/><Relationship Id="rId4" Type="http://schemas.openxmlformats.org/officeDocument/2006/relationships/webSettings" Target="web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1487</Words>
  <Characters>8476</Characters>
  <Application>Microsoft Office Word</Application>
  <DocSecurity>0</DocSecurity>
  <Lines>70</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家根 由典</dc:creator>
  <cp:keywords/>
  <dc:description/>
  <cp:lastModifiedBy>家根 由典</cp:lastModifiedBy>
  <cp:revision>3</cp:revision>
  <dcterms:created xsi:type="dcterms:W3CDTF">2021-12-21T22:30:00Z</dcterms:created>
  <dcterms:modified xsi:type="dcterms:W3CDTF">2021-12-23T09:12:00Z</dcterms:modified>
</cp:coreProperties>
</file>