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2823F" w14:textId="696FE80B" w:rsidR="00841748" w:rsidRPr="0036209B" w:rsidRDefault="00841748" w:rsidP="00841748">
      <w:pPr>
        <w:jc w:val="center"/>
        <w:rPr>
          <w:rFonts w:ascii="Arial" w:hAnsi="Arial" w:cs="Arial"/>
          <w:b/>
          <w:bCs/>
          <w:sz w:val="36"/>
          <w:szCs w:val="36"/>
          <w:lang w:val="es-ES_tradnl"/>
        </w:rPr>
      </w:pPr>
      <w:proofErr w:type="spellStart"/>
      <w:r w:rsidRPr="0036209B">
        <w:rPr>
          <w:rFonts w:ascii="Arial" w:hAnsi="Arial" w:cs="Arial"/>
          <w:b/>
          <w:bCs/>
          <w:sz w:val="36"/>
          <w:szCs w:val="36"/>
          <w:lang w:val="es-ES_tradnl"/>
        </w:rPr>
        <w:t>Supplementary</w:t>
      </w:r>
      <w:proofErr w:type="spellEnd"/>
      <w:r w:rsidRPr="0036209B">
        <w:rPr>
          <w:rFonts w:ascii="Arial" w:hAnsi="Arial" w:cs="Arial"/>
          <w:b/>
          <w:bCs/>
          <w:sz w:val="36"/>
          <w:szCs w:val="36"/>
          <w:lang w:val="es-ES_tradnl"/>
        </w:rPr>
        <w:t xml:space="preserve"> </w:t>
      </w:r>
      <w:proofErr w:type="spellStart"/>
      <w:r w:rsidRPr="0036209B">
        <w:rPr>
          <w:rFonts w:ascii="Arial" w:hAnsi="Arial" w:cs="Arial"/>
          <w:b/>
          <w:bCs/>
          <w:sz w:val="36"/>
          <w:szCs w:val="36"/>
          <w:lang w:val="es-ES_tradnl"/>
        </w:rPr>
        <w:t>Information</w:t>
      </w:r>
      <w:proofErr w:type="spellEnd"/>
    </w:p>
    <w:p w14:paraId="577C6CDE" w14:textId="64A28FC4" w:rsidR="00565A01" w:rsidRPr="0036209B" w:rsidRDefault="00841748" w:rsidP="00841748">
      <w:pPr>
        <w:jc w:val="center"/>
        <w:rPr>
          <w:rFonts w:ascii="Arial" w:hAnsi="Arial" w:cs="Arial"/>
          <w:i/>
          <w:iCs/>
          <w:sz w:val="28"/>
          <w:szCs w:val="28"/>
          <w:lang w:val="es-ES_tradnl"/>
        </w:rPr>
      </w:pPr>
      <w:proofErr w:type="spellStart"/>
      <w:r w:rsidRPr="0036209B">
        <w:rPr>
          <w:rFonts w:ascii="Arial" w:hAnsi="Arial" w:cs="Arial"/>
          <w:i/>
          <w:iCs/>
          <w:sz w:val="28"/>
          <w:szCs w:val="28"/>
          <w:lang w:val="es-ES_tradnl"/>
        </w:rPr>
        <w:t>for</w:t>
      </w:r>
      <w:proofErr w:type="spellEnd"/>
    </w:p>
    <w:p w14:paraId="135C5EA1" w14:textId="10CF534B" w:rsidR="00841748" w:rsidRPr="0036209B" w:rsidRDefault="00841748" w:rsidP="00841748">
      <w:pPr>
        <w:spacing w:line="276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 xml:space="preserve">Non-invasive </w:t>
      </w:r>
      <w:proofErr w:type="spellStart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>detection</w:t>
      </w:r>
      <w:proofErr w:type="spellEnd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proofErr w:type="spellStart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>of</w:t>
      </w:r>
      <w:proofErr w:type="spellEnd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 xml:space="preserve"> peritonitis-</w:t>
      </w:r>
      <w:proofErr w:type="spellStart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>related</w:t>
      </w:r>
      <w:proofErr w:type="spellEnd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proofErr w:type="spellStart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>alterations</w:t>
      </w:r>
      <w:proofErr w:type="spellEnd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 xml:space="preserve"> in peritoneal </w:t>
      </w:r>
      <w:proofErr w:type="spellStart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>dialysis</w:t>
      </w:r>
      <w:proofErr w:type="spellEnd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proofErr w:type="spellStart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>effluent</w:t>
      </w:r>
      <w:proofErr w:type="spellEnd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proofErr w:type="spellStart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>using</w:t>
      </w:r>
      <w:proofErr w:type="spellEnd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proofErr w:type="spellStart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>high-resolution</w:t>
      </w:r>
      <w:proofErr w:type="spellEnd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proofErr w:type="spellStart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>ultrasound</w:t>
      </w:r>
      <w:proofErr w:type="spellEnd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 xml:space="preserve"> and artificial </w:t>
      </w:r>
      <w:proofErr w:type="spellStart"/>
      <w:r w:rsidRPr="0036209B">
        <w:rPr>
          <w:rFonts w:ascii="Arial" w:hAnsi="Arial" w:cs="Arial"/>
          <w:b/>
          <w:bCs/>
          <w:sz w:val="28"/>
          <w:szCs w:val="28"/>
          <w:lang w:val="es-ES_tradnl"/>
        </w:rPr>
        <w:t>intelligence</w:t>
      </w:r>
      <w:proofErr w:type="spellEnd"/>
    </w:p>
    <w:p w14:paraId="5374917D" w14:textId="77777777" w:rsidR="00E82CE2" w:rsidRPr="00E82CE2" w:rsidRDefault="00E82CE2" w:rsidP="00E82CE2">
      <w:pPr>
        <w:spacing w:line="276" w:lineRule="auto"/>
        <w:jc w:val="center"/>
        <w:rPr>
          <w:rFonts w:ascii="Arial" w:eastAsia="Calibri" w:hAnsi="Arial" w:cs="Arial"/>
          <w:sz w:val="22"/>
          <w:szCs w:val="22"/>
          <w:vertAlign w:val="superscript"/>
          <w:lang w:val="en"/>
        </w:rPr>
      </w:pPr>
      <w:r w:rsidRPr="00E82CE2">
        <w:rPr>
          <w:rFonts w:ascii="Arial" w:eastAsia="Calibri" w:hAnsi="Arial" w:cs="Arial"/>
          <w:sz w:val="22"/>
          <w:szCs w:val="22"/>
          <w:lang w:val="en"/>
        </w:rPr>
        <w:t>María Quero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1</w:t>
      </w:r>
      <w:r w:rsidRPr="00E82CE2">
        <w:rPr>
          <w:rFonts w:ascii="Arial" w:eastAsia="Calibri" w:hAnsi="Arial" w:cs="Arial"/>
          <w:sz w:val="22"/>
          <w:szCs w:val="22"/>
          <w:lang w:val="en"/>
        </w:rPr>
        <w:t>*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†</w:t>
      </w:r>
      <w:r w:rsidRPr="00E82CE2">
        <w:rPr>
          <w:rFonts w:ascii="Arial" w:eastAsia="Calibri" w:hAnsi="Arial" w:cs="Arial"/>
          <w:sz w:val="22"/>
          <w:szCs w:val="22"/>
          <w:lang w:val="en"/>
        </w:rPr>
        <w:t>,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 xml:space="preserve"> </w:t>
      </w:r>
      <w:r w:rsidRPr="00E82CE2">
        <w:rPr>
          <w:rFonts w:ascii="Arial" w:eastAsia="Calibri" w:hAnsi="Arial" w:cs="Arial"/>
          <w:sz w:val="22"/>
          <w:szCs w:val="22"/>
          <w:lang w:val="en"/>
        </w:rPr>
        <w:t>Sara Guillén Fernández-Micheltorena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2†</w:t>
      </w:r>
      <w:r w:rsidRPr="00E82CE2">
        <w:rPr>
          <w:rFonts w:ascii="Arial" w:eastAsia="Calibri" w:hAnsi="Arial" w:cs="Arial"/>
          <w:sz w:val="22"/>
          <w:szCs w:val="22"/>
          <w:lang w:val="en"/>
        </w:rPr>
        <w:t>, Beatrice M. Jobst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2</w:t>
      </w:r>
      <w:r w:rsidRPr="00E82CE2">
        <w:rPr>
          <w:rFonts w:ascii="Arial" w:eastAsia="Calibri" w:hAnsi="Arial" w:cs="Arial"/>
          <w:sz w:val="22"/>
          <w:szCs w:val="22"/>
          <w:lang w:val="en"/>
        </w:rPr>
        <w:t xml:space="preserve">, Francesc </w:t>
      </w:r>
      <w:proofErr w:type="spellStart"/>
      <w:r w:rsidRPr="00E82CE2">
        <w:rPr>
          <w:rFonts w:ascii="Arial" w:eastAsia="Calibri" w:hAnsi="Arial" w:cs="Arial"/>
          <w:sz w:val="22"/>
          <w:szCs w:val="22"/>
          <w:lang w:val="en"/>
        </w:rPr>
        <w:t>Carandell</w:t>
      </w:r>
      <w:proofErr w:type="spellEnd"/>
      <w:r w:rsidRPr="00E82CE2">
        <w:rPr>
          <w:rFonts w:ascii="Arial" w:eastAsia="Calibri" w:hAnsi="Arial" w:cs="Arial"/>
          <w:sz w:val="22"/>
          <w:szCs w:val="22"/>
          <w:lang w:val="en"/>
        </w:rPr>
        <w:t xml:space="preserve"> Verdaguer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2</w:t>
      </w:r>
      <w:r w:rsidRPr="00E82CE2">
        <w:rPr>
          <w:rFonts w:ascii="Arial" w:eastAsia="Calibri" w:hAnsi="Arial" w:cs="Arial"/>
          <w:sz w:val="22"/>
          <w:szCs w:val="22"/>
          <w:lang w:val="en"/>
        </w:rPr>
        <w:t>, Fabião Santos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2</w:t>
      </w:r>
      <w:r w:rsidRPr="00E82CE2">
        <w:rPr>
          <w:rFonts w:ascii="Arial" w:eastAsia="Calibri" w:hAnsi="Arial" w:cs="Arial"/>
          <w:sz w:val="22"/>
          <w:szCs w:val="22"/>
          <w:lang w:val="en"/>
        </w:rPr>
        <w:t>, Javier Jiménez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2</w:t>
      </w:r>
      <w:r w:rsidRPr="00E82CE2">
        <w:rPr>
          <w:rFonts w:ascii="Arial" w:eastAsia="Calibri" w:hAnsi="Arial" w:cs="Arial"/>
          <w:sz w:val="22"/>
          <w:szCs w:val="22"/>
          <w:lang w:val="en"/>
        </w:rPr>
        <w:t>, Rita Quesada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2</w:t>
      </w:r>
      <w:r w:rsidRPr="00E82CE2">
        <w:rPr>
          <w:rFonts w:ascii="Arial" w:eastAsia="Calibri" w:hAnsi="Arial" w:cs="Arial"/>
          <w:sz w:val="22"/>
          <w:szCs w:val="22"/>
          <w:lang w:val="en"/>
        </w:rPr>
        <w:t>, Melissa Rau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1</w:t>
      </w:r>
      <w:r w:rsidRPr="00E82CE2">
        <w:rPr>
          <w:rFonts w:ascii="Arial" w:eastAsia="Calibri" w:hAnsi="Arial" w:cs="Arial"/>
          <w:sz w:val="22"/>
          <w:szCs w:val="22"/>
          <w:lang w:val="en"/>
        </w:rPr>
        <w:t>, Alex Andújar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1</w:t>
      </w:r>
      <w:r w:rsidRPr="00E82CE2">
        <w:rPr>
          <w:rFonts w:ascii="Arial" w:eastAsia="Calibri" w:hAnsi="Arial" w:cs="Arial"/>
          <w:sz w:val="22"/>
          <w:szCs w:val="22"/>
          <w:lang w:val="en"/>
        </w:rPr>
        <w:t>, Isabel Galceran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3</w:t>
      </w:r>
      <w:r w:rsidRPr="00E82CE2">
        <w:rPr>
          <w:rFonts w:ascii="Arial" w:eastAsia="Calibri" w:hAnsi="Arial" w:cs="Arial"/>
          <w:sz w:val="22"/>
          <w:szCs w:val="22"/>
          <w:lang w:val="en"/>
        </w:rPr>
        <w:t xml:space="preserve">, </w:t>
      </w:r>
      <w:proofErr w:type="spellStart"/>
      <w:r w:rsidRPr="00E82CE2">
        <w:rPr>
          <w:rFonts w:ascii="Arial" w:eastAsia="Calibri" w:hAnsi="Arial" w:cs="Arial"/>
          <w:sz w:val="22"/>
          <w:szCs w:val="22"/>
          <w:lang w:val="en"/>
        </w:rPr>
        <w:t>Meritxel</w:t>
      </w:r>
      <w:proofErr w:type="spellEnd"/>
      <w:r w:rsidRPr="00E82CE2">
        <w:rPr>
          <w:rFonts w:ascii="Arial" w:eastAsia="Calibri" w:hAnsi="Arial" w:cs="Arial"/>
          <w:sz w:val="22"/>
          <w:szCs w:val="22"/>
          <w:lang w:val="en"/>
        </w:rPr>
        <w:t xml:space="preserve"> Illa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3</w:t>
      </w:r>
      <w:r w:rsidRPr="00E82CE2">
        <w:rPr>
          <w:rFonts w:ascii="Arial" w:eastAsia="Calibri" w:hAnsi="Arial" w:cs="Arial"/>
          <w:sz w:val="22"/>
          <w:szCs w:val="22"/>
          <w:lang w:val="en"/>
        </w:rPr>
        <w:t>, Fátima Moreno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4</w:t>
      </w:r>
      <w:r w:rsidRPr="00E82CE2">
        <w:rPr>
          <w:rFonts w:ascii="Arial" w:eastAsia="Calibri" w:hAnsi="Arial" w:cs="Arial"/>
          <w:sz w:val="22"/>
          <w:szCs w:val="22"/>
          <w:lang w:val="en"/>
        </w:rPr>
        <w:t>, Ángeles Montoya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4</w:t>
      </w:r>
      <w:r w:rsidRPr="00E82CE2">
        <w:rPr>
          <w:rFonts w:ascii="Arial" w:eastAsia="Calibri" w:hAnsi="Arial" w:cs="Arial"/>
          <w:sz w:val="22"/>
          <w:szCs w:val="22"/>
          <w:lang w:val="en"/>
        </w:rPr>
        <w:t>, Ana Sánchez-Escudero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5</w:t>
      </w:r>
      <w:r w:rsidRPr="00E82CE2">
        <w:rPr>
          <w:rFonts w:ascii="Arial" w:eastAsia="Calibri" w:hAnsi="Arial" w:cs="Arial"/>
          <w:sz w:val="22"/>
          <w:szCs w:val="22"/>
          <w:lang w:val="en"/>
        </w:rPr>
        <w:t>, Raquel López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5</w:t>
      </w:r>
      <w:r w:rsidRPr="00E82CE2">
        <w:rPr>
          <w:rFonts w:ascii="Arial" w:eastAsia="Calibri" w:hAnsi="Arial" w:cs="Arial"/>
          <w:sz w:val="22"/>
          <w:szCs w:val="22"/>
          <w:lang w:val="en"/>
        </w:rPr>
        <w:t>, José Jesús Broseta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6</w:t>
      </w:r>
      <w:r w:rsidRPr="00E82CE2">
        <w:rPr>
          <w:rFonts w:ascii="Arial" w:eastAsia="Calibri" w:hAnsi="Arial" w:cs="Arial"/>
          <w:sz w:val="22"/>
          <w:szCs w:val="22"/>
          <w:lang w:val="en"/>
        </w:rPr>
        <w:t>, Elena Cuadrado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6</w:t>
      </w:r>
      <w:r w:rsidRPr="00E82CE2">
        <w:rPr>
          <w:rFonts w:ascii="Arial" w:eastAsia="Calibri" w:hAnsi="Arial" w:cs="Arial"/>
          <w:sz w:val="22"/>
          <w:szCs w:val="22"/>
          <w:lang w:val="en"/>
        </w:rPr>
        <w:t>, Paula Petrone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7</w:t>
      </w:r>
      <w:r w:rsidRPr="00E82CE2">
        <w:rPr>
          <w:rFonts w:ascii="Arial" w:eastAsia="Calibri" w:hAnsi="Arial" w:cs="Arial"/>
          <w:sz w:val="22"/>
          <w:szCs w:val="22"/>
          <w:lang w:val="en"/>
        </w:rPr>
        <w:t>, Inés Rama</w:t>
      </w:r>
      <w:r w:rsidRPr="00E82CE2">
        <w:rPr>
          <w:rFonts w:ascii="Arial" w:eastAsia="Calibri" w:hAnsi="Arial" w:cs="Arial"/>
          <w:sz w:val="22"/>
          <w:szCs w:val="22"/>
          <w:vertAlign w:val="superscript"/>
          <w:lang w:val="en"/>
        </w:rPr>
        <w:t>1</w:t>
      </w:r>
    </w:p>
    <w:p w14:paraId="16480376" w14:textId="77777777" w:rsidR="00841748" w:rsidRPr="0036209B" w:rsidRDefault="00841748" w:rsidP="00841748">
      <w:pPr>
        <w:spacing w:line="276" w:lineRule="auto"/>
        <w:jc w:val="both"/>
        <w:rPr>
          <w:rFonts w:ascii="Arial" w:eastAsia="Calibri" w:hAnsi="Arial" w:cs="Arial"/>
          <w:sz w:val="21"/>
          <w:szCs w:val="21"/>
        </w:rPr>
      </w:pPr>
      <w:r w:rsidRPr="0036209B">
        <w:rPr>
          <w:rFonts w:ascii="Arial" w:eastAsia="Calibri" w:hAnsi="Arial" w:cs="Arial"/>
          <w:sz w:val="21"/>
          <w:szCs w:val="21"/>
        </w:rPr>
        <w:t xml:space="preserve">1 </w:t>
      </w:r>
      <w:proofErr w:type="gramStart"/>
      <w:r w:rsidRPr="0036209B">
        <w:rPr>
          <w:rFonts w:ascii="Arial" w:eastAsia="Calibri" w:hAnsi="Arial" w:cs="Arial"/>
          <w:sz w:val="21"/>
          <w:szCs w:val="21"/>
        </w:rPr>
        <w:t>Hospital</w:t>
      </w:r>
      <w:proofErr w:type="gramEnd"/>
      <w:r w:rsidRPr="0036209B">
        <w:rPr>
          <w:rFonts w:ascii="Arial" w:eastAsia="Calibri" w:hAnsi="Arial" w:cs="Arial"/>
          <w:sz w:val="21"/>
          <w:szCs w:val="21"/>
        </w:rPr>
        <w:t xml:space="preserve"> Universitario de Bellvitge, Barcelona,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Spain</w:t>
      </w:r>
      <w:proofErr w:type="spellEnd"/>
    </w:p>
    <w:p w14:paraId="63B982A2" w14:textId="77777777" w:rsidR="00841748" w:rsidRPr="0036209B" w:rsidRDefault="00841748" w:rsidP="00841748">
      <w:pPr>
        <w:spacing w:line="276" w:lineRule="auto"/>
        <w:jc w:val="both"/>
        <w:rPr>
          <w:rFonts w:ascii="Arial" w:eastAsia="Calibri" w:hAnsi="Arial" w:cs="Arial"/>
          <w:sz w:val="21"/>
          <w:szCs w:val="21"/>
        </w:rPr>
      </w:pPr>
      <w:r w:rsidRPr="0036209B">
        <w:rPr>
          <w:rFonts w:ascii="Arial" w:eastAsia="Calibri" w:hAnsi="Arial" w:cs="Arial"/>
          <w:sz w:val="21"/>
          <w:szCs w:val="21"/>
        </w:rPr>
        <w:t xml:space="preserve">2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Kriba</w:t>
      </w:r>
      <w:proofErr w:type="spellEnd"/>
      <w:r w:rsidRPr="0036209B">
        <w:rPr>
          <w:rFonts w:ascii="Arial" w:eastAsia="Calibri" w:hAnsi="Arial" w:cs="Arial"/>
          <w:sz w:val="21"/>
          <w:szCs w:val="21"/>
        </w:rPr>
        <w:t xml:space="preserve">, Barcelona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Science</w:t>
      </w:r>
      <w:proofErr w:type="spellEnd"/>
      <w:r w:rsidRPr="0036209B">
        <w:rPr>
          <w:rFonts w:ascii="Arial" w:eastAsia="Calibri" w:hAnsi="Arial" w:cs="Arial"/>
          <w:sz w:val="21"/>
          <w:szCs w:val="21"/>
        </w:rPr>
        <w:t xml:space="preserve"> Park, Barcelona,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Spain</w:t>
      </w:r>
      <w:proofErr w:type="spellEnd"/>
    </w:p>
    <w:p w14:paraId="5ED5669A" w14:textId="77777777" w:rsidR="00841748" w:rsidRPr="0036209B" w:rsidRDefault="00841748" w:rsidP="00841748">
      <w:pPr>
        <w:spacing w:line="276" w:lineRule="auto"/>
        <w:jc w:val="both"/>
        <w:rPr>
          <w:rFonts w:ascii="Arial" w:eastAsia="Calibri" w:hAnsi="Arial" w:cs="Arial"/>
          <w:sz w:val="21"/>
          <w:szCs w:val="21"/>
        </w:rPr>
      </w:pPr>
      <w:r w:rsidRPr="0036209B">
        <w:rPr>
          <w:rFonts w:ascii="Arial" w:eastAsia="Calibri" w:hAnsi="Arial" w:cs="Arial"/>
          <w:sz w:val="21"/>
          <w:szCs w:val="21"/>
        </w:rPr>
        <w:t xml:space="preserve">3 </w:t>
      </w:r>
      <w:proofErr w:type="gramStart"/>
      <w:r w:rsidRPr="0036209B">
        <w:rPr>
          <w:rFonts w:ascii="Arial" w:eastAsia="Calibri" w:hAnsi="Arial" w:cs="Arial"/>
          <w:sz w:val="21"/>
          <w:szCs w:val="21"/>
        </w:rPr>
        <w:t>Hospital</w:t>
      </w:r>
      <w:proofErr w:type="gramEnd"/>
      <w:r w:rsidRPr="0036209B">
        <w:rPr>
          <w:rFonts w:ascii="Arial" w:eastAsia="Calibri" w:hAnsi="Arial" w:cs="Arial"/>
          <w:sz w:val="21"/>
          <w:szCs w:val="21"/>
        </w:rPr>
        <w:t xml:space="preserve"> del Mar, Barcelona,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Spain</w:t>
      </w:r>
      <w:proofErr w:type="spellEnd"/>
    </w:p>
    <w:p w14:paraId="3BCE1569" w14:textId="77777777" w:rsidR="00841748" w:rsidRPr="0036209B" w:rsidRDefault="00841748" w:rsidP="00841748">
      <w:pPr>
        <w:spacing w:line="276" w:lineRule="auto"/>
        <w:jc w:val="both"/>
        <w:rPr>
          <w:rFonts w:ascii="Arial" w:eastAsia="Calibri" w:hAnsi="Arial" w:cs="Arial"/>
          <w:sz w:val="21"/>
          <w:szCs w:val="21"/>
        </w:rPr>
      </w:pPr>
      <w:r w:rsidRPr="0036209B">
        <w:rPr>
          <w:rFonts w:ascii="Arial" w:eastAsia="Calibri" w:hAnsi="Arial" w:cs="Arial"/>
          <w:sz w:val="21"/>
          <w:szCs w:val="21"/>
        </w:rPr>
        <w:t xml:space="preserve">4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Consorci</w:t>
      </w:r>
      <w:proofErr w:type="spellEnd"/>
      <w:r w:rsidRPr="0036209B">
        <w:rPr>
          <w:rFonts w:ascii="Arial" w:eastAsia="Calibri" w:hAnsi="Arial" w:cs="Arial"/>
          <w:sz w:val="21"/>
          <w:szCs w:val="21"/>
        </w:rPr>
        <w:t xml:space="preserve">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Sanitari</w:t>
      </w:r>
      <w:proofErr w:type="spellEnd"/>
      <w:r w:rsidRPr="0036209B">
        <w:rPr>
          <w:rFonts w:ascii="Arial" w:eastAsia="Calibri" w:hAnsi="Arial" w:cs="Arial"/>
          <w:sz w:val="21"/>
          <w:szCs w:val="21"/>
        </w:rPr>
        <w:t xml:space="preserve"> de Terrassa, Barcelona,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Spain</w:t>
      </w:r>
      <w:proofErr w:type="spellEnd"/>
    </w:p>
    <w:p w14:paraId="6C183376" w14:textId="77777777" w:rsidR="00841748" w:rsidRPr="0036209B" w:rsidRDefault="00841748" w:rsidP="00841748">
      <w:pPr>
        <w:spacing w:line="276" w:lineRule="auto"/>
        <w:jc w:val="both"/>
        <w:rPr>
          <w:rFonts w:ascii="Arial" w:eastAsia="Calibri" w:hAnsi="Arial" w:cs="Arial"/>
          <w:sz w:val="21"/>
          <w:szCs w:val="21"/>
        </w:rPr>
      </w:pPr>
      <w:r w:rsidRPr="0036209B">
        <w:rPr>
          <w:rFonts w:ascii="Arial" w:eastAsia="Calibri" w:hAnsi="Arial" w:cs="Arial"/>
          <w:sz w:val="21"/>
          <w:szCs w:val="21"/>
        </w:rPr>
        <w:t xml:space="preserve">5 </w:t>
      </w:r>
      <w:proofErr w:type="gramStart"/>
      <w:r w:rsidRPr="0036209B">
        <w:rPr>
          <w:rFonts w:ascii="Arial" w:eastAsia="Calibri" w:hAnsi="Arial" w:cs="Arial"/>
          <w:sz w:val="21"/>
          <w:szCs w:val="21"/>
        </w:rPr>
        <w:t>Hospital</w:t>
      </w:r>
      <w:proofErr w:type="gramEnd"/>
      <w:r w:rsidRPr="0036209B">
        <w:rPr>
          <w:rFonts w:ascii="Arial" w:eastAsia="Calibri" w:hAnsi="Arial" w:cs="Arial"/>
          <w:sz w:val="21"/>
          <w:szCs w:val="21"/>
        </w:rPr>
        <w:t xml:space="preserve"> de Sant Joan Despí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Moisès</w:t>
      </w:r>
      <w:proofErr w:type="spellEnd"/>
      <w:r w:rsidRPr="0036209B">
        <w:rPr>
          <w:rFonts w:ascii="Arial" w:eastAsia="Calibri" w:hAnsi="Arial" w:cs="Arial"/>
          <w:sz w:val="21"/>
          <w:szCs w:val="21"/>
        </w:rPr>
        <w:t xml:space="preserve">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Broggi</w:t>
      </w:r>
      <w:proofErr w:type="spellEnd"/>
      <w:r w:rsidRPr="0036209B">
        <w:rPr>
          <w:rFonts w:ascii="Arial" w:eastAsia="Calibri" w:hAnsi="Arial" w:cs="Arial"/>
          <w:sz w:val="21"/>
          <w:szCs w:val="21"/>
        </w:rPr>
        <w:t xml:space="preserve">, Barcelona,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Spain</w:t>
      </w:r>
      <w:proofErr w:type="spellEnd"/>
    </w:p>
    <w:p w14:paraId="777B194B" w14:textId="77777777" w:rsidR="00841748" w:rsidRPr="0036209B" w:rsidRDefault="00841748" w:rsidP="00841748">
      <w:pPr>
        <w:spacing w:line="276" w:lineRule="auto"/>
        <w:jc w:val="both"/>
        <w:rPr>
          <w:rFonts w:ascii="Arial" w:eastAsia="Calibri" w:hAnsi="Arial" w:cs="Arial"/>
          <w:sz w:val="21"/>
          <w:szCs w:val="21"/>
        </w:rPr>
      </w:pPr>
      <w:r w:rsidRPr="0036209B">
        <w:rPr>
          <w:rFonts w:ascii="Arial" w:eastAsia="Calibri" w:hAnsi="Arial" w:cs="Arial"/>
          <w:sz w:val="21"/>
          <w:szCs w:val="21"/>
        </w:rPr>
        <w:t xml:space="preserve">6 </w:t>
      </w:r>
      <w:proofErr w:type="gramStart"/>
      <w:r w:rsidRPr="0036209B">
        <w:rPr>
          <w:rFonts w:ascii="Arial" w:eastAsia="Calibri" w:hAnsi="Arial" w:cs="Arial"/>
          <w:sz w:val="21"/>
          <w:szCs w:val="21"/>
        </w:rPr>
        <w:t>Hospital</w:t>
      </w:r>
      <w:proofErr w:type="gramEnd"/>
      <w:r w:rsidRPr="0036209B">
        <w:rPr>
          <w:rFonts w:ascii="Arial" w:eastAsia="Calibri" w:hAnsi="Arial" w:cs="Arial"/>
          <w:sz w:val="21"/>
          <w:szCs w:val="21"/>
        </w:rPr>
        <w:t xml:space="preserve">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Clinic</w:t>
      </w:r>
      <w:proofErr w:type="spellEnd"/>
      <w:r w:rsidRPr="0036209B">
        <w:rPr>
          <w:rFonts w:ascii="Arial" w:eastAsia="Calibri" w:hAnsi="Arial" w:cs="Arial"/>
          <w:sz w:val="21"/>
          <w:szCs w:val="21"/>
        </w:rPr>
        <w:t xml:space="preserve"> de Barcelona, Barcelona,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Spain</w:t>
      </w:r>
      <w:proofErr w:type="spellEnd"/>
    </w:p>
    <w:p w14:paraId="488653F2" w14:textId="77777777" w:rsidR="00841748" w:rsidRPr="0036209B" w:rsidRDefault="00841748" w:rsidP="00841748">
      <w:pPr>
        <w:spacing w:line="276" w:lineRule="auto"/>
        <w:jc w:val="both"/>
        <w:rPr>
          <w:rFonts w:ascii="Arial" w:eastAsia="Calibri" w:hAnsi="Arial" w:cs="Arial"/>
          <w:sz w:val="21"/>
          <w:szCs w:val="21"/>
        </w:rPr>
      </w:pPr>
      <w:r w:rsidRPr="0036209B">
        <w:rPr>
          <w:rFonts w:ascii="Arial" w:eastAsia="Calibri" w:hAnsi="Arial" w:cs="Arial"/>
          <w:sz w:val="21"/>
          <w:szCs w:val="21"/>
        </w:rPr>
        <w:t xml:space="preserve">7 </w:t>
      </w:r>
      <w:proofErr w:type="gramStart"/>
      <w:r w:rsidRPr="0036209B">
        <w:rPr>
          <w:rFonts w:ascii="Arial" w:eastAsia="Calibri" w:hAnsi="Arial" w:cs="Arial"/>
          <w:sz w:val="21"/>
          <w:szCs w:val="21"/>
        </w:rPr>
        <w:t>Digital</w:t>
      </w:r>
      <w:proofErr w:type="gramEnd"/>
      <w:r w:rsidRPr="0036209B">
        <w:rPr>
          <w:rFonts w:ascii="Arial" w:eastAsia="Calibri" w:hAnsi="Arial" w:cs="Arial"/>
          <w:sz w:val="21"/>
          <w:szCs w:val="21"/>
        </w:rPr>
        <w:t xml:space="preserve">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Health</w:t>
      </w:r>
      <w:proofErr w:type="spellEnd"/>
      <w:r w:rsidRPr="0036209B">
        <w:rPr>
          <w:rFonts w:ascii="Arial" w:eastAsia="Calibri" w:hAnsi="Arial" w:cs="Arial"/>
          <w:sz w:val="21"/>
          <w:szCs w:val="21"/>
        </w:rPr>
        <w:t xml:space="preserve">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Unit</w:t>
      </w:r>
      <w:proofErr w:type="spellEnd"/>
      <w:r w:rsidRPr="0036209B">
        <w:rPr>
          <w:rFonts w:ascii="Arial" w:eastAsia="Calibri" w:hAnsi="Arial" w:cs="Arial"/>
          <w:sz w:val="21"/>
          <w:szCs w:val="21"/>
        </w:rPr>
        <w:t xml:space="preserve">, Barcelona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Supercomputing</w:t>
      </w:r>
      <w:proofErr w:type="spellEnd"/>
      <w:r w:rsidRPr="0036209B">
        <w:rPr>
          <w:rFonts w:ascii="Arial" w:eastAsia="Calibri" w:hAnsi="Arial" w:cs="Arial"/>
          <w:sz w:val="21"/>
          <w:szCs w:val="21"/>
        </w:rPr>
        <w:t xml:space="preserve"> Center, Barcelona,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Spain</w:t>
      </w:r>
      <w:proofErr w:type="spellEnd"/>
    </w:p>
    <w:p w14:paraId="385A9CE2" w14:textId="07415C74" w:rsidR="0036209B" w:rsidRPr="0036209B" w:rsidRDefault="0036209B" w:rsidP="0036209B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6209B">
        <w:rPr>
          <w:rFonts w:ascii="Arial" w:eastAsia="Calibri" w:hAnsi="Arial" w:cs="Arial"/>
          <w:sz w:val="21"/>
          <w:szCs w:val="21"/>
        </w:rPr>
        <w:t xml:space="preserve">*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Corresponding</w:t>
      </w:r>
      <w:proofErr w:type="spellEnd"/>
      <w:r w:rsidRPr="0036209B">
        <w:rPr>
          <w:rFonts w:ascii="Arial" w:eastAsia="Calibri" w:hAnsi="Arial" w:cs="Arial"/>
          <w:sz w:val="21"/>
          <w:szCs w:val="21"/>
        </w:rPr>
        <w:t xml:space="preserve"> </w:t>
      </w:r>
      <w:proofErr w:type="spellStart"/>
      <w:r w:rsidRPr="0036209B">
        <w:rPr>
          <w:rFonts w:ascii="Arial" w:eastAsia="Calibri" w:hAnsi="Arial" w:cs="Arial"/>
          <w:sz w:val="21"/>
          <w:szCs w:val="21"/>
        </w:rPr>
        <w:t>author</w:t>
      </w:r>
      <w:proofErr w:type="spellEnd"/>
      <w:r w:rsidRPr="0036209B">
        <w:rPr>
          <w:rFonts w:ascii="Arial" w:eastAsia="Calibri" w:hAnsi="Arial" w:cs="Arial"/>
          <w:sz w:val="21"/>
          <w:szCs w:val="21"/>
        </w:rPr>
        <w:t xml:space="preserve">, email: </w:t>
      </w:r>
      <w:hyperlink r:id="rId4" w:history="1">
        <w:r w:rsidRPr="0036209B">
          <w:rPr>
            <w:rStyle w:val="Hipervnculo"/>
            <w:rFonts w:ascii="Arial" w:eastAsia="Calibri" w:hAnsi="Arial" w:cs="Arial"/>
            <w:sz w:val="21"/>
            <w:szCs w:val="21"/>
          </w:rPr>
          <w:t>mariaquero@gmail.com</w:t>
        </w:r>
      </w:hyperlink>
      <w:r w:rsidRPr="0036209B">
        <w:rPr>
          <w:rFonts w:ascii="Arial" w:eastAsia="Calibri" w:hAnsi="Arial" w:cs="Arial"/>
          <w:sz w:val="21"/>
          <w:szCs w:val="21"/>
        </w:rPr>
        <w:t xml:space="preserve">, </w:t>
      </w:r>
      <w:r w:rsidRPr="0036209B">
        <w:rPr>
          <w:rFonts w:ascii="Arial" w:hAnsi="Arial" w:cs="Arial"/>
          <w:vertAlign w:val="superscript"/>
        </w:rPr>
        <w:t xml:space="preserve">† </w:t>
      </w:r>
      <w:proofErr w:type="spellStart"/>
      <w:r w:rsidRPr="0036209B">
        <w:rPr>
          <w:rFonts w:ascii="Arial" w:hAnsi="Arial" w:cs="Arial"/>
          <w:sz w:val="21"/>
          <w:szCs w:val="21"/>
        </w:rPr>
        <w:t>These</w:t>
      </w:r>
      <w:proofErr w:type="spellEnd"/>
      <w:r w:rsidRPr="0036209B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6209B">
        <w:rPr>
          <w:rFonts w:ascii="Arial" w:hAnsi="Arial" w:cs="Arial"/>
          <w:sz w:val="21"/>
          <w:szCs w:val="21"/>
        </w:rPr>
        <w:t>authors</w:t>
      </w:r>
      <w:proofErr w:type="spellEnd"/>
      <w:r w:rsidRPr="0036209B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6209B">
        <w:rPr>
          <w:rFonts w:ascii="Arial" w:hAnsi="Arial" w:cs="Arial"/>
          <w:sz w:val="21"/>
          <w:szCs w:val="21"/>
        </w:rPr>
        <w:t>contributed</w:t>
      </w:r>
      <w:proofErr w:type="spellEnd"/>
      <w:r w:rsidRPr="0036209B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6209B">
        <w:rPr>
          <w:rFonts w:ascii="Arial" w:hAnsi="Arial" w:cs="Arial"/>
          <w:sz w:val="21"/>
          <w:szCs w:val="21"/>
        </w:rPr>
        <w:t>equally</w:t>
      </w:r>
      <w:proofErr w:type="spellEnd"/>
      <w:r w:rsidRPr="0036209B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6209B">
        <w:rPr>
          <w:rFonts w:ascii="Arial" w:hAnsi="Arial" w:cs="Arial"/>
          <w:sz w:val="21"/>
          <w:szCs w:val="21"/>
        </w:rPr>
        <w:t>to</w:t>
      </w:r>
      <w:proofErr w:type="spellEnd"/>
      <w:r w:rsidRPr="0036209B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6209B">
        <w:rPr>
          <w:rFonts w:ascii="Arial" w:hAnsi="Arial" w:cs="Arial"/>
          <w:sz w:val="21"/>
          <w:szCs w:val="21"/>
        </w:rPr>
        <w:t>this</w:t>
      </w:r>
      <w:proofErr w:type="spellEnd"/>
      <w:r w:rsidRPr="0036209B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6209B">
        <w:rPr>
          <w:rFonts w:ascii="Arial" w:hAnsi="Arial" w:cs="Arial"/>
          <w:sz w:val="21"/>
          <w:szCs w:val="21"/>
        </w:rPr>
        <w:t>work</w:t>
      </w:r>
      <w:proofErr w:type="spellEnd"/>
      <w:r w:rsidRPr="0036209B">
        <w:rPr>
          <w:rFonts w:ascii="Arial" w:hAnsi="Arial" w:cs="Arial"/>
          <w:sz w:val="21"/>
          <w:szCs w:val="21"/>
        </w:rPr>
        <w:t xml:space="preserve"> and share </w:t>
      </w:r>
      <w:proofErr w:type="spellStart"/>
      <w:r w:rsidRPr="0036209B">
        <w:rPr>
          <w:rFonts w:ascii="Arial" w:hAnsi="Arial" w:cs="Arial"/>
          <w:sz w:val="21"/>
          <w:szCs w:val="21"/>
        </w:rPr>
        <w:t>first</w:t>
      </w:r>
      <w:proofErr w:type="spellEnd"/>
      <w:r w:rsidRPr="0036209B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6209B">
        <w:rPr>
          <w:rFonts w:ascii="Arial" w:hAnsi="Arial" w:cs="Arial"/>
          <w:sz w:val="21"/>
          <w:szCs w:val="21"/>
        </w:rPr>
        <w:t>authorship</w:t>
      </w:r>
      <w:proofErr w:type="spellEnd"/>
      <w:r w:rsidRPr="0036209B">
        <w:rPr>
          <w:rFonts w:ascii="Arial" w:hAnsi="Arial" w:cs="Arial"/>
          <w:sz w:val="21"/>
          <w:szCs w:val="21"/>
        </w:rPr>
        <w:t>.</w:t>
      </w:r>
    </w:p>
    <w:p w14:paraId="7C1A9DDD" w14:textId="570174A4" w:rsidR="00841748" w:rsidRPr="00E31F89" w:rsidRDefault="00841748">
      <w:pPr>
        <w:rPr>
          <w:rFonts w:ascii="Arial" w:hAnsi="Arial" w:cs="Arial"/>
          <w:b/>
          <w:bCs/>
          <w:sz w:val="28"/>
          <w:szCs w:val="28"/>
          <w:lang w:val="es-ES_tradnl"/>
        </w:rPr>
      </w:pPr>
      <w:proofErr w:type="spellStart"/>
      <w:r w:rsidRPr="00E31F89">
        <w:rPr>
          <w:rFonts w:ascii="Arial" w:hAnsi="Arial" w:cs="Arial"/>
          <w:b/>
          <w:bCs/>
          <w:sz w:val="28"/>
          <w:szCs w:val="28"/>
          <w:lang w:val="es-ES_tradnl"/>
        </w:rPr>
        <w:t>Contents</w:t>
      </w:r>
      <w:proofErr w:type="spellEnd"/>
    </w:p>
    <w:p w14:paraId="1BB8F9AB" w14:textId="75B9BB62" w:rsidR="00841748" w:rsidRPr="0036209B" w:rsidRDefault="00841748">
      <w:pPr>
        <w:rPr>
          <w:rFonts w:ascii="Arial" w:hAnsi="Arial" w:cs="Arial"/>
          <w:lang w:val="es-ES_tradnl"/>
        </w:rPr>
      </w:pPr>
      <w:proofErr w:type="spellStart"/>
      <w:r w:rsidRPr="0036209B">
        <w:rPr>
          <w:rFonts w:ascii="Arial" w:hAnsi="Arial" w:cs="Arial"/>
          <w:lang w:val="es-ES_tradnl"/>
        </w:rPr>
        <w:t>Supplementary</w:t>
      </w:r>
      <w:proofErr w:type="spellEnd"/>
      <w:r w:rsidRPr="0036209B">
        <w:rPr>
          <w:rFonts w:ascii="Arial" w:hAnsi="Arial" w:cs="Arial"/>
          <w:lang w:val="es-ES_tradnl"/>
        </w:rPr>
        <w:t xml:space="preserve"> Table S1</w:t>
      </w:r>
    </w:p>
    <w:p w14:paraId="44F0E263" w14:textId="58BEC69A" w:rsidR="00841748" w:rsidRPr="0036209B" w:rsidRDefault="00841748">
      <w:pPr>
        <w:rPr>
          <w:rFonts w:ascii="Arial" w:hAnsi="Arial" w:cs="Arial"/>
          <w:lang w:val="es-ES_tradnl"/>
        </w:rPr>
      </w:pPr>
      <w:proofErr w:type="spellStart"/>
      <w:r w:rsidRPr="0036209B">
        <w:rPr>
          <w:rFonts w:ascii="Arial" w:hAnsi="Arial" w:cs="Arial"/>
          <w:lang w:val="es-ES_tradnl"/>
        </w:rPr>
        <w:t>Supplementary</w:t>
      </w:r>
      <w:proofErr w:type="spellEnd"/>
      <w:r w:rsidRPr="0036209B">
        <w:rPr>
          <w:rFonts w:ascii="Arial" w:hAnsi="Arial" w:cs="Arial"/>
          <w:lang w:val="es-ES_tradnl"/>
        </w:rPr>
        <w:t xml:space="preserve"> </w:t>
      </w:r>
      <w:r w:rsidRPr="0036209B">
        <w:rPr>
          <w:rFonts w:ascii="Arial" w:hAnsi="Arial" w:cs="Arial"/>
          <w:lang w:val="es-ES_tradnl"/>
        </w:rPr>
        <w:t>Table S</w:t>
      </w:r>
      <w:r w:rsidRPr="0036209B">
        <w:rPr>
          <w:rFonts w:ascii="Arial" w:hAnsi="Arial" w:cs="Arial"/>
          <w:lang w:val="es-ES_tradnl"/>
        </w:rPr>
        <w:t>2</w:t>
      </w:r>
    </w:p>
    <w:p w14:paraId="70D9B5C3" w14:textId="21882F09" w:rsidR="004357E4" w:rsidRDefault="00841748" w:rsidP="00D5464E">
      <w:pPr>
        <w:rPr>
          <w:rFonts w:ascii="Arial" w:hAnsi="Arial" w:cs="Arial"/>
          <w:lang w:val="es-ES_tradnl"/>
        </w:rPr>
      </w:pPr>
      <w:proofErr w:type="spellStart"/>
      <w:r w:rsidRPr="0036209B">
        <w:rPr>
          <w:rFonts w:ascii="Arial" w:hAnsi="Arial" w:cs="Arial"/>
          <w:lang w:val="es-ES_tradnl"/>
        </w:rPr>
        <w:t>Supplementary</w:t>
      </w:r>
      <w:proofErr w:type="spellEnd"/>
      <w:r w:rsidRPr="0036209B">
        <w:rPr>
          <w:rFonts w:ascii="Arial" w:hAnsi="Arial" w:cs="Arial"/>
          <w:lang w:val="es-ES_tradnl"/>
        </w:rPr>
        <w:t xml:space="preserve"> Table S</w:t>
      </w:r>
      <w:r w:rsidRPr="0036209B">
        <w:rPr>
          <w:rFonts w:ascii="Arial" w:hAnsi="Arial" w:cs="Arial"/>
          <w:lang w:val="es-ES_tradnl"/>
        </w:rPr>
        <w:t>3</w:t>
      </w:r>
    </w:p>
    <w:p w14:paraId="157DB7DE" w14:textId="77777777" w:rsidR="00E82CE2" w:rsidRPr="00D5464E" w:rsidRDefault="00E82CE2" w:rsidP="00D5464E">
      <w:pPr>
        <w:rPr>
          <w:rFonts w:ascii="Arial" w:hAnsi="Arial" w:cs="Arial"/>
          <w:lang w:val="es-ES_tradnl"/>
        </w:rPr>
      </w:pPr>
    </w:p>
    <w:p w14:paraId="012862BF" w14:textId="794A3503" w:rsidR="0050323A" w:rsidRPr="0036209B" w:rsidRDefault="0050323A" w:rsidP="0050323A">
      <w:pPr>
        <w:spacing w:after="0" w:line="276" w:lineRule="auto"/>
        <w:rPr>
          <w:rFonts w:ascii="Arial" w:eastAsia="Calibri" w:hAnsi="Arial" w:cs="Arial"/>
          <w:kern w:val="0"/>
          <w:sz w:val="22"/>
          <w:szCs w:val="22"/>
          <w:lang w:val="en" w:eastAsia="es-ES_tradnl"/>
          <w14:ligatures w14:val="none"/>
        </w:rPr>
      </w:pPr>
      <w:r w:rsidRPr="0036209B"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  <w:lastRenderedPageBreak/>
        <w:t xml:space="preserve">Supplementary table </w:t>
      </w:r>
      <w:r w:rsidR="0036209B"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  <w:t>S</w:t>
      </w:r>
      <w:r w:rsidR="00D5464E"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  <w:t>1</w:t>
      </w:r>
      <w:r w:rsidR="001F63B5" w:rsidRPr="0036209B"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  <w:t>.</w:t>
      </w:r>
      <w:r w:rsidRPr="0036209B"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  <w:t xml:space="preserve"> </w:t>
      </w:r>
      <w:r w:rsidRPr="0036209B">
        <w:rPr>
          <w:rFonts w:ascii="Arial" w:eastAsia="Calibri" w:hAnsi="Arial" w:cs="Arial"/>
          <w:kern w:val="0"/>
          <w:sz w:val="22"/>
          <w:szCs w:val="22"/>
          <w:lang w:val="en" w:eastAsia="es-ES_tradnl"/>
          <w14:ligatures w14:val="none"/>
        </w:rPr>
        <w:t>Example of the measurement schedule for a patient recruited on April 2.</w:t>
      </w:r>
    </w:p>
    <w:tbl>
      <w:tblPr>
        <w:tblW w:w="7844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880"/>
        <w:gridCol w:w="940"/>
        <w:gridCol w:w="1060"/>
        <w:gridCol w:w="1060"/>
        <w:gridCol w:w="880"/>
        <w:gridCol w:w="1000"/>
        <w:gridCol w:w="1032"/>
        <w:gridCol w:w="992"/>
      </w:tblGrid>
      <w:tr w:rsidR="0050323A" w:rsidRPr="0036209B" w14:paraId="73D2FBCA" w14:textId="77777777" w:rsidTr="00A46ABF">
        <w:trPr>
          <w:trHeight w:val="300"/>
        </w:trPr>
        <w:tc>
          <w:tcPr>
            <w:tcW w:w="78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0560F63B" w14:textId="77777777" w:rsidR="0050323A" w:rsidRPr="0036209B" w:rsidRDefault="0050323A" w:rsidP="0050323A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Day</w:t>
            </w:r>
          </w:p>
        </w:tc>
      </w:tr>
      <w:tr w:rsidR="0050323A" w:rsidRPr="0036209B" w14:paraId="3CBA5501" w14:textId="77777777" w:rsidTr="00A46ABF">
        <w:trPr>
          <w:trHeight w:val="30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00126F3B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D1 (R)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5E41E972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D2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21A5B167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D3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6C938E9D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D4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73D300D6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D5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00D40FDA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D7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6270C648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D14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1B7398D1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D21</w:t>
            </w:r>
          </w:p>
        </w:tc>
      </w:tr>
      <w:tr w:rsidR="0050323A" w:rsidRPr="0036209B" w14:paraId="28A511BA" w14:textId="77777777" w:rsidTr="00A46ABF">
        <w:trPr>
          <w:trHeight w:val="30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535BE15A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en" w:eastAsia="es-ES_tradnl"/>
                <w14:ligatures w14:val="none"/>
              </w:rPr>
              <w:t>2-abr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06E1194F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en" w:eastAsia="es-ES_tradnl"/>
                <w14:ligatures w14:val="none"/>
              </w:rPr>
              <w:t>3-abr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0494967D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en" w:eastAsia="es-ES_tradnl"/>
                <w14:ligatures w14:val="none"/>
              </w:rPr>
              <w:t>4-abr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535DE205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en" w:eastAsia="es-ES_tradnl"/>
                <w14:ligatures w14:val="none"/>
              </w:rPr>
              <w:t>5-abr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53B4C4E3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en" w:eastAsia="es-ES_tradnl"/>
                <w14:ligatures w14:val="none"/>
              </w:rPr>
              <w:t>6-abr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58F227F5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en" w:eastAsia="es-ES_tradnl"/>
                <w14:ligatures w14:val="none"/>
              </w:rPr>
              <w:t>8-abr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5CF3C6A2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en" w:eastAsia="es-ES_tradnl"/>
                <w14:ligatures w14:val="none"/>
              </w:rPr>
              <w:t>15-abr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0F180C85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en" w:eastAsia="es-ES_tradnl"/>
                <w14:ligatures w14:val="none"/>
              </w:rPr>
              <w:t>22-abr</w:t>
            </w:r>
          </w:p>
        </w:tc>
      </w:tr>
      <w:tr w:rsidR="0050323A" w:rsidRPr="0036209B" w14:paraId="2100A926" w14:textId="77777777" w:rsidTr="00A46ABF">
        <w:trPr>
          <w:trHeight w:val="340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5FA5C404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S1-M1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755DB72D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S1-M4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27491E81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S1-M7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3F695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3EB"/>
          </w:tcPr>
          <w:p w14:paraId="6DB7830D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S4-M1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BE7E5"/>
          </w:tcPr>
          <w:p w14:paraId="342B6A28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S5-M1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6949A"/>
          </w:tcPr>
          <w:p w14:paraId="009451AF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S6-M1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7E3BC"/>
          </w:tcPr>
          <w:p w14:paraId="550E4F2F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S7-M1</w:t>
            </w:r>
          </w:p>
        </w:tc>
      </w:tr>
      <w:tr w:rsidR="0050323A" w:rsidRPr="0036209B" w14:paraId="7D287E58" w14:textId="77777777" w:rsidTr="00A46ABF">
        <w:trPr>
          <w:trHeight w:val="340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3165EB66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S1-M2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2E0484AB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S1-M5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7E625B13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S1-M8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CE8A2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54494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49E4F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A0D8C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5C68D54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</w:tr>
      <w:tr w:rsidR="0050323A" w:rsidRPr="0036209B" w14:paraId="19FD5747" w14:textId="77777777" w:rsidTr="00A46ABF">
        <w:trPr>
          <w:trHeight w:val="340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1583E3F7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S1-M3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7FCD4714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S1-M6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012CCDFE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S1-M9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74930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F8DF4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5B4F9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CA91F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810DD0E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</w:tr>
      <w:tr w:rsidR="0050323A" w:rsidRPr="0036209B" w14:paraId="24ADB8CC" w14:textId="77777777" w:rsidTr="00A46ABF">
        <w:trPr>
          <w:trHeight w:val="340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</w:tcPr>
          <w:p w14:paraId="2709F591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441E8D0C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S2-M1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6315E93D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S2-M4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5AA1A7DE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S2-M7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1E045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56AC4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DC7C8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35B610C2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</w:tr>
      <w:tr w:rsidR="0050323A" w:rsidRPr="0036209B" w14:paraId="06A3D5E3" w14:textId="77777777" w:rsidTr="00A46ABF">
        <w:trPr>
          <w:trHeight w:val="340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</w:tcPr>
          <w:p w14:paraId="3797272D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3CC6C49C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S2-M2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307177A7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S2-M5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0C08197D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S2-M8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67F64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1F4E6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CDFAA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44D5ADE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</w:tr>
      <w:tr w:rsidR="0050323A" w:rsidRPr="0036209B" w14:paraId="6DD5DBF0" w14:textId="77777777" w:rsidTr="00A46ABF">
        <w:trPr>
          <w:trHeight w:val="340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</w:tcPr>
          <w:p w14:paraId="565113C5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7F705024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S2-M3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12BF84A5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S2-M6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58506251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S2-M9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895FE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EFF92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F7D1F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B8FFC7B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</w:tr>
      <w:tr w:rsidR="0050323A" w:rsidRPr="0036209B" w14:paraId="4B086A18" w14:textId="77777777" w:rsidTr="00A46ABF">
        <w:trPr>
          <w:trHeight w:val="320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</w:tcPr>
          <w:p w14:paraId="40637D8C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FFFFFF"/>
          </w:tcPr>
          <w:p w14:paraId="43D44B56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9B7"/>
          </w:tcPr>
          <w:p w14:paraId="425AF629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S3-M1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26D85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04D01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6CFFD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618B1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06E1AD6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</w:tr>
      <w:tr w:rsidR="0050323A" w:rsidRPr="0036209B" w14:paraId="0F50C1B2" w14:textId="77777777" w:rsidTr="00A46ABF">
        <w:trPr>
          <w:trHeight w:val="320"/>
        </w:trPr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CDAF935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17971B9B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9B7"/>
          </w:tcPr>
          <w:p w14:paraId="1B0AC960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S3-M2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C26F8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FA953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F9597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AA3CA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5AA3F72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</w:tr>
      <w:tr w:rsidR="0050323A" w:rsidRPr="0036209B" w14:paraId="2B9D5442" w14:textId="77777777" w:rsidTr="00A46ABF">
        <w:trPr>
          <w:trHeight w:val="320"/>
        </w:trPr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395DE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93512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9B7"/>
          </w:tcPr>
          <w:p w14:paraId="45B5E20F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S3-M3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DAE304A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E7F74BA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AADE85A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CB783EF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4D4D5A" w14:textId="77777777" w:rsidR="0050323A" w:rsidRPr="0036209B" w:rsidRDefault="0050323A" w:rsidP="0050323A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 </w:t>
            </w:r>
          </w:p>
        </w:tc>
      </w:tr>
    </w:tbl>
    <w:p w14:paraId="4DB6244B" w14:textId="77777777" w:rsidR="0050323A" w:rsidRPr="0036209B" w:rsidRDefault="0050323A" w:rsidP="0050323A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n" w:eastAsia="es-ES_tradnl"/>
          <w14:ligatures w14:val="none"/>
        </w:rPr>
      </w:pPr>
      <w:r w:rsidRPr="0036209B">
        <w:rPr>
          <w:rFonts w:ascii="Arial" w:eastAsia="Calibri" w:hAnsi="Arial" w:cs="Arial"/>
          <w:kern w:val="0"/>
          <w:sz w:val="20"/>
          <w:szCs w:val="20"/>
          <w:lang w:val="en" w:eastAsia="es-ES_tradnl"/>
          <w14:ligatures w14:val="none"/>
        </w:rPr>
        <w:t xml:space="preserve">R: Recruitment. Dx: consecutive days after recruitment. S: sample collected from the patient. M: Measurements (M1–M9) correspond to consecutive time points acquired every 4 hours from the same sample, spanning multiple days after collection. </w:t>
      </w:r>
    </w:p>
    <w:p w14:paraId="5F9B338D" w14:textId="77777777" w:rsidR="0050323A" w:rsidRPr="0036209B" w:rsidRDefault="0050323A" w:rsidP="0050323A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n" w:eastAsia="es-ES_tradnl"/>
          <w14:ligatures w14:val="none"/>
        </w:rPr>
      </w:pPr>
    </w:p>
    <w:p w14:paraId="215C512B" w14:textId="77777777" w:rsidR="004357E4" w:rsidRDefault="004357E4" w:rsidP="0050323A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</w:pPr>
    </w:p>
    <w:p w14:paraId="7B608AC9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</w:pPr>
    </w:p>
    <w:p w14:paraId="7AA91DA5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</w:pPr>
    </w:p>
    <w:p w14:paraId="5AE4B305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</w:pPr>
    </w:p>
    <w:p w14:paraId="3A5292DD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</w:pPr>
    </w:p>
    <w:p w14:paraId="79BDD39E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</w:pPr>
    </w:p>
    <w:p w14:paraId="0E2AA9D3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</w:pPr>
    </w:p>
    <w:p w14:paraId="4217471F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</w:pPr>
    </w:p>
    <w:p w14:paraId="176D484F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</w:pPr>
    </w:p>
    <w:p w14:paraId="6291B877" w14:textId="77777777" w:rsidR="00D5464E" w:rsidRPr="0036209B" w:rsidRDefault="00D5464E" w:rsidP="0050323A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</w:pPr>
    </w:p>
    <w:p w14:paraId="35F75CCB" w14:textId="05FEA2A0" w:rsidR="0050323A" w:rsidRPr="0036209B" w:rsidRDefault="0050323A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22"/>
          <w:szCs w:val="22"/>
          <w:lang w:val="en" w:eastAsia="es-ES_tradnl"/>
          <w14:ligatures w14:val="none"/>
        </w:rPr>
      </w:pPr>
      <w:r w:rsidRPr="0036209B"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  <w:lastRenderedPageBreak/>
        <w:t xml:space="preserve">Supplementary table </w:t>
      </w:r>
      <w:r w:rsidR="0036209B"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  <w:t>S</w:t>
      </w:r>
      <w:r w:rsidR="00D5464E"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  <w:t>2</w:t>
      </w:r>
      <w:r w:rsidRPr="0036209B"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  <w:t xml:space="preserve">. </w:t>
      </w:r>
      <w:r w:rsidRPr="0036209B">
        <w:rPr>
          <w:rFonts w:ascii="Arial" w:eastAsia="Calibri" w:hAnsi="Arial" w:cs="Arial"/>
          <w:kern w:val="0"/>
          <w:sz w:val="22"/>
          <w:szCs w:val="22"/>
          <w:lang w:val="en" w:eastAsia="es-ES_tradnl"/>
          <w14:ligatures w14:val="none"/>
        </w:rPr>
        <w:t>Training configuration of the concentration estimation and cell-size classification models</w:t>
      </w:r>
    </w:p>
    <w:tbl>
      <w:tblPr>
        <w:tblW w:w="12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689"/>
        <w:gridCol w:w="1484"/>
        <w:gridCol w:w="791"/>
        <w:gridCol w:w="1962"/>
        <w:gridCol w:w="1795"/>
        <w:gridCol w:w="943"/>
        <w:gridCol w:w="1010"/>
        <w:gridCol w:w="1169"/>
      </w:tblGrid>
      <w:tr w:rsidR="0050323A" w:rsidRPr="0036209B" w14:paraId="2BE1EC9B" w14:textId="77777777" w:rsidTr="00E31F89">
        <w:trPr>
          <w:trHeight w:val="719"/>
        </w:trPr>
        <w:tc>
          <w:tcPr>
            <w:tcW w:w="1485" w:type="dxa"/>
            <w:vAlign w:val="center"/>
          </w:tcPr>
          <w:p w14:paraId="6DAFA9F1" w14:textId="12BAFC28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Model</w:t>
            </w:r>
          </w:p>
        </w:tc>
        <w:tc>
          <w:tcPr>
            <w:tcW w:w="1689" w:type="dxa"/>
            <w:vAlign w:val="center"/>
          </w:tcPr>
          <w:p w14:paraId="0717665C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 xml:space="preserve">Training data </w:t>
            </w:r>
          </w:p>
          <w:p w14:paraId="27BE88CD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(cells/µL)</w:t>
            </w:r>
          </w:p>
        </w:tc>
        <w:tc>
          <w:tcPr>
            <w:tcW w:w="1484" w:type="dxa"/>
            <w:vAlign w:val="center"/>
          </w:tcPr>
          <w:p w14:paraId="5392EED9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Architecture</w:t>
            </w:r>
          </w:p>
        </w:tc>
        <w:tc>
          <w:tcPr>
            <w:tcW w:w="791" w:type="dxa"/>
            <w:vAlign w:val="center"/>
          </w:tcPr>
          <w:p w14:paraId="46E1D485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Batch size</w:t>
            </w:r>
          </w:p>
        </w:tc>
        <w:tc>
          <w:tcPr>
            <w:tcW w:w="1962" w:type="dxa"/>
            <w:vAlign w:val="center"/>
          </w:tcPr>
          <w:p w14:paraId="60A2DC6A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Optimizer</w:t>
            </w:r>
          </w:p>
        </w:tc>
        <w:tc>
          <w:tcPr>
            <w:tcW w:w="1795" w:type="dxa"/>
            <w:vAlign w:val="center"/>
          </w:tcPr>
          <w:p w14:paraId="62EEB023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Learning rate</w:t>
            </w:r>
          </w:p>
        </w:tc>
        <w:tc>
          <w:tcPr>
            <w:tcW w:w="943" w:type="dxa"/>
            <w:vAlign w:val="center"/>
          </w:tcPr>
          <w:p w14:paraId="79E8228D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Weight decay</w:t>
            </w:r>
          </w:p>
        </w:tc>
        <w:tc>
          <w:tcPr>
            <w:tcW w:w="1010" w:type="dxa"/>
            <w:vAlign w:val="center"/>
          </w:tcPr>
          <w:p w14:paraId="59827461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 xml:space="preserve">Loss </w:t>
            </w:r>
          </w:p>
        </w:tc>
        <w:tc>
          <w:tcPr>
            <w:tcW w:w="1169" w:type="dxa"/>
            <w:vAlign w:val="center"/>
          </w:tcPr>
          <w:p w14:paraId="7CB7A27F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Epochs</w:t>
            </w:r>
          </w:p>
        </w:tc>
      </w:tr>
      <w:tr w:rsidR="0050323A" w:rsidRPr="0036209B" w14:paraId="23E12935" w14:textId="77777777" w:rsidTr="00E31F89">
        <w:trPr>
          <w:trHeight w:val="250"/>
        </w:trPr>
        <w:tc>
          <w:tcPr>
            <w:tcW w:w="12328" w:type="dxa"/>
            <w:gridSpan w:val="9"/>
            <w:vAlign w:val="center"/>
          </w:tcPr>
          <w:p w14:paraId="153EC390" w14:textId="77777777" w:rsidR="0050323A" w:rsidRPr="00E31F89" w:rsidRDefault="0050323A" w:rsidP="0050323A">
            <w:pPr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Concentration estimation</w:t>
            </w:r>
          </w:p>
        </w:tc>
      </w:tr>
      <w:tr w:rsidR="0050323A" w:rsidRPr="0036209B" w14:paraId="2829B832" w14:textId="77777777" w:rsidTr="00E31F89">
        <w:trPr>
          <w:cantSplit/>
          <w:trHeight w:val="472"/>
        </w:trPr>
        <w:tc>
          <w:tcPr>
            <w:tcW w:w="1485" w:type="dxa"/>
            <w:vAlign w:val="center"/>
          </w:tcPr>
          <w:p w14:paraId="0FF68B15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i/>
                <w:iCs/>
                <w:kern w:val="0"/>
                <w:sz w:val="22"/>
                <w:szCs w:val="22"/>
                <w:lang w:val="en" w:eastAsia="es-ES_tradnl"/>
                <w14:ligatures w14:val="none"/>
              </w:rPr>
              <w:t>Initial model</w:t>
            </w:r>
          </w:p>
        </w:tc>
        <w:tc>
          <w:tcPr>
            <w:tcW w:w="1689" w:type="dxa"/>
            <w:vAlign w:val="center"/>
          </w:tcPr>
          <w:p w14:paraId="00425A48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0-4000</w:t>
            </w:r>
          </w:p>
        </w:tc>
        <w:tc>
          <w:tcPr>
            <w:tcW w:w="1484" w:type="dxa"/>
            <w:vAlign w:val="center"/>
          </w:tcPr>
          <w:p w14:paraId="0C8E31BC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ResNet18</w:t>
            </w:r>
          </w:p>
        </w:tc>
        <w:tc>
          <w:tcPr>
            <w:tcW w:w="791" w:type="dxa"/>
            <w:vAlign w:val="center"/>
          </w:tcPr>
          <w:p w14:paraId="4616A7E7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64</w:t>
            </w:r>
          </w:p>
        </w:tc>
        <w:tc>
          <w:tcPr>
            <w:tcW w:w="1962" w:type="dxa"/>
            <w:vAlign w:val="center"/>
          </w:tcPr>
          <w:p w14:paraId="6E343062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 xml:space="preserve">Adam </w:t>
            </w:r>
          </w:p>
          <w:p w14:paraId="63310A99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(with scheduler)</w:t>
            </w:r>
          </w:p>
        </w:tc>
        <w:tc>
          <w:tcPr>
            <w:tcW w:w="1795" w:type="dxa"/>
            <w:vAlign w:val="center"/>
          </w:tcPr>
          <w:p w14:paraId="6B70781B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5e−5 to 1e−2</w:t>
            </w:r>
          </w:p>
        </w:tc>
        <w:tc>
          <w:tcPr>
            <w:tcW w:w="943" w:type="dxa"/>
            <w:vAlign w:val="center"/>
          </w:tcPr>
          <w:p w14:paraId="54BC8C8F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1e-5</w:t>
            </w:r>
          </w:p>
        </w:tc>
        <w:tc>
          <w:tcPr>
            <w:tcW w:w="1010" w:type="dxa"/>
            <w:vAlign w:val="center"/>
          </w:tcPr>
          <w:p w14:paraId="6069213D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MAE</w:t>
            </w:r>
          </w:p>
        </w:tc>
        <w:tc>
          <w:tcPr>
            <w:tcW w:w="1169" w:type="dxa"/>
            <w:vAlign w:val="center"/>
          </w:tcPr>
          <w:p w14:paraId="3C2D1274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55</w:t>
            </w:r>
          </w:p>
        </w:tc>
      </w:tr>
      <w:tr w:rsidR="0050323A" w:rsidRPr="0036209B" w14:paraId="400916D3" w14:textId="77777777" w:rsidTr="00E31F89">
        <w:trPr>
          <w:cantSplit/>
          <w:trHeight w:val="472"/>
        </w:trPr>
        <w:tc>
          <w:tcPr>
            <w:tcW w:w="1485" w:type="dxa"/>
            <w:vAlign w:val="center"/>
          </w:tcPr>
          <w:p w14:paraId="638C17A6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i/>
                <w:iCs/>
                <w:kern w:val="0"/>
                <w:sz w:val="22"/>
                <w:szCs w:val="22"/>
                <w:lang w:val="en" w:eastAsia="es-ES_tradnl"/>
                <w14:ligatures w14:val="none"/>
              </w:rPr>
              <w:t>Lower range model</w:t>
            </w:r>
          </w:p>
        </w:tc>
        <w:tc>
          <w:tcPr>
            <w:tcW w:w="1689" w:type="dxa"/>
            <w:vAlign w:val="center"/>
          </w:tcPr>
          <w:p w14:paraId="10743212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0-200</w:t>
            </w:r>
          </w:p>
        </w:tc>
        <w:tc>
          <w:tcPr>
            <w:tcW w:w="1484" w:type="dxa"/>
            <w:vAlign w:val="center"/>
          </w:tcPr>
          <w:p w14:paraId="54B18C31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MobileNetV3</w:t>
            </w:r>
          </w:p>
        </w:tc>
        <w:tc>
          <w:tcPr>
            <w:tcW w:w="791" w:type="dxa"/>
            <w:vAlign w:val="center"/>
          </w:tcPr>
          <w:p w14:paraId="3A5C21B9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64</w:t>
            </w:r>
          </w:p>
        </w:tc>
        <w:tc>
          <w:tcPr>
            <w:tcW w:w="1962" w:type="dxa"/>
            <w:vAlign w:val="center"/>
          </w:tcPr>
          <w:p w14:paraId="7B867B96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 xml:space="preserve">Adam </w:t>
            </w:r>
          </w:p>
          <w:p w14:paraId="71403156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(with scheduler)</w:t>
            </w:r>
          </w:p>
        </w:tc>
        <w:tc>
          <w:tcPr>
            <w:tcW w:w="1795" w:type="dxa"/>
            <w:vAlign w:val="center"/>
          </w:tcPr>
          <w:p w14:paraId="46B19638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5e−5 to 1e−2</w:t>
            </w:r>
          </w:p>
        </w:tc>
        <w:tc>
          <w:tcPr>
            <w:tcW w:w="943" w:type="dxa"/>
            <w:vAlign w:val="center"/>
          </w:tcPr>
          <w:p w14:paraId="25DCC46D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1e-5</w:t>
            </w:r>
          </w:p>
        </w:tc>
        <w:tc>
          <w:tcPr>
            <w:tcW w:w="1010" w:type="dxa"/>
            <w:vAlign w:val="center"/>
          </w:tcPr>
          <w:p w14:paraId="21685A86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MAE</w:t>
            </w:r>
          </w:p>
        </w:tc>
        <w:tc>
          <w:tcPr>
            <w:tcW w:w="1169" w:type="dxa"/>
            <w:vAlign w:val="center"/>
          </w:tcPr>
          <w:p w14:paraId="3B6580C0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40</w:t>
            </w:r>
          </w:p>
        </w:tc>
      </w:tr>
      <w:tr w:rsidR="0050323A" w:rsidRPr="0036209B" w14:paraId="56F56C0D" w14:textId="77777777" w:rsidTr="00E31F89">
        <w:trPr>
          <w:cantSplit/>
          <w:trHeight w:val="472"/>
        </w:trPr>
        <w:tc>
          <w:tcPr>
            <w:tcW w:w="1485" w:type="dxa"/>
            <w:vAlign w:val="center"/>
          </w:tcPr>
          <w:p w14:paraId="37BD64A9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i/>
                <w:iCs/>
                <w:kern w:val="0"/>
                <w:sz w:val="22"/>
                <w:szCs w:val="22"/>
                <w:lang w:val="en" w:eastAsia="es-ES_tradnl"/>
                <w14:ligatures w14:val="none"/>
              </w:rPr>
              <w:t>Upper range model</w:t>
            </w:r>
          </w:p>
        </w:tc>
        <w:tc>
          <w:tcPr>
            <w:tcW w:w="1689" w:type="dxa"/>
            <w:vAlign w:val="center"/>
          </w:tcPr>
          <w:p w14:paraId="77CB7039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100-4000</w:t>
            </w:r>
          </w:p>
        </w:tc>
        <w:tc>
          <w:tcPr>
            <w:tcW w:w="1484" w:type="dxa"/>
            <w:vAlign w:val="center"/>
          </w:tcPr>
          <w:p w14:paraId="529D29D3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ResNet18</w:t>
            </w:r>
          </w:p>
        </w:tc>
        <w:tc>
          <w:tcPr>
            <w:tcW w:w="791" w:type="dxa"/>
            <w:vAlign w:val="center"/>
          </w:tcPr>
          <w:p w14:paraId="725A6BE0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64</w:t>
            </w:r>
          </w:p>
        </w:tc>
        <w:tc>
          <w:tcPr>
            <w:tcW w:w="1962" w:type="dxa"/>
            <w:vAlign w:val="center"/>
          </w:tcPr>
          <w:p w14:paraId="11E9639E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 xml:space="preserve">Adam </w:t>
            </w:r>
          </w:p>
          <w:p w14:paraId="419F65D0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(with scheduler)</w:t>
            </w:r>
          </w:p>
        </w:tc>
        <w:tc>
          <w:tcPr>
            <w:tcW w:w="1795" w:type="dxa"/>
            <w:vAlign w:val="center"/>
          </w:tcPr>
          <w:p w14:paraId="1B11A5FF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5e−5 to 1e−2</w:t>
            </w:r>
          </w:p>
        </w:tc>
        <w:tc>
          <w:tcPr>
            <w:tcW w:w="943" w:type="dxa"/>
            <w:vAlign w:val="center"/>
          </w:tcPr>
          <w:p w14:paraId="0F19DB6A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1e-5</w:t>
            </w:r>
          </w:p>
        </w:tc>
        <w:tc>
          <w:tcPr>
            <w:tcW w:w="1010" w:type="dxa"/>
            <w:vAlign w:val="center"/>
          </w:tcPr>
          <w:p w14:paraId="6E0338B0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MSE</w:t>
            </w:r>
          </w:p>
        </w:tc>
        <w:tc>
          <w:tcPr>
            <w:tcW w:w="1169" w:type="dxa"/>
            <w:vAlign w:val="center"/>
          </w:tcPr>
          <w:p w14:paraId="0CA2A736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100</w:t>
            </w:r>
          </w:p>
        </w:tc>
      </w:tr>
      <w:tr w:rsidR="0050323A" w:rsidRPr="0036209B" w14:paraId="2FCA905F" w14:textId="77777777" w:rsidTr="00E31F89">
        <w:trPr>
          <w:cantSplit/>
          <w:trHeight w:val="254"/>
        </w:trPr>
        <w:tc>
          <w:tcPr>
            <w:tcW w:w="12328" w:type="dxa"/>
            <w:gridSpan w:val="9"/>
            <w:vAlign w:val="center"/>
          </w:tcPr>
          <w:p w14:paraId="203F19B9" w14:textId="079C8690" w:rsidR="0050323A" w:rsidRPr="00E31F89" w:rsidRDefault="006019F8" w:rsidP="0050323A">
            <w:pPr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C</w:t>
            </w:r>
            <w:r w:rsidR="0050323A"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ell-size classification</w:t>
            </w:r>
          </w:p>
        </w:tc>
      </w:tr>
      <w:tr w:rsidR="0050323A" w:rsidRPr="0036209B" w14:paraId="4C03BDD1" w14:textId="77777777" w:rsidTr="00E31F89">
        <w:trPr>
          <w:cantSplit/>
          <w:trHeight w:val="472"/>
        </w:trPr>
        <w:tc>
          <w:tcPr>
            <w:tcW w:w="1485" w:type="dxa"/>
            <w:vAlign w:val="center"/>
          </w:tcPr>
          <w:p w14:paraId="09114EE7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i/>
                <w:iCs/>
                <w:kern w:val="0"/>
                <w:sz w:val="22"/>
                <w:szCs w:val="22"/>
                <w:lang w:val="en" w:eastAsia="es-ES_tradnl"/>
                <w14:ligatures w14:val="none"/>
              </w:rPr>
              <w:t>Pre-training</w:t>
            </w:r>
          </w:p>
        </w:tc>
        <w:tc>
          <w:tcPr>
            <w:tcW w:w="1689" w:type="dxa"/>
            <w:vAlign w:val="center"/>
          </w:tcPr>
          <w:p w14:paraId="780CA4D8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Laboratory-generated</w:t>
            </w:r>
          </w:p>
        </w:tc>
        <w:tc>
          <w:tcPr>
            <w:tcW w:w="1484" w:type="dxa"/>
            <w:vAlign w:val="center"/>
          </w:tcPr>
          <w:p w14:paraId="181CE3C3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ResNet18</w:t>
            </w:r>
          </w:p>
        </w:tc>
        <w:tc>
          <w:tcPr>
            <w:tcW w:w="791" w:type="dxa"/>
            <w:vAlign w:val="center"/>
          </w:tcPr>
          <w:p w14:paraId="275A7BE5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64</w:t>
            </w:r>
          </w:p>
        </w:tc>
        <w:tc>
          <w:tcPr>
            <w:tcW w:w="1962" w:type="dxa"/>
            <w:vAlign w:val="center"/>
          </w:tcPr>
          <w:p w14:paraId="554FC1AE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Adam</w:t>
            </w:r>
          </w:p>
        </w:tc>
        <w:tc>
          <w:tcPr>
            <w:tcW w:w="1795" w:type="dxa"/>
            <w:vAlign w:val="center"/>
          </w:tcPr>
          <w:p w14:paraId="6FC6009B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5e-5</w:t>
            </w:r>
          </w:p>
        </w:tc>
        <w:tc>
          <w:tcPr>
            <w:tcW w:w="943" w:type="dxa"/>
            <w:vAlign w:val="center"/>
          </w:tcPr>
          <w:p w14:paraId="1A1236B1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1e-4</w:t>
            </w:r>
          </w:p>
        </w:tc>
        <w:tc>
          <w:tcPr>
            <w:tcW w:w="1010" w:type="dxa"/>
            <w:vAlign w:val="center"/>
          </w:tcPr>
          <w:p w14:paraId="47C8EBDB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CE</w:t>
            </w:r>
          </w:p>
        </w:tc>
        <w:tc>
          <w:tcPr>
            <w:tcW w:w="1169" w:type="dxa"/>
            <w:vAlign w:val="center"/>
          </w:tcPr>
          <w:p w14:paraId="020D1C4F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20</w:t>
            </w:r>
          </w:p>
        </w:tc>
      </w:tr>
      <w:tr w:rsidR="0050323A" w:rsidRPr="0036209B" w14:paraId="36BF8502" w14:textId="77777777" w:rsidTr="00E31F89">
        <w:trPr>
          <w:cantSplit/>
          <w:trHeight w:val="472"/>
        </w:trPr>
        <w:tc>
          <w:tcPr>
            <w:tcW w:w="1485" w:type="dxa"/>
            <w:vAlign w:val="center"/>
          </w:tcPr>
          <w:p w14:paraId="4695E0D5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i/>
                <w:iCs/>
                <w:kern w:val="0"/>
                <w:sz w:val="22"/>
                <w:szCs w:val="22"/>
                <w:lang w:val="en" w:eastAsia="es-ES_tradnl"/>
                <w14:ligatures w14:val="none"/>
              </w:rPr>
              <w:t>Fine-tuning</w:t>
            </w:r>
          </w:p>
        </w:tc>
        <w:tc>
          <w:tcPr>
            <w:tcW w:w="1689" w:type="dxa"/>
            <w:vAlign w:val="center"/>
          </w:tcPr>
          <w:p w14:paraId="7EDF170E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Clinical</w:t>
            </w:r>
          </w:p>
        </w:tc>
        <w:tc>
          <w:tcPr>
            <w:tcW w:w="1484" w:type="dxa"/>
            <w:vAlign w:val="center"/>
          </w:tcPr>
          <w:p w14:paraId="4F845F75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ResNet18</w:t>
            </w:r>
          </w:p>
        </w:tc>
        <w:tc>
          <w:tcPr>
            <w:tcW w:w="791" w:type="dxa"/>
            <w:vAlign w:val="center"/>
          </w:tcPr>
          <w:p w14:paraId="244EF096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64</w:t>
            </w:r>
          </w:p>
        </w:tc>
        <w:tc>
          <w:tcPr>
            <w:tcW w:w="1962" w:type="dxa"/>
            <w:vAlign w:val="center"/>
          </w:tcPr>
          <w:p w14:paraId="03705F3F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Adam</w:t>
            </w:r>
          </w:p>
        </w:tc>
        <w:tc>
          <w:tcPr>
            <w:tcW w:w="1795" w:type="dxa"/>
            <w:vAlign w:val="center"/>
          </w:tcPr>
          <w:p w14:paraId="0902A292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1e-6</w:t>
            </w:r>
          </w:p>
        </w:tc>
        <w:tc>
          <w:tcPr>
            <w:tcW w:w="943" w:type="dxa"/>
            <w:vAlign w:val="center"/>
          </w:tcPr>
          <w:p w14:paraId="452374BC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1e-6</w:t>
            </w:r>
          </w:p>
        </w:tc>
        <w:tc>
          <w:tcPr>
            <w:tcW w:w="1010" w:type="dxa"/>
            <w:vAlign w:val="center"/>
          </w:tcPr>
          <w:p w14:paraId="7C4224E3" w14:textId="77777777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CE</w:t>
            </w:r>
          </w:p>
        </w:tc>
        <w:tc>
          <w:tcPr>
            <w:tcW w:w="1169" w:type="dxa"/>
            <w:vAlign w:val="center"/>
          </w:tcPr>
          <w:p w14:paraId="108E1B71" w14:textId="2834F580" w:rsidR="0050323A" w:rsidRPr="00E31F89" w:rsidRDefault="0050323A" w:rsidP="0050323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</w:pPr>
            <w:r w:rsidRPr="00E31F89">
              <w:rPr>
                <w:rFonts w:ascii="Arial" w:eastAsia="Calibri" w:hAnsi="Arial" w:cs="Arial"/>
                <w:kern w:val="0"/>
                <w:sz w:val="22"/>
                <w:szCs w:val="22"/>
                <w:lang w:val="en" w:eastAsia="es-ES_tradnl"/>
                <w14:ligatures w14:val="none"/>
              </w:rPr>
              <w:t>13</w:t>
            </w:r>
          </w:p>
        </w:tc>
      </w:tr>
    </w:tbl>
    <w:p w14:paraId="0FF7521E" w14:textId="77777777" w:rsidR="0050323A" w:rsidRDefault="0050323A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</w:pPr>
      <w:r w:rsidRPr="0036209B"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  <w:t>MAE: mean absolute error; MSE: mean squared error; CE: cross-entropy loss.</w:t>
      </w:r>
    </w:p>
    <w:p w14:paraId="3A8861C9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</w:pPr>
    </w:p>
    <w:p w14:paraId="7CD8F766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</w:pPr>
    </w:p>
    <w:p w14:paraId="4875A0E9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</w:pPr>
    </w:p>
    <w:p w14:paraId="311A178B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</w:pPr>
    </w:p>
    <w:p w14:paraId="6E4DC92C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</w:pPr>
    </w:p>
    <w:p w14:paraId="574BA26D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</w:pPr>
    </w:p>
    <w:p w14:paraId="0C65548E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</w:pPr>
    </w:p>
    <w:p w14:paraId="3AB79DE7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</w:pPr>
    </w:p>
    <w:p w14:paraId="549273B9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</w:pPr>
    </w:p>
    <w:p w14:paraId="537E1924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</w:pPr>
    </w:p>
    <w:p w14:paraId="7355D1B9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</w:pPr>
    </w:p>
    <w:p w14:paraId="5982648E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</w:pPr>
    </w:p>
    <w:p w14:paraId="2D9DD3C8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</w:pPr>
    </w:p>
    <w:p w14:paraId="14F6AC8E" w14:textId="77777777" w:rsidR="00D5464E" w:rsidRDefault="00D5464E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</w:pPr>
    </w:p>
    <w:p w14:paraId="2A980F20" w14:textId="45643829" w:rsidR="00D5464E" w:rsidRPr="0036209B" w:rsidRDefault="00D5464E" w:rsidP="00D5464E">
      <w:pPr>
        <w:spacing w:after="0" w:line="360" w:lineRule="auto"/>
        <w:jc w:val="both"/>
        <w:rPr>
          <w:rFonts w:ascii="Arial" w:eastAsia="Calibri" w:hAnsi="Arial" w:cs="Arial"/>
          <w:kern w:val="0"/>
          <w:sz w:val="22"/>
          <w:szCs w:val="22"/>
          <w:lang w:val="en" w:eastAsia="es-ES_tradnl"/>
          <w14:ligatures w14:val="none"/>
        </w:rPr>
      </w:pPr>
      <w:r w:rsidRPr="0036209B"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  <w:lastRenderedPageBreak/>
        <w:t xml:space="preserve">Supplementary Table </w:t>
      </w:r>
      <w:r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  <w:t>S</w:t>
      </w:r>
      <w:r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  <w:t>3</w:t>
      </w:r>
      <w:r w:rsidRPr="0036209B">
        <w:rPr>
          <w:rFonts w:ascii="Arial" w:eastAsia="Calibri" w:hAnsi="Arial" w:cs="Arial"/>
          <w:b/>
          <w:bCs/>
          <w:kern w:val="0"/>
          <w:sz w:val="22"/>
          <w:szCs w:val="22"/>
          <w:lang w:val="en" w:eastAsia="es-ES_tradnl"/>
          <w14:ligatures w14:val="none"/>
        </w:rPr>
        <w:t xml:space="preserve">. </w:t>
      </w:r>
      <w:r w:rsidRPr="0036209B">
        <w:rPr>
          <w:rFonts w:ascii="Arial" w:eastAsia="Calibri" w:hAnsi="Arial" w:cs="Arial"/>
          <w:kern w:val="0"/>
          <w:sz w:val="22"/>
          <w:szCs w:val="22"/>
          <w:lang w:val="en" w:eastAsia="es-ES_tradnl"/>
          <w14:ligatures w14:val="none"/>
        </w:rPr>
        <w:t xml:space="preserve"> Baseline clinical characteristics of included patient</w:t>
      </w:r>
    </w:p>
    <w:tbl>
      <w:tblPr>
        <w:tblStyle w:val="Tablaconcuadrcula"/>
        <w:tblW w:w="15026" w:type="dxa"/>
        <w:tblLayout w:type="fixed"/>
        <w:tblLook w:val="04A0" w:firstRow="1" w:lastRow="0" w:firstColumn="1" w:lastColumn="0" w:noHBand="0" w:noVBand="1"/>
      </w:tblPr>
      <w:tblGrid>
        <w:gridCol w:w="992"/>
        <w:gridCol w:w="709"/>
        <w:gridCol w:w="708"/>
        <w:gridCol w:w="1281"/>
        <w:gridCol w:w="1134"/>
        <w:gridCol w:w="3259"/>
        <w:gridCol w:w="2693"/>
        <w:gridCol w:w="1558"/>
        <w:gridCol w:w="2692"/>
      </w:tblGrid>
      <w:tr w:rsidR="00D5464E" w:rsidRPr="0036209B" w14:paraId="0564B9D4" w14:textId="77777777" w:rsidTr="00B40BE7">
        <w:trPr>
          <w:trHeight w:val="320"/>
        </w:trPr>
        <w:tc>
          <w:tcPr>
            <w:tcW w:w="993" w:type="dxa"/>
          </w:tcPr>
          <w:p w14:paraId="2688F6E6" w14:textId="77777777" w:rsidR="00D5464E" w:rsidRPr="0036209B" w:rsidRDefault="00D5464E" w:rsidP="00B40BE7">
            <w:pPr>
              <w:jc w:val="center"/>
              <w:rPr>
                <w:rFonts w:ascii="Arial" w:eastAsia="Calibri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PATIENT</w:t>
            </w:r>
          </w:p>
        </w:tc>
        <w:tc>
          <w:tcPr>
            <w:tcW w:w="709" w:type="dxa"/>
          </w:tcPr>
          <w:p w14:paraId="6F7498D6" w14:textId="77777777" w:rsidR="00D5464E" w:rsidRPr="0036209B" w:rsidRDefault="00D5464E" w:rsidP="00B40BE7">
            <w:pPr>
              <w:jc w:val="center"/>
              <w:rPr>
                <w:rFonts w:ascii="Arial" w:eastAsia="Calibri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SEX</w:t>
            </w:r>
          </w:p>
        </w:tc>
        <w:tc>
          <w:tcPr>
            <w:tcW w:w="703" w:type="dxa"/>
          </w:tcPr>
          <w:p w14:paraId="67184E4A" w14:textId="77777777" w:rsidR="00D5464E" w:rsidRPr="0036209B" w:rsidRDefault="00D5464E" w:rsidP="00B40BE7">
            <w:pPr>
              <w:jc w:val="center"/>
              <w:rPr>
                <w:rFonts w:ascii="Arial" w:eastAsia="Calibri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AGE</w:t>
            </w:r>
          </w:p>
        </w:tc>
        <w:tc>
          <w:tcPr>
            <w:tcW w:w="1281" w:type="dxa"/>
          </w:tcPr>
          <w:p w14:paraId="2A805329" w14:textId="77777777" w:rsidR="00D5464E" w:rsidRPr="0036209B" w:rsidRDefault="00D5464E" w:rsidP="00B40BE7">
            <w:pPr>
              <w:jc w:val="center"/>
              <w:rPr>
                <w:rFonts w:ascii="Arial" w:eastAsia="Calibri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WBC</w:t>
            </w:r>
            <w:r w:rsidRPr="0036209B">
              <w:rPr>
                <w:rFonts w:ascii="Arial" w:eastAsia="Calibri" w:hAnsi="Arial" w:cs="Arial"/>
                <w:smallCaps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COUNT</w:t>
            </w:r>
            <w:r w:rsidRPr="0036209B">
              <w:rPr>
                <w:rFonts w:ascii="Arial" w:eastAsia="Calibri" w:hAnsi="Arial" w:cs="Arial"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(</w:t>
            </w:r>
            <w:r w:rsidRPr="0036209B">
              <w:rPr>
                <w:rFonts w:ascii="Arial" w:eastAsia="Calibri" w:hAnsi="Arial" w:cs="Arial"/>
                <w:smallCaps/>
                <w:kern w:val="0"/>
                <w:sz w:val="20"/>
                <w:szCs w:val="20"/>
                <w:lang w:val="en" w:eastAsia="es-ES_tradnl"/>
                <w14:ligatures w14:val="none"/>
              </w:rPr>
              <w:t>CELLS</w:t>
            </w:r>
            <w:r w:rsidRPr="0036209B">
              <w:rPr>
                <w:rFonts w:ascii="Arial" w:eastAsia="Calibri" w:hAnsi="Arial" w:cs="Arial"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/</w:t>
            </w:r>
            <w:r w:rsidRPr="0036209B">
              <w:rPr>
                <w:rFonts w:ascii="Arial" w:eastAsia="Calibri" w:hAnsi="Arial" w:cs="Arial"/>
                <w:smallCaps/>
                <w:kern w:val="0"/>
                <w:sz w:val="20"/>
                <w:szCs w:val="20"/>
                <w:lang w:val="en" w:eastAsia="es-ES_tradnl"/>
                <w14:ligatures w14:val="none"/>
              </w:rPr>
              <w:t>µ</w:t>
            </w:r>
            <w:r w:rsidRPr="0036209B">
              <w:rPr>
                <w:rFonts w:ascii="Arial" w:eastAsia="Calibri" w:hAnsi="Arial" w:cs="Arial"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L), </w:t>
            </w:r>
            <w:r w:rsidRPr="0036209B">
              <w:rPr>
                <w:rFonts w:ascii="Arial" w:eastAsia="Calibri" w:hAnsi="Arial" w:cs="Arial"/>
                <w:smallCaps/>
                <w:kern w:val="0"/>
                <w:sz w:val="20"/>
                <w:szCs w:val="20"/>
                <w:lang w:val="en" w:eastAsia="es-ES_tradnl"/>
                <w14:ligatures w14:val="none"/>
              </w:rPr>
              <w:t>DAY 1</w:t>
            </w:r>
          </w:p>
        </w:tc>
        <w:tc>
          <w:tcPr>
            <w:tcW w:w="1134" w:type="dxa"/>
          </w:tcPr>
          <w:p w14:paraId="1803236A" w14:textId="77777777" w:rsidR="00D5464E" w:rsidRPr="0036209B" w:rsidRDefault="00D5464E" w:rsidP="00B40BE7">
            <w:pPr>
              <w:jc w:val="center"/>
              <w:rPr>
                <w:rFonts w:ascii="Arial" w:eastAsia="Calibri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PMNs (%), day 1</w:t>
            </w:r>
          </w:p>
        </w:tc>
        <w:tc>
          <w:tcPr>
            <w:tcW w:w="3260" w:type="dxa"/>
          </w:tcPr>
          <w:p w14:paraId="4B7252FA" w14:textId="77777777" w:rsidR="00D5464E" w:rsidRPr="0036209B" w:rsidRDefault="00D5464E" w:rsidP="00B40BE7">
            <w:pPr>
              <w:jc w:val="center"/>
              <w:rPr>
                <w:rFonts w:ascii="Arial" w:eastAsia="Calibri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pathogen</w:t>
            </w:r>
          </w:p>
        </w:tc>
        <w:tc>
          <w:tcPr>
            <w:tcW w:w="2694" w:type="dxa"/>
          </w:tcPr>
          <w:p w14:paraId="7BE626DF" w14:textId="77777777" w:rsidR="00D5464E" w:rsidRPr="0036209B" w:rsidRDefault="00D5464E" w:rsidP="00B40BE7">
            <w:pPr>
              <w:jc w:val="center"/>
              <w:rPr>
                <w:rFonts w:ascii="Arial" w:eastAsia="Calibri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TREATMENT</w:t>
            </w:r>
          </w:p>
        </w:tc>
        <w:tc>
          <w:tcPr>
            <w:tcW w:w="1559" w:type="dxa"/>
          </w:tcPr>
          <w:p w14:paraId="476E21FC" w14:textId="77777777" w:rsidR="00D5464E" w:rsidRPr="0036209B" w:rsidRDefault="00D5464E" w:rsidP="00B40BE7">
            <w:pPr>
              <w:jc w:val="center"/>
              <w:rPr>
                <w:rFonts w:ascii="Arial" w:eastAsia="Calibri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smallCaps/>
                <w:kern w:val="0"/>
                <w:sz w:val="20"/>
                <w:szCs w:val="20"/>
                <w:lang w:val="en" w:eastAsia="es-ES_tradnl"/>
                <w14:ligatures w14:val="none"/>
              </w:rPr>
              <w:t>P</w:t>
            </w:r>
            <w:r w:rsidRPr="0036209B">
              <w:rPr>
                <w:rFonts w:ascii="Arial" w:eastAsia="Calibri" w:hAnsi="Arial" w:cs="Arial"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D MODALITY </w:t>
            </w:r>
          </w:p>
        </w:tc>
        <w:tc>
          <w:tcPr>
            <w:tcW w:w="2693" w:type="dxa"/>
          </w:tcPr>
          <w:p w14:paraId="671AACD1" w14:textId="77777777" w:rsidR="00D5464E" w:rsidRPr="0036209B" w:rsidRDefault="00D5464E" w:rsidP="00B40BE7">
            <w:pPr>
              <w:jc w:val="center"/>
              <w:rPr>
                <w:rFonts w:ascii="Arial" w:eastAsia="Calibri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Calibri" w:hAnsi="Arial" w:cs="Arial"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outcome</w:t>
            </w:r>
          </w:p>
        </w:tc>
      </w:tr>
      <w:tr w:rsidR="00D5464E" w:rsidRPr="0036209B" w14:paraId="4482C814" w14:textId="77777777" w:rsidTr="00B40BE7">
        <w:trPr>
          <w:trHeight w:val="320"/>
        </w:trPr>
        <w:tc>
          <w:tcPr>
            <w:tcW w:w="993" w:type="dxa"/>
          </w:tcPr>
          <w:p w14:paraId="04399CB6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CST1</w:t>
            </w:r>
          </w:p>
        </w:tc>
        <w:tc>
          <w:tcPr>
            <w:tcW w:w="709" w:type="dxa"/>
          </w:tcPr>
          <w:p w14:paraId="313DA96A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M</w:t>
            </w:r>
          </w:p>
        </w:tc>
        <w:tc>
          <w:tcPr>
            <w:tcW w:w="708" w:type="dxa"/>
          </w:tcPr>
          <w:p w14:paraId="2599234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69</w:t>
            </w:r>
          </w:p>
        </w:tc>
        <w:tc>
          <w:tcPr>
            <w:tcW w:w="1276" w:type="dxa"/>
          </w:tcPr>
          <w:p w14:paraId="7EEBE1A3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6708</w:t>
            </w:r>
          </w:p>
        </w:tc>
        <w:tc>
          <w:tcPr>
            <w:tcW w:w="1134" w:type="dxa"/>
          </w:tcPr>
          <w:p w14:paraId="3A3C31E9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90</w:t>
            </w:r>
          </w:p>
        </w:tc>
        <w:tc>
          <w:tcPr>
            <w:tcW w:w="3260" w:type="dxa"/>
          </w:tcPr>
          <w:p w14:paraId="32538FB0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Pseudomonas aeruginosa</w:t>
            </w:r>
          </w:p>
        </w:tc>
        <w:tc>
          <w:tcPr>
            <w:tcW w:w="2694" w:type="dxa"/>
          </w:tcPr>
          <w:p w14:paraId="4ABC16D2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Vancom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ycin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 Gentamicin</w:t>
            </w:r>
          </w:p>
        </w:tc>
        <w:tc>
          <w:tcPr>
            <w:tcW w:w="1559" w:type="dxa"/>
          </w:tcPr>
          <w:p w14:paraId="2CC465D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APD</w:t>
            </w:r>
          </w:p>
        </w:tc>
        <w:tc>
          <w:tcPr>
            <w:tcW w:w="2693" w:type="dxa"/>
          </w:tcPr>
          <w:p w14:paraId="05846E29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Catheter removal (poor clinical course)</w:t>
            </w:r>
          </w:p>
        </w:tc>
      </w:tr>
      <w:tr w:rsidR="00D5464E" w:rsidRPr="0036209B" w14:paraId="3809387D" w14:textId="77777777" w:rsidTr="00B40BE7">
        <w:trPr>
          <w:trHeight w:val="320"/>
        </w:trPr>
        <w:tc>
          <w:tcPr>
            <w:tcW w:w="993" w:type="dxa"/>
          </w:tcPr>
          <w:p w14:paraId="68426F0B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CST2</w:t>
            </w:r>
          </w:p>
        </w:tc>
        <w:tc>
          <w:tcPr>
            <w:tcW w:w="709" w:type="dxa"/>
          </w:tcPr>
          <w:p w14:paraId="57AAF9A6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M</w:t>
            </w:r>
          </w:p>
        </w:tc>
        <w:tc>
          <w:tcPr>
            <w:tcW w:w="708" w:type="dxa"/>
          </w:tcPr>
          <w:p w14:paraId="55382A6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79</w:t>
            </w:r>
          </w:p>
        </w:tc>
        <w:tc>
          <w:tcPr>
            <w:tcW w:w="1276" w:type="dxa"/>
          </w:tcPr>
          <w:p w14:paraId="66C05842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2344</w:t>
            </w:r>
          </w:p>
        </w:tc>
        <w:tc>
          <w:tcPr>
            <w:tcW w:w="1134" w:type="dxa"/>
          </w:tcPr>
          <w:p w14:paraId="7C06D2CF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58</w:t>
            </w:r>
          </w:p>
        </w:tc>
        <w:tc>
          <w:tcPr>
            <w:tcW w:w="3260" w:type="dxa"/>
          </w:tcPr>
          <w:p w14:paraId="2CD2528D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Streptococcus mitis (</w:t>
            </w:r>
            <w:proofErr w:type="spellStart"/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viridans</w:t>
            </w:r>
            <w:proofErr w:type="spellEnd"/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group)</w:t>
            </w:r>
          </w:p>
        </w:tc>
        <w:tc>
          <w:tcPr>
            <w:tcW w:w="2694" w:type="dxa"/>
          </w:tcPr>
          <w:p w14:paraId="1BB5AEB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Vancomycin + Gentamicin</w:t>
            </w:r>
          </w:p>
        </w:tc>
        <w:tc>
          <w:tcPr>
            <w:tcW w:w="1559" w:type="dxa"/>
          </w:tcPr>
          <w:p w14:paraId="23FD2F07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APD</w:t>
            </w:r>
          </w:p>
        </w:tc>
        <w:tc>
          <w:tcPr>
            <w:tcW w:w="2693" w:type="dxa"/>
          </w:tcPr>
          <w:p w14:paraId="4301D305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Resolution of infection</w:t>
            </w:r>
          </w:p>
        </w:tc>
      </w:tr>
      <w:tr w:rsidR="00D5464E" w:rsidRPr="0036209B" w14:paraId="72523971" w14:textId="77777777" w:rsidTr="00B40BE7">
        <w:trPr>
          <w:trHeight w:val="320"/>
        </w:trPr>
        <w:tc>
          <w:tcPr>
            <w:tcW w:w="993" w:type="dxa"/>
          </w:tcPr>
          <w:p w14:paraId="54C8ECC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CST3</w:t>
            </w:r>
          </w:p>
        </w:tc>
        <w:tc>
          <w:tcPr>
            <w:tcW w:w="709" w:type="dxa"/>
          </w:tcPr>
          <w:p w14:paraId="3B3142B3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M</w:t>
            </w:r>
          </w:p>
        </w:tc>
        <w:tc>
          <w:tcPr>
            <w:tcW w:w="708" w:type="dxa"/>
          </w:tcPr>
          <w:p w14:paraId="6BD898C7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76</w:t>
            </w:r>
          </w:p>
        </w:tc>
        <w:tc>
          <w:tcPr>
            <w:tcW w:w="1276" w:type="dxa"/>
          </w:tcPr>
          <w:p w14:paraId="6F69FCA2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1582</w:t>
            </w:r>
          </w:p>
        </w:tc>
        <w:tc>
          <w:tcPr>
            <w:tcW w:w="1134" w:type="dxa"/>
          </w:tcPr>
          <w:p w14:paraId="500DB3B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90</w:t>
            </w:r>
          </w:p>
        </w:tc>
        <w:tc>
          <w:tcPr>
            <w:tcW w:w="3260" w:type="dxa"/>
          </w:tcPr>
          <w:p w14:paraId="38B507E4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Coagulase-negative Staphylococcus (</w:t>
            </w:r>
            <w:r w:rsidRPr="0036209B">
              <w:rPr>
                <w:rFonts w:ascii="Arial" w:eastAsia="Aptos Narrow" w:hAnsi="Arial" w:cs="Arial"/>
                <w:i/>
                <w:iC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S. epidermidis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)</w:t>
            </w:r>
          </w:p>
        </w:tc>
        <w:tc>
          <w:tcPr>
            <w:tcW w:w="2694" w:type="dxa"/>
          </w:tcPr>
          <w:p w14:paraId="13FC9271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Vancom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ycin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 Gentamicin + Cefazolin</w:t>
            </w:r>
          </w:p>
        </w:tc>
        <w:tc>
          <w:tcPr>
            <w:tcW w:w="1559" w:type="dxa"/>
          </w:tcPr>
          <w:p w14:paraId="5B8AC002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CAPD</w:t>
            </w:r>
          </w:p>
        </w:tc>
        <w:tc>
          <w:tcPr>
            <w:tcW w:w="2693" w:type="dxa"/>
          </w:tcPr>
          <w:p w14:paraId="74F4E716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Resolution of infection</w:t>
            </w:r>
          </w:p>
        </w:tc>
      </w:tr>
      <w:tr w:rsidR="00D5464E" w:rsidRPr="0036209B" w14:paraId="71B49F14" w14:textId="77777777" w:rsidTr="00B40BE7">
        <w:trPr>
          <w:trHeight w:val="320"/>
        </w:trPr>
        <w:tc>
          <w:tcPr>
            <w:tcW w:w="993" w:type="dxa"/>
          </w:tcPr>
          <w:p w14:paraId="57728708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HCB1</w:t>
            </w:r>
          </w:p>
        </w:tc>
        <w:tc>
          <w:tcPr>
            <w:tcW w:w="709" w:type="dxa"/>
          </w:tcPr>
          <w:p w14:paraId="5FB315C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M</w:t>
            </w:r>
          </w:p>
        </w:tc>
        <w:tc>
          <w:tcPr>
            <w:tcW w:w="708" w:type="dxa"/>
          </w:tcPr>
          <w:p w14:paraId="74580F6B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54</w:t>
            </w:r>
          </w:p>
        </w:tc>
        <w:tc>
          <w:tcPr>
            <w:tcW w:w="1276" w:type="dxa"/>
          </w:tcPr>
          <w:p w14:paraId="715473AE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6100</w:t>
            </w:r>
          </w:p>
        </w:tc>
        <w:tc>
          <w:tcPr>
            <w:tcW w:w="1134" w:type="dxa"/>
          </w:tcPr>
          <w:p w14:paraId="4FE6C522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71</w:t>
            </w:r>
          </w:p>
        </w:tc>
        <w:tc>
          <w:tcPr>
            <w:tcW w:w="3260" w:type="dxa"/>
          </w:tcPr>
          <w:p w14:paraId="63258AFB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Coagulase-negative Staphylococcus (</w:t>
            </w:r>
            <w:r w:rsidRPr="0036209B">
              <w:rPr>
                <w:rFonts w:ascii="Arial" w:eastAsia="Aptos Narrow" w:hAnsi="Arial" w:cs="Arial"/>
                <w:i/>
                <w:iC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S. epidermidis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)</w:t>
            </w:r>
          </w:p>
        </w:tc>
        <w:tc>
          <w:tcPr>
            <w:tcW w:w="2694" w:type="dxa"/>
          </w:tcPr>
          <w:p w14:paraId="3251B306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Vancom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ycin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 Tobram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ycin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 Fluconazole</w:t>
            </w:r>
          </w:p>
        </w:tc>
        <w:tc>
          <w:tcPr>
            <w:tcW w:w="1559" w:type="dxa"/>
          </w:tcPr>
          <w:p w14:paraId="034DBFFB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APD (changes)</w:t>
            </w:r>
          </w:p>
        </w:tc>
        <w:tc>
          <w:tcPr>
            <w:tcW w:w="2693" w:type="dxa"/>
          </w:tcPr>
          <w:p w14:paraId="58CAA8A5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Resolution of infection</w:t>
            </w:r>
          </w:p>
        </w:tc>
      </w:tr>
      <w:tr w:rsidR="00D5464E" w:rsidRPr="0036209B" w14:paraId="29FD3294" w14:textId="77777777" w:rsidTr="00B40BE7">
        <w:trPr>
          <w:trHeight w:val="320"/>
        </w:trPr>
        <w:tc>
          <w:tcPr>
            <w:tcW w:w="993" w:type="dxa"/>
          </w:tcPr>
          <w:p w14:paraId="3947AAA4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HdM2</w:t>
            </w:r>
          </w:p>
        </w:tc>
        <w:tc>
          <w:tcPr>
            <w:tcW w:w="709" w:type="dxa"/>
          </w:tcPr>
          <w:p w14:paraId="0D6A3078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M</w:t>
            </w:r>
          </w:p>
        </w:tc>
        <w:tc>
          <w:tcPr>
            <w:tcW w:w="708" w:type="dxa"/>
          </w:tcPr>
          <w:p w14:paraId="3DD22BB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67</w:t>
            </w:r>
          </w:p>
        </w:tc>
        <w:tc>
          <w:tcPr>
            <w:tcW w:w="1276" w:type="dxa"/>
          </w:tcPr>
          <w:p w14:paraId="42E4915B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4543</w:t>
            </w:r>
          </w:p>
        </w:tc>
        <w:tc>
          <w:tcPr>
            <w:tcW w:w="1134" w:type="dxa"/>
          </w:tcPr>
          <w:p w14:paraId="55A92387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83</w:t>
            </w:r>
          </w:p>
        </w:tc>
        <w:tc>
          <w:tcPr>
            <w:tcW w:w="3260" w:type="dxa"/>
          </w:tcPr>
          <w:p w14:paraId="54C4D938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Coagulase-negative Staphylococcus (</w:t>
            </w:r>
            <w:r w:rsidRPr="0036209B">
              <w:rPr>
                <w:rFonts w:ascii="Arial" w:eastAsia="Aptos Narrow" w:hAnsi="Arial" w:cs="Arial"/>
                <w:i/>
                <w:iC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S. epidermidis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)</w:t>
            </w:r>
          </w:p>
        </w:tc>
        <w:tc>
          <w:tcPr>
            <w:tcW w:w="2694" w:type="dxa"/>
          </w:tcPr>
          <w:p w14:paraId="1ECE17C1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Vancom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ycin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 Ceftazidim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e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 </w:t>
            </w:r>
          </w:p>
          <w:p w14:paraId="63721BDB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Fluconazole</w:t>
            </w:r>
          </w:p>
        </w:tc>
        <w:tc>
          <w:tcPr>
            <w:tcW w:w="1559" w:type="dxa"/>
          </w:tcPr>
          <w:p w14:paraId="2BA38B1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APD</w:t>
            </w:r>
          </w:p>
        </w:tc>
        <w:tc>
          <w:tcPr>
            <w:tcW w:w="2693" w:type="dxa"/>
          </w:tcPr>
          <w:p w14:paraId="3C1C6FE3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Resolution of infection</w:t>
            </w:r>
          </w:p>
        </w:tc>
      </w:tr>
      <w:tr w:rsidR="00D5464E" w:rsidRPr="0036209B" w14:paraId="7C48E0D2" w14:textId="77777777" w:rsidTr="00B40BE7">
        <w:trPr>
          <w:trHeight w:val="320"/>
        </w:trPr>
        <w:tc>
          <w:tcPr>
            <w:tcW w:w="993" w:type="dxa"/>
          </w:tcPr>
          <w:p w14:paraId="718A2CCE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HDM3</w:t>
            </w:r>
          </w:p>
        </w:tc>
        <w:tc>
          <w:tcPr>
            <w:tcW w:w="709" w:type="dxa"/>
          </w:tcPr>
          <w:p w14:paraId="5CE5E141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M</w:t>
            </w:r>
          </w:p>
        </w:tc>
        <w:tc>
          <w:tcPr>
            <w:tcW w:w="708" w:type="dxa"/>
          </w:tcPr>
          <w:p w14:paraId="79FF7591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86</w:t>
            </w:r>
          </w:p>
        </w:tc>
        <w:tc>
          <w:tcPr>
            <w:tcW w:w="1276" w:type="dxa"/>
          </w:tcPr>
          <w:p w14:paraId="584E3EA6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112</w:t>
            </w:r>
          </w:p>
        </w:tc>
        <w:tc>
          <w:tcPr>
            <w:tcW w:w="1134" w:type="dxa"/>
          </w:tcPr>
          <w:p w14:paraId="4CC653A0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42</w:t>
            </w:r>
          </w:p>
        </w:tc>
        <w:tc>
          <w:tcPr>
            <w:tcW w:w="3260" w:type="dxa"/>
          </w:tcPr>
          <w:p w14:paraId="6F82FB7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Coagulase-negative Staphylococcus (</w:t>
            </w:r>
            <w:r w:rsidRPr="0036209B">
              <w:rPr>
                <w:rFonts w:ascii="Arial" w:eastAsia="Aptos Narrow" w:hAnsi="Arial" w:cs="Arial"/>
                <w:i/>
                <w:iC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S. epidermidis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)</w:t>
            </w:r>
          </w:p>
        </w:tc>
        <w:tc>
          <w:tcPr>
            <w:tcW w:w="2694" w:type="dxa"/>
          </w:tcPr>
          <w:p w14:paraId="0EF6C680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Cefazolin + Ceftazidim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e</w:t>
            </w:r>
          </w:p>
        </w:tc>
        <w:tc>
          <w:tcPr>
            <w:tcW w:w="1559" w:type="dxa"/>
          </w:tcPr>
          <w:p w14:paraId="2C29D91E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Manual</w:t>
            </w:r>
          </w:p>
        </w:tc>
        <w:tc>
          <w:tcPr>
            <w:tcW w:w="2693" w:type="dxa"/>
          </w:tcPr>
          <w:p w14:paraId="5C7B2BB7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Death</w:t>
            </w:r>
          </w:p>
        </w:tc>
      </w:tr>
      <w:tr w:rsidR="00D5464E" w:rsidRPr="0036209B" w14:paraId="2BC9DF2B" w14:textId="77777777" w:rsidTr="00B40BE7">
        <w:trPr>
          <w:trHeight w:val="320"/>
        </w:trPr>
        <w:tc>
          <w:tcPr>
            <w:tcW w:w="993" w:type="dxa"/>
          </w:tcPr>
          <w:p w14:paraId="12E5D439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HdM4</w:t>
            </w:r>
          </w:p>
        </w:tc>
        <w:tc>
          <w:tcPr>
            <w:tcW w:w="709" w:type="dxa"/>
          </w:tcPr>
          <w:p w14:paraId="160B52D2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M</w:t>
            </w:r>
          </w:p>
        </w:tc>
        <w:tc>
          <w:tcPr>
            <w:tcW w:w="708" w:type="dxa"/>
          </w:tcPr>
          <w:p w14:paraId="4B74FA09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67</w:t>
            </w:r>
          </w:p>
        </w:tc>
        <w:tc>
          <w:tcPr>
            <w:tcW w:w="1276" w:type="dxa"/>
          </w:tcPr>
          <w:p w14:paraId="61A90A80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1289</w:t>
            </w:r>
          </w:p>
        </w:tc>
        <w:tc>
          <w:tcPr>
            <w:tcW w:w="1134" w:type="dxa"/>
          </w:tcPr>
          <w:p w14:paraId="2D04CB89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58.8</w:t>
            </w:r>
          </w:p>
        </w:tc>
        <w:tc>
          <w:tcPr>
            <w:tcW w:w="3260" w:type="dxa"/>
          </w:tcPr>
          <w:p w14:paraId="2C0103FD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Coagulase-negative Staphylococcus (</w:t>
            </w:r>
            <w:r w:rsidRPr="0036209B">
              <w:rPr>
                <w:rFonts w:ascii="Arial" w:eastAsia="Aptos Narrow" w:hAnsi="Arial" w:cs="Arial"/>
                <w:i/>
                <w:iC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S. epidermidis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)</w:t>
            </w:r>
          </w:p>
        </w:tc>
        <w:tc>
          <w:tcPr>
            <w:tcW w:w="2694" w:type="dxa"/>
          </w:tcPr>
          <w:p w14:paraId="3E02C3BF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Ceftazidim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e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 Cefazolin + </w:t>
            </w:r>
          </w:p>
          <w:p w14:paraId="0B1C5121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Fluconazole</w:t>
            </w:r>
          </w:p>
        </w:tc>
        <w:tc>
          <w:tcPr>
            <w:tcW w:w="1559" w:type="dxa"/>
          </w:tcPr>
          <w:p w14:paraId="58611130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APD</w:t>
            </w:r>
          </w:p>
        </w:tc>
        <w:tc>
          <w:tcPr>
            <w:tcW w:w="2693" w:type="dxa"/>
          </w:tcPr>
          <w:p w14:paraId="1EDD531A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Resolution of infection</w:t>
            </w:r>
          </w:p>
        </w:tc>
      </w:tr>
      <w:tr w:rsidR="00D5464E" w:rsidRPr="0036209B" w14:paraId="5CF4D990" w14:textId="77777777" w:rsidTr="00B40BE7">
        <w:trPr>
          <w:trHeight w:val="320"/>
        </w:trPr>
        <w:tc>
          <w:tcPr>
            <w:tcW w:w="993" w:type="dxa"/>
          </w:tcPr>
          <w:p w14:paraId="7A833C79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HdM5</w:t>
            </w:r>
          </w:p>
        </w:tc>
        <w:tc>
          <w:tcPr>
            <w:tcW w:w="709" w:type="dxa"/>
          </w:tcPr>
          <w:p w14:paraId="17B3F594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M</w:t>
            </w:r>
          </w:p>
        </w:tc>
        <w:tc>
          <w:tcPr>
            <w:tcW w:w="708" w:type="dxa"/>
          </w:tcPr>
          <w:p w14:paraId="6DE0FFC3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78</w:t>
            </w:r>
          </w:p>
        </w:tc>
        <w:tc>
          <w:tcPr>
            <w:tcW w:w="1276" w:type="dxa"/>
          </w:tcPr>
          <w:p w14:paraId="6BC0C33D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2688</w:t>
            </w:r>
          </w:p>
        </w:tc>
        <w:tc>
          <w:tcPr>
            <w:tcW w:w="1134" w:type="dxa"/>
          </w:tcPr>
          <w:p w14:paraId="5D0EEE79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77</w:t>
            </w:r>
          </w:p>
        </w:tc>
        <w:tc>
          <w:tcPr>
            <w:tcW w:w="3260" w:type="dxa"/>
          </w:tcPr>
          <w:p w14:paraId="20DF86C7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Streptococcus sanguinis</w:t>
            </w:r>
          </w:p>
        </w:tc>
        <w:tc>
          <w:tcPr>
            <w:tcW w:w="2694" w:type="dxa"/>
          </w:tcPr>
          <w:p w14:paraId="3A424C92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Cefazolin + Ceftazidim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e</w:t>
            </w:r>
          </w:p>
        </w:tc>
        <w:tc>
          <w:tcPr>
            <w:tcW w:w="1559" w:type="dxa"/>
          </w:tcPr>
          <w:p w14:paraId="1C80536F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CAPD</w:t>
            </w:r>
          </w:p>
        </w:tc>
        <w:tc>
          <w:tcPr>
            <w:tcW w:w="2693" w:type="dxa"/>
          </w:tcPr>
          <w:p w14:paraId="020D8D5D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Resolution of infection</w:t>
            </w:r>
          </w:p>
        </w:tc>
      </w:tr>
      <w:tr w:rsidR="00D5464E" w:rsidRPr="0036209B" w14:paraId="4B1C4B07" w14:textId="77777777" w:rsidTr="00B40BE7">
        <w:trPr>
          <w:trHeight w:val="320"/>
        </w:trPr>
        <w:tc>
          <w:tcPr>
            <w:tcW w:w="993" w:type="dxa"/>
          </w:tcPr>
          <w:p w14:paraId="384B4CA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HMB1</w:t>
            </w:r>
          </w:p>
        </w:tc>
        <w:tc>
          <w:tcPr>
            <w:tcW w:w="709" w:type="dxa"/>
          </w:tcPr>
          <w:p w14:paraId="3BC9276B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M</w:t>
            </w:r>
          </w:p>
        </w:tc>
        <w:tc>
          <w:tcPr>
            <w:tcW w:w="708" w:type="dxa"/>
          </w:tcPr>
          <w:p w14:paraId="2EFA11E8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77</w:t>
            </w:r>
          </w:p>
        </w:tc>
        <w:tc>
          <w:tcPr>
            <w:tcW w:w="1276" w:type="dxa"/>
          </w:tcPr>
          <w:p w14:paraId="4A8DC98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902</w:t>
            </w:r>
          </w:p>
        </w:tc>
        <w:tc>
          <w:tcPr>
            <w:tcW w:w="1134" w:type="dxa"/>
          </w:tcPr>
          <w:p w14:paraId="3C79D8A6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70</w:t>
            </w:r>
          </w:p>
        </w:tc>
        <w:tc>
          <w:tcPr>
            <w:tcW w:w="3260" w:type="dxa"/>
          </w:tcPr>
          <w:p w14:paraId="29793B83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Coagulase-negative Staphylococcus (</w:t>
            </w:r>
            <w:r w:rsidRPr="0036209B">
              <w:rPr>
                <w:rFonts w:ascii="Arial" w:eastAsia="Aptos Narrow" w:hAnsi="Arial" w:cs="Arial"/>
                <w:i/>
                <w:iC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S. epidermidis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)</w:t>
            </w:r>
          </w:p>
        </w:tc>
        <w:tc>
          <w:tcPr>
            <w:tcW w:w="2694" w:type="dxa"/>
          </w:tcPr>
          <w:p w14:paraId="2AECD6F3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Vancom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ycin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 Ceftazidim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e</w:t>
            </w:r>
          </w:p>
        </w:tc>
        <w:tc>
          <w:tcPr>
            <w:tcW w:w="1559" w:type="dxa"/>
          </w:tcPr>
          <w:p w14:paraId="5AFEF142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APD</w:t>
            </w:r>
          </w:p>
        </w:tc>
        <w:tc>
          <w:tcPr>
            <w:tcW w:w="2693" w:type="dxa"/>
          </w:tcPr>
          <w:p w14:paraId="017A47A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Resolution of infection</w:t>
            </w:r>
          </w:p>
        </w:tc>
      </w:tr>
      <w:tr w:rsidR="00D5464E" w:rsidRPr="0036209B" w14:paraId="4385964D" w14:textId="77777777" w:rsidTr="00B40BE7">
        <w:trPr>
          <w:trHeight w:val="320"/>
        </w:trPr>
        <w:tc>
          <w:tcPr>
            <w:tcW w:w="993" w:type="dxa"/>
          </w:tcPr>
          <w:p w14:paraId="17773891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HMB2</w:t>
            </w:r>
          </w:p>
        </w:tc>
        <w:tc>
          <w:tcPr>
            <w:tcW w:w="709" w:type="dxa"/>
          </w:tcPr>
          <w:p w14:paraId="53C1DCA1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M</w:t>
            </w:r>
          </w:p>
        </w:tc>
        <w:tc>
          <w:tcPr>
            <w:tcW w:w="708" w:type="dxa"/>
          </w:tcPr>
          <w:p w14:paraId="4F39F10B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48</w:t>
            </w:r>
          </w:p>
        </w:tc>
        <w:tc>
          <w:tcPr>
            <w:tcW w:w="1276" w:type="dxa"/>
          </w:tcPr>
          <w:p w14:paraId="7CE103B1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3342</w:t>
            </w:r>
          </w:p>
        </w:tc>
        <w:tc>
          <w:tcPr>
            <w:tcW w:w="1134" w:type="dxa"/>
          </w:tcPr>
          <w:p w14:paraId="5F578F31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18</w:t>
            </w:r>
          </w:p>
        </w:tc>
        <w:tc>
          <w:tcPr>
            <w:tcW w:w="3260" w:type="dxa"/>
          </w:tcPr>
          <w:p w14:paraId="3D1D283D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Klebsiella</w:t>
            </w:r>
          </w:p>
        </w:tc>
        <w:tc>
          <w:tcPr>
            <w:tcW w:w="2694" w:type="dxa"/>
          </w:tcPr>
          <w:p w14:paraId="229D730B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Vancomycin + Ceftazidime</w:t>
            </w:r>
          </w:p>
        </w:tc>
        <w:tc>
          <w:tcPr>
            <w:tcW w:w="1559" w:type="dxa"/>
          </w:tcPr>
          <w:p w14:paraId="0D534065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APD</w:t>
            </w:r>
          </w:p>
        </w:tc>
        <w:tc>
          <w:tcPr>
            <w:tcW w:w="2693" w:type="dxa"/>
          </w:tcPr>
          <w:p w14:paraId="4DDA1C89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Resolution of infection</w:t>
            </w:r>
          </w:p>
        </w:tc>
      </w:tr>
      <w:tr w:rsidR="00D5464E" w:rsidRPr="0036209B" w14:paraId="6912BF37" w14:textId="77777777" w:rsidTr="00B40BE7">
        <w:trPr>
          <w:trHeight w:val="320"/>
        </w:trPr>
        <w:tc>
          <w:tcPr>
            <w:tcW w:w="993" w:type="dxa"/>
          </w:tcPr>
          <w:p w14:paraId="76E3DC57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HUB1</w:t>
            </w:r>
          </w:p>
        </w:tc>
        <w:tc>
          <w:tcPr>
            <w:tcW w:w="709" w:type="dxa"/>
          </w:tcPr>
          <w:p w14:paraId="1E88E3AD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M</w:t>
            </w:r>
          </w:p>
        </w:tc>
        <w:tc>
          <w:tcPr>
            <w:tcW w:w="708" w:type="dxa"/>
          </w:tcPr>
          <w:p w14:paraId="0493373F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70</w:t>
            </w:r>
          </w:p>
        </w:tc>
        <w:tc>
          <w:tcPr>
            <w:tcW w:w="1276" w:type="dxa"/>
          </w:tcPr>
          <w:p w14:paraId="1EBB25B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5622</w:t>
            </w:r>
          </w:p>
        </w:tc>
        <w:tc>
          <w:tcPr>
            <w:tcW w:w="1134" w:type="dxa"/>
          </w:tcPr>
          <w:p w14:paraId="0CA35978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85,8</w:t>
            </w:r>
          </w:p>
        </w:tc>
        <w:tc>
          <w:tcPr>
            <w:tcW w:w="3260" w:type="dxa"/>
          </w:tcPr>
          <w:p w14:paraId="71ABFE99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proofErr w:type="spellStart"/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Kocuria</w:t>
            </w:r>
            <w:proofErr w:type="spellEnd"/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</w:t>
            </w:r>
            <w:proofErr w:type="spellStart"/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rhizophila</w:t>
            </w:r>
            <w:proofErr w:type="spellEnd"/>
          </w:p>
        </w:tc>
        <w:tc>
          <w:tcPr>
            <w:tcW w:w="2694" w:type="dxa"/>
          </w:tcPr>
          <w:p w14:paraId="6E5321A6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Vancom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ycin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 Tobram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ycin</w:t>
            </w:r>
          </w:p>
        </w:tc>
        <w:tc>
          <w:tcPr>
            <w:tcW w:w="1559" w:type="dxa"/>
          </w:tcPr>
          <w:p w14:paraId="063ED711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APD</w:t>
            </w:r>
          </w:p>
        </w:tc>
        <w:tc>
          <w:tcPr>
            <w:tcW w:w="2693" w:type="dxa"/>
          </w:tcPr>
          <w:p w14:paraId="33CD6119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Resolution of infection</w:t>
            </w:r>
          </w:p>
        </w:tc>
      </w:tr>
      <w:tr w:rsidR="00D5464E" w:rsidRPr="0036209B" w14:paraId="0E9E3041" w14:textId="77777777" w:rsidTr="00B40BE7">
        <w:trPr>
          <w:trHeight w:val="320"/>
        </w:trPr>
        <w:tc>
          <w:tcPr>
            <w:tcW w:w="993" w:type="dxa"/>
          </w:tcPr>
          <w:p w14:paraId="0F3E9798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HUB2</w:t>
            </w:r>
          </w:p>
        </w:tc>
        <w:tc>
          <w:tcPr>
            <w:tcW w:w="709" w:type="dxa"/>
          </w:tcPr>
          <w:p w14:paraId="6F4A6A4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M</w:t>
            </w:r>
          </w:p>
        </w:tc>
        <w:tc>
          <w:tcPr>
            <w:tcW w:w="708" w:type="dxa"/>
          </w:tcPr>
          <w:p w14:paraId="14DCDBC6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81</w:t>
            </w:r>
          </w:p>
        </w:tc>
        <w:tc>
          <w:tcPr>
            <w:tcW w:w="1276" w:type="dxa"/>
          </w:tcPr>
          <w:p w14:paraId="77E7FFA3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15830</w:t>
            </w:r>
          </w:p>
        </w:tc>
        <w:tc>
          <w:tcPr>
            <w:tcW w:w="1134" w:type="dxa"/>
          </w:tcPr>
          <w:p w14:paraId="1A46FFB6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72.9</w:t>
            </w:r>
          </w:p>
        </w:tc>
        <w:tc>
          <w:tcPr>
            <w:tcW w:w="3260" w:type="dxa"/>
          </w:tcPr>
          <w:p w14:paraId="30CCA762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Enterococcus faecium</w:t>
            </w:r>
          </w:p>
        </w:tc>
        <w:tc>
          <w:tcPr>
            <w:tcW w:w="2694" w:type="dxa"/>
          </w:tcPr>
          <w:p w14:paraId="363E3245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Vancom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ycin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 Tobram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ycin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</w:t>
            </w:r>
          </w:p>
          <w:p w14:paraId="0B1B487A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Fluconazole</w:t>
            </w:r>
          </w:p>
        </w:tc>
        <w:tc>
          <w:tcPr>
            <w:tcW w:w="1559" w:type="dxa"/>
          </w:tcPr>
          <w:p w14:paraId="30B827C5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APD</w:t>
            </w:r>
          </w:p>
        </w:tc>
        <w:tc>
          <w:tcPr>
            <w:tcW w:w="2693" w:type="dxa"/>
          </w:tcPr>
          <w:p w14:paraId="23DA73EE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Catheter removal (Fungal peritonitis with poor clinical course)</w:t>
            </w:r>
          </w:p>
        </w:tc>
      </w:tr>
      <w:tr w:rsidR="00D5464E" w:rsidRPr="0036209B" w14:paraId="1659C134" w14:textId="77777777" w:rsidTr="00B40BE7">
        <w:trPr>
          <w:trHeight w:val="320"/>
        </w:trPr>
        <w:tc>
          <w:tcPr>
            <w:tcW w:w="993" w:type="dxa"/>
          </w:tcPr>
          <w:p w14:paraId="65ADE954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HUB3</w:t>
            </w:r>
          </w:p>
        </w:tc>
        <w:tc>
          <w:tcPr>
            <w:tcW w:w="709" w:type="dxa"/>
          </w:tcPr>
          <w:p w14:paraId="5BDD32CD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M</w:t>
            </w:r>
          </w:p>
        </w:tc>
        <w:tc>
          <w:tcPr>
            <w:tcW w:w="708" w:type="dxa"/>
          </w:tcPr>
          <w:p w14:paraId="4FF2C2E8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77</w:t>
            </w:r>
          </w:p>
        </w:tc>
        <w:tc>
          <w:tcPr>
            <w:tcW w:w="1276" w:type="dxa"/>
          </w:tcPr>
          <w:p w14:paraId="2F2C0F5B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2544</w:t>
            </w:r>
          </w:p>
        </w:tc>
        <w:tc>
          <w:tcPr>
            <w:tcW w:w="1134" w:type="dxa"/>
          </w:tcPr>
          <w:p w14:paraId="4855DE11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52.3</w:t>
            </w:r>
          </w:p>
        </w:tc>
        <w:tc>
          <w:tcPr>
            <w:tcW w:w="3260" w:type="dxa"/>
          </w:tcPr>
          <w:p w14:paraId="2134FB02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Streptococcus agalactiae</w:t>
            </w:r>
          </w:p>
        </w:tc>
        <w:tc>
          <w:tcPr>
            <w:tcW w:w="2694" w:type="dxa"/>
          </w:tcPr>
          <w:p w14:paraId="088E447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Vancomycin + Tobramycin</w:t>
            </w:r>
          </w:p>
        </w:tc>
        <w:tc>
          <w:tcPr>
            <w:tcW w:w="1559" w:type="dxa"/>
          </w:tcPr>
          <w:p w14:paraId="54E60AD5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APD</w:t>
            </w:r>
          </w:p>
        </w:tc>
        <w:tc>
          <w:tcPr>
            <w:tcW w:w="2693" w:type="dxa"/>
          </w:tcPr>
          <w:p w14:paraId="183A79A7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Resolution of infection</w:t>
            </w:r>
          </w:p>
        </w:tc>
      </w:tr>
      <w:tr w:rsidR="00D5464E" w:rsidRPr="0036209B" w14:paraId="00FB0A92" w14:textId="77777777" w:rsidTr="00B40BE7">
        <w:trPr>
          <w:trHeight w:val="320"/>
        </w:trPr>
        <w:tc>
          <w:tcPr>
            <w:tcW w:w="993" w:type="dxa"/>
          </w:tcPr>
          <w:p w14:paraId="0C55B0F3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HUB4</w:t>
            </w:r>
          </w:p>
        </w:tc>
        <w:tc>
          <w:tcPr>
            <w:tcW w:w="709" w:type="dxa"/>
          </w:tcPr>
          <w:p w14:paraId="4E721193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M</w:t>
            </w:r>
          </w:p>
        </w:tc>
        <w:tc>
          <w:tcPr>
            <w:tcW w:w="708" w:type="dxa"/>
          </w:tcPr>
          <w:p w14:paraId="09191031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65</w:t>
            </w:r>
          </w:p>
        </w:tc>
        <w:tc>
          <w:tcPr>
            <w:tcW w:w="1276" w:type="dxa"/>
          </w:tcPr>
          <w:p w14:paraId="218EEED6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3471</w:t>
            </w:r>
          </w:p>
        </w:tc>
        <w:tc>
          <w:tcPr>
            <w:tcW w:w="1134" w:type="dxa"/>
          </w:tcPr>
          <w:p w14:paraId="036D42B7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66.5</w:t>
            </w:r>
          </w:p>
        </w:tc>
        <w:tc>
          <w:tcPr>
            <w:tcW w:w="3260" w:type="dxa"/>
          </w:tcPr>
          <w:p w14:paraId="11A51816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Coagulase-negative Staphylococcus (S. epidermidis)</w:t>
            </w:r>
          </w:p>
        </w:tc>
        <w:tc>
          <w:tcPr>
            <w:tcW w:w="2694" w:type="dxa"/>
          </w:tcPr>
          <w:p w14:paraId="0599C0EA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Vancomycin + Tobramycin</w:t>
            </w:r>
          </w:p>
        </w:tc>
        <w:tc>
          <w:tcPr>
            <w:tcW w:w="1559" w:type="dxa"/>
          </w:tcPr>
          <w:p w14:paraId="768A77F8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APD</w:t>
            </w:r>
          </w:p>
        </w:tc>
        <w:tc>
          <w:tcPr>
            <w:tcW w:w="2693" w:type="dxa"/>
          </w:tcPr>
          <w:p w14:paraId="39295051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Resolution of infection</w:t>
            </w:r>
          </w:p>
        </w:tc>
      </w:tr>
      <w:tr w:rsidR="00D5464E" w:rsidRPr="0036209B" w14:paraId="69DCC207" w14:textId="77777777" w:rsidTr="00B40BE7">
        <w:trPr>
          <w:trHeight w:val="320"/>
        </w:trPr>
        <w:tc>
          <w:tcPr>
            <w:tcW w:w="993" w:type="dxa"/>
          </w:tcPr>
          <w:p w14:paraId="39D14008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HUB5</w:t>
            </w:r>
          </w:p>
        </w:tc>
        <w:tc>
          <w:tcPr>
            <w:tcW w:w="709" w:type="dxa"/>
          </w:tcPr>
          <w:p w14:paraId="2B924734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M</w:t>
            </w:r>
          </w:p>
        </w:tc>
        <w:tc>
          <w:tcPr>
            <w:tcW w:w="708" w:type="dxa"/>
          </w:tcPr>
          <w:p w14:paraId="25C26218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70</w:t>
            </w:r>
          </w:p>
        </w:tc>
        <w:tc>
          <w:tcPr>
            <w:tcW w:w="1276" w:type="dxa"/>
          </w:tcPr>
          <w:p w14:paraId="2D3A0225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11364</w:t>
            </w:r>
          </w:p>
        </w:tc>
        <w:tc>
          <w:tcPr>
            <w:tcW w:w="1134" w:type="dxa"/>
          </w:tcPr>
          <w:p w14:paraId="25710D99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85.7</w:t>
            </w:r>
          </w:p>
        </w:tc>
        <w:tc>
          <w:tcPr>
            <w:tcW w:w="3260" w:type="dxa"/>
          </w:tcPr>
          <w:p w14:paraId="7D237D58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Coagulase-negative Staphylococcus (S. epidermidis)</w:t>
            </w:r>
          </w:p>
        </w:tc>
        <w:tc>
          <w:tcPr>
            <w:tcW w:w="2694" w:type="dxa"/>
          </w:tcPr>
          <w:p w14:paraId="558CA635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Ciprofloxaci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n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 Vancom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ycin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</w:t>
            </w:r>
          </w:p>
          <w:p w14:paraId="0FD1283B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Tobram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ycin</w:t>
            </w:r>
          </w:p>
        </w:tc>
        <w:tc>
          <w:tcPr>
            <w:tcW w:w="1559" w:type="dxa"/>
          </w:tcPr>
          <w:p w14:paraId="66012544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APD</w:t>
            </w:r>
          </w:p>
        </w:tc>
        <w:tc>
          <w:tcPr>
            <w:tcW w:w="2693" w:type="dxa"/>
          </w:tcPr>
          <w:p w14:paraId="54FF86A1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Resolution of infection</w:t>
            </w:r>
          </w:p>
        </w:tc>
      </w:tr>
      <w:tr w:rsidR="00D5464E" w:rsidRPr="0036209B" w14:paraId="2B5C7D2A" w14:textId="77777777" w:rsidTr="00B40BE7">
        <w:trPr>
          <w:trHeight w:val="320"/>
        </w:trPr>
        <w:tc>
          <w:tcPr>
            <w:tcW w:w="993" w:type="dxa"/>
          </w:tcPr>
          <w:p w14:paraId="550C63D4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HUB6</w:t>
            </w:r>
          </w:p>
        </w:tc>
        <w:tc>
          <w:tcPr>
            <w:tcW w:w="709" w:type="dxa"/>
          </w:tcPr>
          <w:p w14:paraId="575E9B53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F</w:t>
            </w:r>
          </w:p>
        </w:tc>
        <w:tc>
          <w:tcPr>
            <w:tcW w:w="708" w:type="dxa"/>
          </w:tcPr>
          <w:p w14:paraId="63799ACA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77</w:t>
            </w:r>
          </w:p>
        </w:tc>
        <w:tc>
          <w:tcPr>
            <w:tcW w:w="1276" w:type="dxa"/>
          </w:tcPr>
          <w:p w14:paraId="4B3416D7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7017</w:t>
            </w:r>
          </w:p>
        </w:tc>
        <w:tc>
          <w:tcPr>
            <w:tcW w:w="1134" w:type="dxa"/>
          </w:tcPr>
          <w:p w14:paraId="285D1FAE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68.9</w:t>
            </w:r>
          </w:p>
        </w:tc>
        <w:tc>
          <w:tcPr>
            <w:tcW w:w="3260" w:type="dxa"/>
          </w:tcPr>
          <w:p w14:paraId="17952D6E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Klebsiella</w:t>
            </w:r>
          </w:p>
        </w:tc>
        <w:tc>
          <w:tcPr>
            <w:tcW w:w="2694" w:type="dxa"/>
          </w:tcPr>
          <w:p w14:paraId="50FC98E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Vancom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ycin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 Tobram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ycin</w:t>
            </w:r>
          </w:p>
          <w:p w14:paraId="058365E9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(later)</w:t>
            </w:r>
          </w:p>
          <w:p w14:paraId="1CE95CC2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lastRenderedPageBreak/>
              <w:t>Cefuroxim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e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 Ertapenem + </w:t>
            </w:r>
          </w:p>
          <w:p w14:paraId="3F985266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Amoxicill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in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/clavul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anic</w:t>
            </w:r>
          </w:p>
        </w:tc>
        <w:tc>
          <w:tcPr>
            <w:tcW w:w="1559" w:type="dxa"/>
          </w:tcPr>
          <w:p w14:paraId="519DD750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lastRenderedPageBreak/>
              <w:t>APD</w:t>
            </w:r>
          </w:p>
        </w:tc>
        <w:tc>
          <w:tcPr>
            <w:tcW w:w="2693" w:type="dxa"/>
          </w:tcPr>
          <w:p w14:paraId="2F5A041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Resolution of infection</w:t>
            </w:r>
          </w:p>
        </w:tc>
      </w:tr>
      <w:tr w:rsidR="00D5464E" w:rsidRPr="0036209B" w14:paraId="7899D70A" w14:textId="77777777" w:rsidTr="00B40BE7">
        <w:trPr>
          <w:trHeight w:val="320"/>
        </w:trPr>
        <w:tc>
          <w:tcPr>
            <w:tcW w:w="993" w:type="dxa"/>
          </w:tcPr>
          <w:p w14:paraId="163A89AE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b/>
                <w:bCs/>
                <w:smallCaps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HUB7</w:t>
            </w:r>
          </w:p>
        </w:tc>
        <w:tc>
          <w:tcPr>
            <w:tcW w:w="709" w:type="dxa"/>
          </w:tcPr>
          <w:p w14:paraId="5EC08E62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F</w:t>
            </w:r>
          </w:p>
        </w:tc>
        <w:tc>
          <w:tcPr>
            <w:tcW w:w="708" w:type="dxa"/>
          </w:tcPr>
          <w:p w14:paraId="1C232BF5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74</w:t>
            </w:r>
          </w:p>
        </w:tc>
        <w:tc>
          <w:tcPr>
            <w:tcW w:w="1276" w:type="dxa"/>
          </w:tcPr>
          <w:p w14:paraId="0C5A0E21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7665</w:t>
            </w:r>
          </w:p>
        </w:tc>
        <w:tc>
          <w:tcPr>
            <w:tcW w:w="1134" w:type="dxa"/>
          </w:tcPr>
          <w:p w14:paraId="75DCBD56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83</w:t>
            </w:r>
          </w:p>
        </w:tc>
        <w:tc>
          <w:tcPr>
            <w:tcW w:w="3260" w:type="dxa"/>
          </w:tcPr>
          <w:p w14:paraId="305872A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proofErr w:type="spellStart"/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Achromobacter</w:t>
            </w:r>
            <w:proofErr w:type="spellEnd"/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</w:t>
            </w:r>
            <w:proofErr w:type="spellStart"/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xylosidans</w:t>
            </w:r>
            <w:proofErr w:type="spellEnd"/>
          </w:p>
        </w:tc>
        <w:tc>
          <w:tcPr>
            <w:tcW w:w="2694" w:type="dxa"/>
          </w:tcPr>
          <w:p w14:paraId="4C33EFA6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Vancom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ycin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 Tobram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ycin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 </w:t>
            </w:r>
          </w:p>
          <w:p w14:paraId="7F7D91D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Ceftazidim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e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 xml:space="preserve"> + </w:t>
            </w:r>
          </w:p>
          <w:p w14:paraId="0F51ADF8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Piperacil</w:t>
            </w:r>
            <w:r w:rsidRPr="0036209B">
              <w:rPr>
                <w:rFonts w:ascii="Arial" w:eastAsia="Aptos Narrow" w:hAnsi="Arial" w:cs="Arial"/>
                <w:kern w:val="0"/>
                <w:sz w:val="20"/>
                <w:szCs w:val="20"/>
                <w:lang w:val="en" w:eastAsia="es-ES_tradnl"/>
                <w14:ligatures w14:val="none"/>
              </w:rPr>
              <w:t>lin</w:t>
            </w: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/tazobactam</w:t>
            </w:r>
          </w:p>
        </w:tc>
        <w:tc>
          <w:tcPr>
            <w:tcW w:w="1559" w:type="dxa"/>
          </w:tcPr>
          <w:p w14:paraId="4B8BBF1C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APD</w:t>
            </w:r>
          </w:p>
        </w:tc>
        <w:tc>
          <w:tcPr>
            <w:tcW w:w="2693" w:type="dxa"/>
          </w:tcPr>
          <w:p w14:paraId="4B2F81F8" w14:textId="77777777" w:rsidR="00D5464E" w:rsidRPr="0036209B" w:rsidRDefault="00D5464E" w:rsidP="00B40BE7">
            <w:pPr>
              <w:jc w:val="center"/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</w:pPr>
            <w:r w:rsidRPr="0036209B">
              <w:rPr>
                <w:rFonts w:ascii="Arial" w:eastAsia="Aptos Narrow" w:hAnsi="Arial" w:cs="Arial"/>
                <w:color w:val="000000"/>
                <w:kern w:val="0"/>
                <w:sz w:val="20"/>
                <w:szCs w:val="20"/>
                <w:lang w:val="en" w:eastAsia="es-ES_tradnl"/>
                <w14:ligatures w14:val="none"/>
              </w:rPr>
              <w:t>Catheter removal (fever and cellularity)</w:t>
            </w:r>
          </w:p>
        </w:tc>
      </w:tr>
    </w:tbl>
    <w:p w14:paraId="40DB9391" w14:textId="77777777" w:rsidR="00D5464E" w:rsidRPr="0036209B" w:rsidRDefault="00D5464E" w:rsidP="00D5464E">
      <w:pPr>
        <w:spacing w:after="0" w:line="360" w:lineRule="auto"/>
        <w:jc w:val="both"/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</w:pPr>
      <w:r w:rsidRPr="0036209B">
        <w:rPr>
          <w:rFonts w:ascii="Arial" w:eastAsia="Calibri" w:hAnsi="Arial" w:cs="Arial"/>
          <w:kern w:val="0"/>
          <w:sz w:val="18"/>
          <w:szCs w:val="18"/>
          <w:lang w:val="en" w:eastAsia="es-ES_tradnl"/>
          <w14:ligatures w14:val="none"/>
        </w:rPr>
        <w:t xml:space="preserve">M: Male; F: Female; APD: Automated PD; CAPD: Continuous ambulatory PD </w:t>
      </w:r>
    </w:p>
    <w:p w14:paraId="6C5E7816" w14:textId="77777777" w:rsidR="00D5464E" w:rsidRPr="0036209B" w:rsidRDefault="00D5464E" w:rsidP="0050323A">
      <w:pPr>
        <w:spacing w:after="0" w:line="360" w:lineRule="auto"/>
        <w:jc w:val="both"/>
        <w:rPr>
          <w:rFonts w:ascii="Arial" w:eastAsia="Calibri" w:hAnsi="Arial" w:cs="Arial"/>
          <w:kern w:val="0"/>
          <w:sz w:val="20"/>
          <w:szCs w:val="20"/>
          <w:lang w:val="en" w:eastAsia="es-ES_tradnl"/>
          <w14:ligatures w14:val="none"/>
        </w:rPr>
        <w:sectPr w:rsidR="00D5464E" w:rsidRPr="0036209B" w:rsidSect="0050323A">
          <w:pgSz w:w="16834" w:h="11909" w:orient="landscape"/>
          <w:pgMar w:top="1440" w:right="1440" w:bottom="1440" w:left="1440" w:header="720" w:footer="720" w:gutter="0"/>
          <w:pgNumType w:start="1"/>
          <w:cols w:space="720"/>
        </w:sectPr>
      </w:pPr>
    </w:p>
    <w:p w14:paraId="5EE7EC31" w14:textId="77777777" w:rsidR="007307BF" w:rsidRPr="0036209B" w:rsidRDefault="007307BF">
      <w:pPr>
        <w:rPr>
          <w:rFonts w:ascii="Arial" w:hAnsi="Arial" w:cs="Arial"/>
          <w:b/>
          <w:bCs/>
          <w:lang w:val="es-ES_tradnl"/>
        </w:rPr>
      </w:pPr>
    </w:p>
    <w:sectPr w:rsidR="007307BF" w:rsidRPr="003620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F40"/>
    <w:rsid w:val="001F63B5"/>
    <w:rsid w:val="002B1ABA"/>
    <w:rsid w:val="00361E8B"/>
    <w:rsid w:val="0036209B"/>
    <w:rsid w:val="004357E4"/>
    <w:rsid w:val="00443093"/>
    <w:rsid w:val="0050323A"/>
    <w:rsid w:val="00532ADC"/>
    <w:rsid w:val="00565A01"/>
    <w:rsid w:val="006019F8"/>
    <w:rsid w:val="007307BF"/>
    <w:rsid w:val="00841748"/>
    <w:rsid w:val="0090559C"/>
    <w:rsid w:val="009A1F40"/>
    <w:rsid w:val="00D5464E"/>
    <w:rsid w:val="00E31F89"/>
    <w:rsid w:val="00E8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0BC57"/>
  <w15:chartTrackingRefBased/>
  <w15:docId w15:val="{3832C3D5-1DE7-464C-B2BF-48766E46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A1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A1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1F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A1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A1F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1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1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1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1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1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A1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A1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A1F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A1F4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A1F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1F4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A1F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A1F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A1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A1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A1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A1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A1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A1F4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A1F4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A1F4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A1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A1F4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A1F4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03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6209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aquero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755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Guillén Fernández-Micheltorena</dc:creator>
  <cp:keywords/>
  <dc:description/>
  <cp:lastModifiedBy>Sara Guillén Fernández-Micheltorena</cp:lastModifiedBy>
  <cp:revision>9</cp:revision>
  <dcterms:created xsi:type="dcterms:W3CDTF">2026-06-17T19:19:00Z</dcterms:created>
  <dcterms:modified xsi:type="dcterms:W3CDTF">2026-07-30T11:59:00Z</dcterms:modified>
</cp:coreProperties>
</file>