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B265EE" w14:textId="77777777" w:rsidR="00F900DA" w:rsidRDefault="00F900DA" w:rsidP="00F900DA">
      <w:pPr>
        <w:spacing w:line="480" w:lineRule="auto"/>
        <w:ind w:left="360" w:hanging="360"/>
        <w:rPr>
          <w:color w:val="000000" w:themeColor="text1"/>
        </w:rPr>
      </w:pPr>
    </w:p>
    <w:p w14:paraId="6DFD026C" w14:textId="77777777" w:rsidR="00F900DA" w:rsidRDefault="00F900DA" w:rsidP="00F900DA">
      <w:pPr>
        <w:spacing w:line="480" w:lineRule="auto"/>
        <w:ind w:left="360" w:hanging="360"/>
        <w:rPr>
          <w:color w:val="000000"/>
        </w:rPr>
      </w:pPr>
      <w:r>
        <w:rPr>
          <w:b/>
          <w:bCs/>
          <w:color w:val="000000" w:themeColor="text1"/>
        </w:rPr>
        <w:t>Supplementary Figures</w:t>
      </w:r>
    </w:p>
    <w:p w14:paraId="1E52D476" w14:textId="77777777" w:rsidR="00F900DA" w:rsidRDefault="00F900DA" w:rsidP="00F900DA">
      <w:pPr>
        <w:spacing w:line="480" w:lineRule="auto"/>
        <w:ind w:left="360" w:hanging="360"/>
        <w:rPr>
          <w:color w:val="000000"/>
        </w:rPr>
      </w:pPr>
      <w:r>
        <w:rPr>
          <w:noProof/>
        </w:rPr>
        <w:drawing>
          <wp:inline distT="0" distB="0" distL="0" distR="0" wp14:anchorId="36CBFADF" wp14:editId="4A641A86">
            <wp:extent cx="5943600" cy="3343275"/>
            <wp:effectExtent l="0" t="0" r="0" b="0"/>
            <wp:docPr id="7" name="Imag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2"/>
                    <pic:cNvPicPr>
                      <a:picLocks noChangeAspect="1" noChangeArrowheads="1"/>
                    </pic:cNvPicPr>
                  </pic:nvPicPr>
                  <pic:blipFill>
                    <a:blip r:embed="rId4"/>
                    <a:stretch>
                      <a:fillRect/>
                    </a:stretch>
                  </pic:blipFill>
                  <pic:spPr bwMode="auto">
                    <a:xfrm>
                      <a:off x="0" y="0"/>
                      <a:ext cx="5943600" cy="3343275"/>
                    </a:xfrm>
                    <a:prstGeom prst="rect">
                      <a:avLst/>
                    </a:prstGeom>
                  </pic:spPr>
                </pic:pic>
              </a:graphicData>
            </a:graphic>
          </wp:inline>
        </w:drawing>
      </w:r>
    </w:p>
    <w:p w14:paraId="6AAD63A5" w14:textId="77777777" w:rsidR="00F900DA" w:rsidRDefault="00F900DA" w:rsidP="00F900DA">
      <w:pPr>
        <w:spacing w:line="480" w:lineRule="auto"/>
        <w:ind w:left="360" w:hanging="360"/>
        <w:rPr>
          <w:color w:val="000000"/>
        </w:rPr>
      </w:pPr>
      <w:r>
        <w:rPr>
          <w:b/>
          <w:bCs/>
          <w:color w:val="000000" w:themeColor="text1"/>
          <w:sz w:val="16"/>
          <w:szCs w:val="16"/>
        </w:rPr>
        <w:t xml:space="preserve">Figure S1. HUVEC mono-culture </w:t>
      </w:r>
    </w:p>
    <w:p w14:paraId="18D4944D" w14:textId="77777777" w:rsidR="00F900DA" w:rsidRDefault="00F900DA" w:rsidP="00F900DA">
      <w:pPr>
        <w:spacing w:line="480" w:lineRule="auto"/>
        <w:ind w:left="360" w:hanging="360"/>
        <w:rPr>
          <w:color w:val="000000"/>
        </w:rPr>
      </w:pPr>
      <w:r>
        <w:rPr>
          <w:b/>
          <w:bCs/>
          <w:color w:val="000000" w:themeColor="text1"/>
          <w:sz w:val="16"/>
          <w:szCs w:val="16"/>
        </w:rPr>
        <w:t>A.</w:t>
      </w:r>
      <w:r>
        <w:rPr>
          <w:color w:val="000000" w:themeColor="text1"/>
          <w:sz w:val="16"/>
          <w:szCs w:val="16"/>
        </w:rPr>
        <w:t> Schematic diagram illustrating the experimental setup for testing HUVEC mono-culture conditions in a Transwell system.</w:t>
      </w:r>
    </w:p>
    <w:p w14:paraId="2E49FBE8" w14:textId="77777777" w:rsidR="00F900DA" w:rsidRDefault="00F900DA" w:rsidP="00F900DA">
      <w:pPr>
        <w:spacing w:line="480" w:lineRule="auto"/>
        <w:ind w:left="360" w:hanging="360"/>
        <w:rPr>
          <w:color w:val="000000"/>
        </w:rPr>
      </w:pPr>
      <w:r>
        <w:rPr>
          <w:b/>
          <w:bCs/>
          <w:color w:val="000000" w:themeColor="text1"/>
          <w:sz w:val="16"/>
          <w:szCs w:val="16"/>
        </w:rPr>
        <w:t>B.</w:t>
      </w:r>
      <w:r>
        <w:rPr>
          <w:color w:val="000000" w:themeColor="text1"/>
          <w:sz w:val="16"/>
          <w:szCs w:val="16"/>
        </w:rPr>
        <w:t> Bright-field microscopy and immunofluorescence (IF) staining images showing endothelial cell stability under different media conditions. Endothelial cells were tested in organoid media (WntCM and CHIR), as well as a mixture of organoid media and EGM™-2. The results revealed that endothelial cells remained more stable for over a week in the WntCM condition compared to the CHIR condition.</w:t>
      </w:r>
    </w:p>
    <w:p w14:paraId="6751B404" w14:textId="77777777" w:rsidR="00F900DA" w:rsidRDefault="00F900DA" w:rsidP="00F900DA">
      <w:pPr>
        <w:spacing w:line="480" w:lineRule="auto"/>
        <w:ind w:left="360" w:hanging="360"/>
        <w:rPr>
          <w:color w:val="000000"/>
        </w:rPr>
      </w:pPr>
      <w:r>
        <w:rPr>
          <w:b/>
          <w:bCs/>
          <w:color w:val="000000" w:themeColor="text1"/>
          <w:sz w:val="16"/>
          <w:szCs w:val="16"/>
        </w:rPr>
        <w:t xml:space="preserve">C. </w:t>
      </w:r>
      <w:r>
        <w:rPr>
          <w:color w:val="000000" w:themeColor="text1"/>
          <w:sz w:val="16"/>
          <w:szCs w:val="16"/>
        </w:rPr>
        <w:t xml:space="preserve">HUVECs in the bottom channel were fixed, immunostained, and visualized using a Leica Thunder microscope. </w:t>
      </w:r>
    </w:p>
    <w:p w14:paraId="4473FB42" w14:textId="77777777" w:rsidR="00F900DA" w:rsidRDefault="00F900DA" w:rsidP="00F900DA">
      <w:pPr>
        <w:spacing w:line="480" w:lineRule="auto"/>
        <w:ind w:left="360" w:hanging="360"/>
        <w:rPr>
          <w:color w:val="000000"/>
        </w:rPr>
      </w:pPr>
      <w:r>
        <w:rPr>
          <w:noProof/>
        </w:rPr>
        <w:lastRenderedPageBreak/>
        <w:drawing>
          <wp:inline distT="0" distB="0" distL="0" distR="0" wp14:anchorId="7D5A5487" wp14:editId="0D69B4AF">
            <wp:extent cx="5943600" cy="3343275"/>
            <wp:effectExtent l="0" t="0" r="0" b="0"/>
            <wp:docPr id="8"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5.png"/>
                    <pic:cNvPicPr>
                      <a:picLocks noChangeAspect="1" noChangeArrowheads="1"/>
                    </pic:cNvPicPr>
                  </pic:nvPicPr>
                  <pic:blipFill>
                    <a:blip r:embed="rId5"/>
                    <a:stretch>
                      <a:fillRect/>
                    </a:stretch>
                  </pic:blipFill>
                  <pic:spPr bwMode="auto">
                    <a:xfrm>
                      <a:off x="0" y="0"/>
                      <a:ext cx="5943600" cy="3343275"/>
                    </a:xfrm>
                    <a:prstGeom prst="rect">
                      <a:avLst/>
                    </a:prstGeom>
                  </pic:spPr>
                </pic:pic>
              </a:graphicData>
            </a:graphic>
          </wp:inline>
        </w:drawing>
      </w:r>
      <w:r>
        <w:rPr>
          <w:color w:val="000000" w:themeColor="text1"/>
        </w:rPr>
        <w:t xml:space="preserve"> </w:t>
      </w:r>
    </w:p>
    <w:p w14:paraId="307AEBD8" w14:textId="77777777" w:rsidR="00F900DA" w:rsidRDefault="00F900DA" w:rsidP="00F900DA">
      <w:pPr>
        <w:spacing w:line="480" w:lineRule="auto"/>
        <w:ind w:left="360" w:hanging="360"/>
        <w:rPr>
          <w:color w:val="000000"/>
        </w:rPr>
      </w:pPr>
      <w:r>
        <w:rPr>
          <w:b/>
          <w:bCs/>
          <w:color w:val="000000" w:themeColor="text1"/>
          <w:sz w:val="16"/>
          <w:szCs w:val="16"/>
        </w:rPr>
        <w:t>Figure S2. SARS-CoV-2 RVP Infection in 293T-hsACE2 Cells</w:t>
      </w:r>
    </w:p>
    <w:p w14:paraId="76B68147" w14:textId="77777777" w:rsidR="00F900DA" w:rsidRDefault="00F900DA" w:rsidP="00F900DA">
      <w:pPr>
        <w:spacing w:line="480" w:lineRule="auto"/>
        <w:ind w:left="360" w:hanging="360"/>
        <w:rPr>
          <w:color w:val="000000"/>
        </w:rPr>
      </w:pPr>
      <w:r>
        <w:rPr>
          <w:b/>
          <w:bCs/>
          <w:color w:val="000000" w:themeColor="text1"/>
          <w:sz w:val="16"/>
          <w:szCs w:val="16"/>
        </w:rPr>
        <w:t>A.</w:t>
      </w:r>
      <w:r>
        <w:rPr>
          <w:color w:val="000000" w:themeColor="text1"/>
          <w:sz w:val="16"/>
          <w:szCs w:val="16"/>
        </w:rPr>
        <w:t> Immunofluorescence (IF) images of 293T-hsACE2 cells infected with SARS-CoV-2 RVPs (0–50 µL). GFP expression was visualized using fluorescence microscopy.</w:t>
      </w:r>
    </w:p>
    <w:p w14:paraId="528A6964" w14:textId="77777777" w:rsidR="00F900DA" w:rsidRDefault="00F900DA" w:rsidP="00F900DA">
      <w:pPr>
        <w:spacing w:line="480" w:lineRule="auto"/>
        <w:ind w:left="360" w:hanging="360"/>
        <w:rPr>
          <w:color w:val="000000"/>
        </w:rPr>
      </w:pPr>
      <w:r>
        <w:rPr>
          <w:b/>
          <w:bCs/>
          <w:color w:val="000000" w:themeColor="text1"/>
          <w:sz w:val="16"/>
          <w:szCs w:val="16"/>
        </w:rPr>
        <w:t>B.</w:t>
      </w:r>
      <w:r>
        <w:rPr>
          <w:color w:val="000000" w:themeColor="text1"/>
          <w:sz w:val="16"/>
          <w:szCs w:val="16"/>
        </w:rPr>
        <w:t> Table of SARS-CoV-2 RVPs used in this study and GFP intensity measured at days 3, 4, and 7 post-</w:t>
      </w:r>
      <w:proofErr w:type="gramStart"/>
      <w:r>
        <w:rPr>
          <w:color w:val="000000" w:themeColor="text1"/>
          <w:sz w:val="16"/>
          <w:szCs w:val="16"/>
        </w:rPr>
        <w:t>infection</w:t>
      </w:r>
      <w:proofErr w:type="gramEnd"/>
      <w:r>
        <w:rPr>
          <w:color w:val="000000" w:themeColor="text1"/>
          <w:sz w:val="16"/>
          <w:szCs w:val="16"/>
        </w:rPr>
        <w:t xml:space="preserve"> with Wuhan- RVP to assess infection efficiency. Initial experiments were conducted in a 96-well plate, which has a similar top chamber size to the BEOnChip system, to establish baseline conditions.</w:t>
      </w:r>
    </w:p>
    <w:p w14:paraId="22FA110C" w14:textId="77777777" w:rsidR="00F900DA" w:rsidRDefault="00F900DA" w:rsidP="00F900DA">
      <w:pPr>
        <w:spacing w:line="480" w:lineRule="auto"/>
        <w:ind w:left="360" w:hanging="360"/>
        <w:rPr>
          <w:color w:val="000000"/>
        </w:rPr>
      </w:pPr>
      <w:r>
        <w:rPr>
          <w:noProof/>
        </w:rPr>
        <w:lastRenderedPageBreak/>
        <w:drawing>
          <wp:inline distT="0" distB="0" distL="0" distR="0" wp14:anchorId="2B4557F2" wp14:editId="1E4BA580">
            <wp:extent cx="5943600" cy="3343275"/>
            <wp:effectExtent l="0" t="0" r="0" b="0"/>
            <wp:docPr id="9"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7.png"/>
                    <pic:cNvPicPr>
                      <a:picLocks noChangeAspect="1" noChangeArrowheads="1"/>
                    </pic:cNvPicPr>
                  </pic:nvPicPr>
                  <pic:blipFill>
                    <a:blip r:embed="rId6"/>
                    <a:stretch>
                      <a:fillRect/>
                    </a:stretch>
                  </pic:blipFill>
                  <pic:spPr bwMode="auto">
                    <a:xfrm>
                      <a:off x="0" y="0"/>
                      <a:ext cx="5943600" cy="3343275"/>
                    </a:xfrm>
                    <a:prstGeom prst="rect">
                      <a:avLst/>
                    </a:prstGeom>
                  </pic:spPr>
                </pic:pic>
              </a:graphicData>
            </a:graphic>
          </wp:inline>
        </w:drawing>
      </w:r>
    </w:p>
    <w:p w14:paraId="6E6CCC87" w14:textId="77777777" w:rsidR="00F900DA" w:rsidRDefault="00F900DA" w:rsidP="00F900DA">
      <w:pPr>
        <w:spacing w:line="480" w:lineRule="auto"/>
        <w:ind w:left="360" w:hanging="360"/>
        <w:rPr>
          <w:color w:val="000000"/>
        </w:rPr>
      </w:pPr>
      <w:r>
        <w:rPr>
          <w:b/>
          <w:bCs/>
          <w:color w:val="000000" w:themeColor="text1"/>
          <w:sz w:val="16"/>
          <w:szCs w:val="16"/>
        </w:rPr>
        <w:t xml:space="preserve">Figure S3. SARS-CoV-2 RVPs infection test </w:t>
      </w:r>
    </w:p>
    <w:p w14:paraId="5EEF48B5" w14:textId="77777777" w:rsidR="00F900DA" w:rsidRDefault="00F900DA" w:rsidP="00F900DA">
      <w:pPr>
        <w:spacing w:line="480" w:lineRule="auto"/>
        <w:ind w:left="360" w:hanging="360"/>
        <w:rPr>
          <w:color w:val="000000"/>
        </w:rPr>
      </w:pPr>
      <w:r>
        <w:rPr>
          <w:b/>
          <w:bCs/>
          <w:color w:val="000000" w:themeColor="text1"/>
          <w:sz w:val="16"/>
          <w:szCs w:val="16"/>
        </w:rPr>
        <w:t>A. </w:t>
      </w:r>
      <w:r>
        <w:rPr>
          <w:color w:val="000000" w:themeColor="text1"/>
          <w:sz w:val="16"/>
          <w:szCs w:val="16"/>
        </w:rPr>
        <w:t>Schematic diagram illustrating the experimental setup for ALI culture on the BEOnChip system.</w:t>
      </w:r>
    </w:p>
    <w:p w14:paraId="1CC536BA" w14:textId="77777777" w:rsidR="00F900DA" w:rsidRDefault="00F900DA" w:rsidP="00F900DA">
      <w:pPr>
        <w:spacing w:line="480" w:lineRule="auto"/>
        <w:ind w:left="360" w:hanging="360"/>
        <w:rPr>
          <w:color w:val="000000"/>
        </w:rPr>
      </w:pPr>
      <w:r>
        <w:rPr>
          <w:b/>
          <w:bCs/>
          <w:color w:val="000000" w:themeColor="text1"/>
          <w:sz w:val="16"/>
          <w:szCs w:val="16"/>
        </w:rPr>
        <w:t>B. </w:t>
      </w:r>
      <w:r>
        <w:rPr>
          <w:color w:val="000000" w:themeColor="text1"/>
          <w:sz w:val="16"/>
          <w:szCs w:val="16"/>
        </w:rPr>
        <w:t>Bright-field microscopy images showing organoid-derived 2D cells cultured under ALI conditions for 28 days, with images taken at 4 hours and 3 days post-infection with three RVP variants.</w:t>
      </w:r>
    </w:p>
    <w:p w14:paraId="54D1316B" w14:textId="77777777" w:rsidR="00F900DA" w:rsidRDefault="00F900DA" w:rsidP="00F900DA">
      <w:pPr>
        <w:spacing w:line="480" w:lineRule="auto"/>
        <w:ind w:left="360" w:hanging="360"/>
        <w:rPr>
          <w:color w:val="000000"/>
        </w:rPr>
      </w:pPr>
      <w:r>
        <w:rPr>
          <w:b/>
          <w:bCs/>
          <w:color w:val="000000" w:themeColor="text1"/>
          <w:sz w:val="16"/>
          <w:szCs w:val="16"/>
        </w:rPr>
        <w:t>C. </w:t>
      </w:r>
      <w:r>
        <w:rPr>
          <w:color w:val="000000" w:themeColor="text1"/>
          <w:sz w:val="16"/>
          <w:szCs w:val="16"/>
        </w:rPr>
        <w:t>Immunofluorescence (IF) staining images showing cilia markers after ALI culture and RVP infection.</w:t>
      </w:r>
    </w:p>
    <w:p w14:paraId="7861CA62" w14:textId="77777777" w:rsidR="00F900DA" w:rsidRDefault="00F900DA" w:rsidP="00F900DA">
      <w:pPr>
        <w:spacing w:line="480" w:lineRule="auto"/>
        <w:ind w:left="360" w:hanging="360"/>
        <w:rPr>
          <w:color w:val="000000" w:themeColor="text1"/>
        </w:rPr>
      </w:pPr>
    </w:p>
    <w:p w14:paraId="5A9DFCBF" w14:textId="77777777" w:rsidR="00F900DA" w:rsidRDefault="00F900DA" w:rsidP="00F900DA">
      <w:pPr>
        <w:spacing w:line="480" w:lineRule="auto"/>
        <w:rPr>
          <w:color w:val="000000"/>
        </w:rPr>
      </w:pPr>
      <w:r>
        <w:rPr>
          <w:color w:val="000000" w:themeColor="text1"/>
        </w:rPr>
        <w:t xml:space="preserve"> </w:t>
      </w:r>
    </w:p>
    <w:p w14:paraId="79F621FF" w14:textId="77777777" w:rsidR="00F900DA" w:rsidRDefault="00F900DA" w:rsidP="00F900DA">
      <w:pPr>
        <w:spacing w:after="480"/>
        <w:jc w:val="center"/>
        <w:rPr>
          <w:color w:val="000000"/>
        </w:rPr>
      </w:pPr>
      <w:r>
        <w:rPr>
          <w:rFonts w:eastAsia="Times New Roman"/>
          <w:b/>
          <w:bCs/>
          <w:color w:val="000000" w:themeColor="text1"/>
          <w:sz w:val="32"/>
          <w:szCs w:val="32"/>
        </w:rPr>
        <w:t>Online Supplement</w:t>
      </w:r>
    </w:p>
    <w:p w14:paraId="72832214" w14:textId="77777777" w:rsidR="00F900DA" w:rsidRDefault="00F900DA" w:rsidP="00F900DA">
      <w:pPr>
        <w:pStyle w:val="1"/>
        <w:rPr>
          <w:color w:val="000000"/>
        </w:rPr>
      </w:pPr>
      <w:r>
        <w:rPr>
          <w:b/>
          <w:bCs/>
          <w:sz w:val="28"/>
          <w:szCs w:val="28"/>
        </w:rPr>
        <w:t>Supplementary Materials and Methods</w:t>
      </w:r>
    </w:p>
    <w:p w14:paraId="2BBF4F94" w14:textId="77777777" w:rsidR="00F900DA" w:rsidRDefault="00F900DA" w:rsidP="00F900DA">
      <w:pPr>
        <w:spacing w:before="240" w:after="120"/>
        <w:rPr>
          <w:color w:val="000000"/>
        </w:rPr>
      </w:pPr>
      <w:r>
        <w:rPr>
          <w:rFonts w:eastAsia="Times New Roman"/>
          <w:b/>
          <w:bCs/>
          <w:color w:val="000000" w:themeColor="text1"/>
        </w:rPr>
        <w:t>Reagents and Materials</w:t>
      </w:r>
    </w:p>
    <w:p w14:paraId="655CB369" w14:textId="77777777" w:rsidR="00F900DA" w:rsidRDefault="00F900DA" w:rsidP="00F900DA">
      <w:pPr>
        <w:spacing w:line="480" w:lineRule="auto"/>
        <w:rPr>
          <w:color w:val="000000"/>
        </w:rPr>
      </w:pPr>
      <w:r>
        <w:rPr>
          <w:rFonts w:eastAsia="Times New Roman"/>
          <w:color w:val="000000" w:themeColor="text1"/>
        </w:rPr>
        <w:t xml:space="preserve">Human lung tissue samples were collected from two de-identified patients (Patient 1: aged 55–60, person with smoking history; Patient 2: aged 70–75, person who has never smoked) undergoing lung resection surgery at Seoul National University Bundang Hospital (SNUBH). Lung tissues were sectioned into pieces smaller than 5 mm and enzymatically dissociated using a tissue dissociator and collagenase I. The resulting suspension was filtered through a 100 µm cell </w:t>
      </w:r>
      <w:r>
        <w:rPr>
          <w:rFonts w:eastAsia="Times New Roman"/>
          <w:color w:val="000000" w:themeColor="text1"/>
        </w:rPr>
        <w:lastRenderedPageBreak/>
        <w:t>strainer (#431752CLS, Corning) and rinsed with 5 mL of Advanced DMEM/F-12 (#12634010, Gibco). Cells were centrifuged at 400 × g for 10 minutes at 4°C. The pellet was resuspended in 1 mL of red blood cell lysis buffer for 10 minutes at room temperature, and the reaction was halted with 9 mL of Advanced DMEM/F-12 supplemented with 1% HEPES (#15630080, Gibco), 1% GlutaMAX (#35050061, Gibco), and 1% penicillin-streptomycin (#15140122, Thermo Fisher Scientific), followed by centrifugation at 400 × g for 10 minutes at 4°C.</w:t>
      </w:r>
    </w:p>
    <w:p w14:paraId="305BAA66" w14:textId="77777777" w:rsidR="00F900DA" w:rsidRDefault="00F900DA" w:rsidP="00F900DA">
      <w:pPr>
        <w:spacing w:before="240" w:after="120"/>
        <w:rPr>
          <w:color w:val="000000"/>
        </w:rPr>
      </w:pPr>
      <w:r>
        <w:rPr>
          <w:rFonts w:eastAsia="Times New Roman"/>
          <w:b/>
          <w:bCs/>
          <w:color w:val="000000" w:themeColor="text1"/>
        </w:rPr>
        <w:t>Organoid Culture Medium Composition</w:t>
      </w:r>
    </w:p>
    <w:p w14:paraId="47A4CA12" w14:textId="77777777" w:rsidR="00F900DA" w:rsidRDefault="00F900DA" w:rsidP="00F900DA">
      <w:pPr>
        <w:spacing w:line="480" w:lineRule="auto"/>
        <w:rPr>
          <w:color w:val="000000"/>
        </w:rPr>
      </w:pPr>
      <w:r>
        <w:rPr>
          <w:rFonts w:eastAsia="Times New Roman"/>
          <w:color w:val="000000" w:themeColor="text1"/>
        </w:rPr>
        <w:t>Organoids were cultured in Advanced DMEM/F-12 supplemented with the following components: GlutaMAX, B-27 (#17504044, Gibco), Antibiotic-Antimycotic (#15240096, Gibco), 10 mM HEPES, 10 mM Nicotinamide (#N0636, Sigma-Aldrich), 1 mM N-Acetylcysteine (#A9165, Sigma-Aldrich), 50 ng/mL hEGF (#E9644, Sigma-Aldrich), 500 nM A83-01 (#2939, Tocris), 50 µg/mL Primocin (#ant-pm-1, InvivoGen), 114 ng/mL hFGF7 (#100-19, PeproTech), 112 ng/mL hFGF10 (#100-26, PeproTech), Wnt3A Conditioned Medium (Gradiant Bioconvergence), 2.5 µg/mL RSPO1 (Gradiant Bioconvergence), and 100 ng/mL Noggin (Gradiant Bioconvergence). For the first three days, the culture medium was supplemented with 10 µM ROCK inhibitor Y-27632 (#ALX-270-333, Enzo Life Sciences). Culture medium was changed every three days, and organoids were maintained in a humidified incubator at 37°C with 5% CO2.</w:t>
      </w:r>
    </w:p>
    <w:p w14:paraId="17E8E52A" w14:textId="77777777" w:rsidR="00F900DA" w:rsidRDefault="00F900DA" w:rsidP="00F900DA">
      <w:pPr>
        <w:spacing w:before="240" w:after="120"/>
        <w:rPr>
          <w:color w:val="000000"/>
        </w:rPr>
      </w:pPr>
      <w:r>
        <w:rPr>
          <w:rFonts w:eastAsia="Times New Roman"/>
          <w:b/>
          <w:bCs/>
          <w:color w:val="000000" w:themeColor="text1"/>
        </w:rPr>
        <w:t>Organoid Passaging and Maintenance</w:t>
      </w:r>
    </w:p>
    <w:p w14:paraId="5CAC40D1" w14:textId="77777777" w:rsidR="00F900DA" w:rsidRDefault="00F900DA" w:rsidP="00F900DA">
      <w:pPr>
        <w:spacing w:line="480" w:lineRule="auto"/>
        <w:rPr>
          <w:color w:val="000000"/>
        </w:rPr>
      </w:pPr>
      <w:r>
        <w:rPr>
          <w:rFonts w:eastAsia="Times New Roman"/>
          <w:color w:val="000000" w:themeColor="text1"/>
        </w:rPr>
        <w:t xml:space="preserve">Once organoids reached confluency, they were harvested by washing with phosphate-buffered saline (PBS) containing 0.5 mM EDTA (#CC-5012, Lonza) and centrifuged at 200 × g for 5 minutes. Organoids were dissociated by incubation with 1 mL TrypLE Express (#12604013, Gibco) per well at 37°C for 4–5 minutes, followed by mechanical disruption. Wash buffer was </w:t>
      </w:r>
      <w:r>
        <w:rPr>
          <w:rFonts w:eastAsia="Times New Roman"/>
          <w:color w:val="000000" w:themeColor="text1"/>
        </w:rPr>
        <w:lastRenderedPageBreak/>
        <w:t>added at a 1:5 ratio to the TrypLE solution, and the suspension was centrifuged. Subculturing was performed every 7–10 days at a 1:2 to 1:3 ratio.</w:t>
      </w:r>
    </w:p>
    <w:p w14:paraId="573F737B" w14:textId="77777777" w:rsidR="00F900DA" w:rsidRDefault="00F900DA" w:rsidP="00F900DA">
      <w:pPr>
        <w:spacing w:before="240" w:after="120"/>
        <w:rPr>
          <w:color w:val="000000"/>
        </w:rPr>
      </w:pPr>
      <w:r>
        <w:rPr>
          <w:rFonts w:eastAsia="Times New Roman"/>
          <w:b/>
          <w:bCs/>
          <w:color w:val="000000" w:themeColor="text1"/>
        </w:rPr>
        <w:t>Microfluidic Chip Preparation and Seeding</w:t>
      </w:r>
    </w:p>
    <w:p w14:paraId="383E228E" w14:textId="77777777" w:rsidR="00F900DA" w:rsidRDefault="00F900DA" w:rsidP="00F900DA">
      <w:pPr>
        <w:spacing w:line="480" w:lineRule="auto"/>
        <w:rPr>
          <w:color w:val="000000"/>
        </w:rPr>
      </w:pPr>
      <w:r>
        <w:rPr>
          <w:rFonts w:eastAsia="Times New Roman"/>
          <w:color w:val="000000" w:themeColor="text1"/>
        </w:rPr>
        <w:t>The top chamber of the BE-Transflow chip (BEOnChip) was coated with 50% Growth Factor Reduced Matrigel (#356231, Corning) diluted in cold DPBS and incubated for 20 minutes at room temperature. Simultaneously, the bottom channel was coated with 0.01% Fibronectin (#F0895, Sigma-Aldrich). Organoids were collected, dissociated with TrypLE Express for 10 minutes at 37°C, mechanically fragmented by pipetting, and centrifuged to obtain a single-cell suspension. Fragmented single cells were seeded into the top chamber at 1 × 10⁵ cells per well. The chip was incubated at 37°C for 2 hours for cell adhesion, after which culture medium was added.</w:t>
      </w:r>
    </w:p>
    <w:p w14:paraId="42C07881" w14:textId="77777777" w:rsidR="00F900DA" w:rsidRDefault="00F900DA" w:rsidP="00F900DA">
      <w:pPr>
        <w:spacing w:line="480" w:lineRule="auto"/>
        <w:rPr>
          <w:color w:val="000000"/>
        </w:rPr>
      </w:pPr>
      <w:r>
        <w:rPr>
          <w:b/>
          <w:bCs/>
          <w:color w:val="000000" w:themeColor="text1"/>
        </w:rPr>
        <w:t>Air-liquid interface culture</w:t>
      </w:r>
    </w:p>
    <w:p w14:paraId="6CDBBB50" w14:textId="77777777" w:rsidR="00F900DA" w:rsidRDefault="00F900DA" w:rsidP="00F900DA">
      <w:pPr>
        <w:spacing w:line="480" w:lineRule="auto"/>
        <w:rPr>
          <w:color w:val="000000"/>
        </w:rPr>
      </w:pPr>
      <w:r>
        <w:rPr>
          <w:color w:val="000000" w:themeColor="text1"/>
        </w:rPr>
        <w:t>Upon confluency (day 4), the apical medium was removed, and the basal chamber was supplied with ALI Maintenance Medium (StemCell Technologies). Air-liquid interface culture was maintained for 28 days with biweekly basal medium changes and weekly apical washing to remove accumulated mucus. HUVECs were introduced into the basal channel at day 28 and maintained in a 1:1 mixture of ALI and endothelial growth medium (EGM™-2).</w:t>
      </w:r>
    </w:p>
    <w:p w14:paraId="44ADCCB8" w14:textId="77777777" w:rsidR="00F900DA" w:rsidRDefault="00F900DA" w:rsidP="00F900DA">
      <w:pPr>
        <w:spacing w:before="240" w:after="120"/>
        <w:rPr>
          <w:color w:val="000000"/>
        </w:rPr>
      </w:pPr>
      <w:r>
        <w:rPr>
          <w:rFonts w:eastAsia="Times New Roman"/>
          <w:b/>
          <w:bCs/>
          <w:color w:val="000000" w:themeColor="text1"/>
        </w:rPr>
        <w:t>HUVEC Culture and Co-culture Optimization</w:t>
      </w:r>
    </w:p>
    <w:p w14:paraId="5A9394F8" w14:textId="77777777" w:rsidR="00F900DA" w:rsidRDefault="00F900DA" w:rsidP="00F900DA">
      <w:pPr>
        <w:spacing w:line="480" w:lineRule="auto"/>
        <w:rPr>
          <w:color w:val="000000"/>
        </w:rPr>
      </w:pPr>
      <w:r>
        <w:rPr>
          <w:rFonts w:eastAsia="Times New Roman"/>
          <w:color w:val="000000" w:themeColor="text1"/>
        </w:rPr>
        <w:t xml:space="preserve">Human umbilical vein endothelial cells (HUVECs; Lonza) were maintained in T75 flasks with EGM™-2 Endothelial Cell Growth Medium-2 BulletKit™ (Lonza). After a 1-week stabilization period of the organoid layer, the bottom channel was seeded with HUVECs at 5 × 10⁶ cells/mL. Chips were inverted and placed on a petri dish for 2 hours to allow cell adhesion to the underside of the membrane, then returned to upright position and maintained in EGM™-2. The co-culture </w:t>
      </w:r>
      <w:r>
        <w:rPr>
          <w:rFonts w:eastAsia="Times New Roman"/>
          <w:color w:val="000000" w:themeColor="text1"/>
        </w:rPr>
        <w:lastRenderedPageBreak/>
        <w:t>model was stabilized for 4 days. To determine the optimal co-culture medium, bottom channel HUVECs were maintained in either EGM™-2 or WntCM, and performance was compared by E-cadherin and F-actin immunostaining.</w:t>
      </w:r>
    </w:p>
    <w:p w14:paraId="6AC6DE09" w14:textId="77777777" w:rsidR="00F900DA" w:rsidRDefault="00F900DA" w:rsidP="00F900DA">
      <w:pPr>
        <w:spacing w:before="240" w:after="120"/>
        <w:rPr>
          <w:color w:val="000000"/>
        </w:rPr>
      </w:pPr>
      <w:r>
        <w:rPr>
          <w:rFonts w:eastAsia="Times New Roman"/>
          <w:b/>
          <w:bCs/>
          <w:color w:val="000000" w:themeColor="text1"/>
        </w:rPr>
        <w:t>THP-1 Macrophage Differentiation</w:t>
      </w:r>
    </w:p>
    <w:p w14:paraId="6A40E758" w14:textId="77777777" w:rsidR="00F900DA" w:rsidRDefault="00F900DA" w:rsidP="00F900DA">
      <w:pPr>
        <w:spacing w:line="480" w:lineRule="auto"/>
        <w:rPr>
          <w:color w:val="000000"/>
        </w:rPr>
      </w:pPr>
      <w:r>
        <w:rPr>
          <w:rFonts w:eastAsia="Times New Roman"/>
          <w:color w:val="000000" w:themeColor="text1"/>
        </w:rPr>
        <w:t>THP-1 monocytes were differentiated into macrophage-like cells by treatment with 100 ng/mL phorbol 12-myristate 13-acetate (PMA) for 24 hours, followed by medium replacement without PMA and an additional 72-hour incubation to ensure complete differentiation. Differentiated macrophages were seeded into the bottom channel of the Lung-on-a-Chip at 2 × 10⁵ cells per chip to facilitate epithelial-endothelial-immune cell interactions.</w:t>
      </w:r>
    </w:p>
    <w:p w14:paraId="56F80058" w14:textId="77777777" w:rsidR="00F900DA" w:rsidRDefault="00F900DA" w:rsidP="00F900DA">
      <w:pPr>
        <w:spacing w:before="240" w:after="120"/>
        <w:rPr>
          <w:color w:val="000000"/>
        </w:rPr>
      </w:pPr>
      <w:r>
        <w:rPr>
          <w:rFonts w:eastAsia="Times New Roman"/>
          <w:b/>
          <w:bCs/>
          <w:color w:val="000000" w:themeColor="text1"/>
        </w:rPr>
        <w:t>SARS-CoV-2 Reporter Virus Particle (RVP) Infection in 293T-hsACE2 Cells</w:t>
      </w:r>
    </w:p>
    <w:p w14:paraId="00E9CFE3" w14:textId="27285435" w:rsidR="009A6BC4" w:rsidRPr="00F900DA" w:rsidRDefault="00F900DA" w:rsidP="00F900DA">
      <w:pPr>
        <w:spacing w:line="480" w:lineRule="auto"/>
        <w:rPr>
          <w:rFonts w:hint="eastAsia"/>
          <w:color w:val="000000"/>
        </w:rPr>
      </w:pPr>
      <w:r>
        <w:rPr>
          <w:rFonts w:eastAsia="Times New Roman"/>
          <w:color w:val="000000" w:themeColor="text1"/>
        </w:rPr>
        <w:t>To assess RVP infectivity prior to chip experiments, 293T-hsACE2 cells were seeded at 2 × 10⁵ cells/mL (100 µL per well) in a 96-well plate and incubated overnight. Wuhan-Hu-1 RVP stocks (Integral Molecular) were serially diluted in infection medium, and 100 µL of each dilution was added per well (final volume 200 µL). Cells were incubated with RVPs for 3, 4, and 7 days without medium change. Green fluorescent protein (GFP) signal intensity was measured at each time point using fluorescence microscopy to determine infection efficiency and optimal RVP input volume. Three GFP-expressing RVP strains were used: Wuhan-Hu-1 (RVP-701G, lot CG-276A), Delta B.1.617.2 (RVP-763G, lot CG-290A), and Omicron BA.1 (RVP-768G, lot CG-296A).</w:t>
      </w:r>
    </w:p>
    <w:sectPr w:rsidR="009A6BC4" w:rsidRPr="00F900DA" w:rsidSect="00F900DA">
      <w:pgSz w:w="12240" w:h="15840"/>
      <w:pgMar w:top="1440" w:right="1440" w:bottom="1440" w:left="1440" w:header="0" w:footer="0" w:gutter="0"/>
      <w:lnNumType w:countBy="1" w:distance="283" w:restart="continuous"/>
      <w:pgNumType w:start="1"/>
      <w:cols w:space="720"/>
      <w:formProt w:val="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Malgun Gothic">
    <w:altName w:val="맑은 고딕"/>
    <w:panose1 w:val="020B0503020000020004"/>
    <w:charset w:val="81"/>
    <w:family w:val="swiss"/>
    <w:pitch w:val="variable"/>
    <w:sig w:usb0="9000002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grammar="clean"/>
  <w:defaultTabStop w:val="800"/>
  <w:displayHorizontalDrawingGridEvery w:val="0"/>
  <w:displayVerticalDrawingGridEvery w:val="2"/>
  <w:noPunctuationKerning/>
  <w:characterSpacingControl w:val="doNotCompres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00DA"/>
    <w:rsid w:val="003C071A"/>
    <w:rsid w:val="009A6BC4"/>
    <w:rsid w:val="00D44EF1"/>
    <w:rsid w:val="00E03F3D"/>
    <w:rsid w:val="00F900DA"/>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9FA0EE"/>
  <w15:chartTrackingRefBased/>
  <w15:docId w15:val="{AA12AD29-99EC-4E61-928E-5587EB1D2A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EastAsia" w:eastAsiaTheme="minorEastAsia" w:hAnsiTheme="minorHAnsi" w:cstheme="minorBidi"/>
        <w:kern w:val="2"/>
        <w:sz w:val="22"/>
        <w:szCs w:val="24"/>
        <w:lang w:val="en-US" w:eastAsia="ko-KR" w:bidi="ar-SA"/>
        <w14:ligatures w14:val="standardContextual"/>
      </w:rPr>
    </w:rPrDefault>
    <w:pPrDefault>
      <w:pPr>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900DA"/>
    <w:pPr>
      <w:widowControl w:val="0"/>
      <w:suppressAutoHyphens/>
      <w:spacing w:after="0"/>
    </w:pPr>
    <w:rPr>
      <w:rFonts w:ascii="Times New Roman" w:hAnsi="Times New Roman" w:cs="Times New Roman"/>
      <w:kern w:val="0"/>
      <w:sz w:val="24"/>
      <w14:ligatures w14:val="none"/>
    </w:rPr>
  </w:style>
  <w:style w:type="paragraph" w:styleId="1">
    <w:name w:val="heading 1"/>
    <w:basedOn w:val="a"/>
    <w:next w:val="a"/>
    <w:link w:val="1Char"/>
    <w:uiPriority w:val="9"/>
    <w:qFormat/>
    <w:rsid w:val="00F900DA"/>
    <w:pPr>
      <w:keepNext/>
      <w:keepLines/>
      <w:suppressAutoHyphens w:val="0"/>
      <w:wordWrap w:val="0"/>
      <w:autoSpaceDE w:val="0"/>
      <w:autoSpaceDN w:val="0"/>
      <w:spacing w:before="280" w:after="80"/>
      <w:outlineLvl w:val="0"/>
    </w:pPr>
    <w:rPr>
      <w:rFonts w:asciiTheme="majorHAnsi" w:eastAsiaTheme="majorEastAsia" w:hAnsiTheme="majorHAnsi" w:cstheme="majorBidi"/>
      <w:color w:val="000000" w:themeColor="text1"/>
      <w:kern w:val="2"/>
      <w:sz w:val="32"/>
      <w:szCs w:val="32"/>
      <w14:ligatures w14:val="standardContextual"/>
    </w:rPr>
  </w:style>
  <w:style w:type="paragraph" w:styleId="2">
    <w:name w:val="heading 2"/>
    <w:basedOn w:val="a"/>
    <w:next w:val="a"/>
    <w:link w:val="2Char"/>
    <w:uiPriority w:val="9"/>
    <w:semiHidden/>
    <w:unhideWhenUsed/>
    <w:qFormat/>
    <w:rsid w:val="00F900DA"/>
    <w:pPr>
      <w:keepNext/>
      <w:keepLines/>
      <w:suppressAutoHyphens w:val="0"/>
      <w:wordWrap w:val="0"/>
      <w:autoSpaceDE w:val="0"/>
      <w:autoSpaceDN w:val="0"/>
      <w:spacing w:before="160" w:after="80"/>
      <w:outlineLvl w:val="1"/>
    </w:pPr>
    <w:rPr>
      <w:rFonts w:asciiTheme="majorHAnsi" w:eastAsiaTheme="majorEastAsia" w:hAnsiTheme="majorHAnsi" w:cstheme="majorBidi"/>
      <w:color w:val="000000" w:themeColor="text1"/>
      <w:kern w:val="2"/>
      <w:sz w:val="28"/>
      <w:szCs w:val="28"/>
      <w14:ligatures w14:val="standardContextual"/>
    </w:rPr>
  </w:style>
  <w:style w:type="paragraph" w:styleId="3">
    <w:name w:val="heading 3"/>
    <w:basedOn w:val="a"/>
    <w:next w:val="a"/>
    <w:link w:val="3Char"/>
    <w:uiPriority w:val="9"/>
    <w:semiHidden/>
    <w:unhideWhenUsed/>
    <w:qFormat/>
    <w:rsid w:val="00F900DA"/>
    <w:pPr>
      <w:keepNext/>
      <w:keepLines/>
      <w:suppressAutoHyphens w:val="0"/>
      <w:wordWrap w:val="0"/>
      <w:autoSpaceDE w:val="0"/>
      <w:autoSpaceDN w:val="0"/>
      <w:spacing w:before="160" w:after="80"/>
      <w:outlineLvl w:val="2"/>
    </w:pPr>
    <w:rPr>
      <w:rFonts w:asciiTheme="majorHAnsi" w:eastAsiaTheme="majorEastAsia" w:hAnsiTheme="majorHAnsi" w:cstheme="majorBidi"/>
      <w:color w:val="000000" w:themeColor="text1"/>
      <w:kern w:val="2"/>
      <w14:ligatures w14:val="standardContextual"/>
    </w:rPr>
  </w:style>
  <w:style w:type="paragraph" w:styleId="4">
    <w:name w:val="heading 4"/>
    <w:basedOn w:val="a"/>
    <w:next w:val="a"/>
    <w:link w:val="4Char"/>
    <w:uiPriority w:val="9"/>
    <w:semiHidden/>
    <w:unhideWhenUsed/>
    <w:qFormat/>
    <w:rsid w:val="00F900DA"/>
    <w:pPr>
      <w:keepNext/>
      <w:keepLines/>
      <w:suppressAutoHyphens w:val="0"/>
      <w:wordWrap w:val="0"/>
      <w:autoSpaceDE w:val="0"/>
      <w:autoSpaceDN w:val="0"/>
      <w:spacing w:before="80" w:after="40"/>
      <w:outlineLvl w:val="3"/>
    </w:pPr>
    <w:rPr>
      <w:rFonts w:asciiTheme="majorHAnsi" w:eastAsiaTheme="majorEastAsia" w:hAnsiTheme="majorHAnsi" w:cstheme="majorBidi"/>
      <w:color w:val="000000" w:themeColor="text1"/>
      <w:kern w:val="2"/>
      <w:sz w:val="22"/>
      <w14:ligatures w14:val="standardContextual"/>
    </w:rPr>
  </w:style>
  <w:style w:type="paragraph" w:styleId="5">
    <w:name w:val="heading 5"/>
    <w:basedOn w:val="a"/>
    <w:next w:val="a"/>
    <w:link w:val="5Char"/>
    <w:uiPriority w:val="9"/>
    <w:semiHidden/>
    <w:unhideWhenUsed/>
    <w:qFormat/>
    <w:rsid w:val="00F900DA"/>
    <w:pPr>
      <w:keepNext/>
      <w:keepLines/>
      <w:suppressAutoHyphens w:val="0"/>
      <w:wordWrap w:val="0"/>
      <w:autoSpaceDE w:val="0"/>
      <w:autoSpaceDN w:val="0"/>
      <w:spacing w:before="80" w:after="40"/>
      <w:ind w:leftChars="100" w:left="100"/>
      <w:outlineLvl w:val="4"/>
    </w:pPr>
    <w:rPr>
      <w:rFonts w:asciiTheme="majorHAnsi" w:eastAsiaTheme="majorEastAsia" w:hAnsiTheme="majorHAnsi" w:cstheme="majorBidi"/>
      <w:color w:val="000000" w:themeColor="text1"/>
      <w:kern w:val="2"/>
      <w:sz w:val="22"/>
      <w14:ligatures w14:val="standardContextual"/>
    </w:rPr>
  </w:style>
  <w:style w:type="paragraph" w:styleId="6">
    <w:name w:val="heading 6"/>
    <w:basedOn w:val="a"/>
    <w:next w:val="a"/>
    <w:link w:val="6Char"/>
    <w:uiPriority w:val="9"/>
    <w:semiHidden/>
    <w:unhideWhenUsed/>
    <w:qFormat/>
    <w:rsid w:val="00F900DA"/>
    <w:pPr>
      <w:keepNext/>
      <w:keepLines/>
      <w:suppressAutoHyphens w:val="0"/>
      <w:wordWrap w:val="0"/>
      <w:autoSpaceDE w:val="0"/>
      <w:autoSpaceDN w:val="0"/>
      <w:spacing w:before="80" w:after="40"/>
      <w:ind w:leftChars="200" w:left="200"/>
      <w:outlineLvl w:val="5"/>
    </w:pPr>
    <w:rPr>
      <w:rFonts w:asciiTheme="majorHAnsi" w:eastAsiaTheme="majorEastAsia" w:hAnsiTheme="majorHAnsi" w:cstheme="majorBidi"/>
      <w:color w:val="000000" w:themeColor="text1"/>
      <w:kern w:val="2"/>
      <w:sz w:val="22"/>
      <w14:ligatures w14:val="standardContextual"/>
    </w:rPr>
  </w:style>
  <w:style w:type="paragraph" w:styleId="7">
    <w:name w:val="heading 7"/>
    <w:basedOn w:val="a"/>
    <w:next w:val="a"/>
    <w:link w:val="7Char"/>
    <w:uiPriority w:val="9"/>
    <w:semiHidden/>
    <w:unhideWhenUsed/>
    <w:qFormat/>
    <w:rsid w:val="00F900DA"/>
    <w:pPr>
      <w:keepNext/>
      <w:keepLines/>
      <w:suppressAutoHyphens w:val="0"/>
      <w:wordWrap w:val="0"/>
      <w:autoSpaceDE w:val="0"/>
      <w:autoSpaceDN w:val="0"/>
      <w:spacing w:before="80" w:after="40"/>
      <w:ind w:leftChars="300" w:left="300"/>
      <w:outlineLvl w:val="6"/>
    </w:pPr>
    <w:rPr>
      <w:rFonts w:asciiTheme="majorHAnsi" w:eastAsiaTheme="majorEastAsia" w:hAnsiTheme="majorHAnsi" w:cstheme="majorBidi"/>
      <w:color w:val="000000" w:themeColor="text1"/>
      <w:kern w:val="2"/>
      <w:sz w:val="22"/>
      <w14:ligatures w14:val="standardContextual"/>
    </w:rPr>
  </w:style>
  <w:style w:type="paragraph" w:styleId="8">
    <w:name w:val="heading 8"/>
    <w:basedOn w:val="a"/>
    <w:next w:val="a"/>
    <w:link w:val="8Char"/>
    <w:uiPriority w:val="9"/>
    <w:semiHidden/>
    <w:unhideWhenUsed/>
    <w:qFormat/>
    <w:rsid w:val="00F900DA"/>
    <w:pPr>
      <w:keepNext/>
      <w:keepLines/>
      <w:suppressAutoHyphens w:val="0"/>
      <w:wordWrap w:val="0"/>
      <w:autoSpaceDE w:val="0"/>
      <w:autoSpaceDN w:val="0"/>
      <w:spacing w:before="80" w:after="40"/>
      <w:ind w:leftChars="400" w:left="400"/>
      <w:outlineLvl w:val="7"/>
    </w:pPr>
    <w:rPr>
      <w:rFonts w:asciiTheme="majorHAnsi" w:eastAsiaTheme="majorEastAsia" w:hAnsiTheme="majorHAnsi" w:cstheme="majorBidi"/>
      <w:color w:val="000000" w:themeColor="text1"/>
      <w:kern w:val="2"/>
      <w:sz w:val="22"/>
      <w14:ligatures w14:val="standardContextual"/>
    </w:rPr>
  </w:style>
  <w:style w:type="paragraph" w:styleId="9">
    <w:name w:val="heading 9"/>
    <w:basedOn w:val="a"/>
    <w:next w:val="a"/>
    <w:link w:val="9Char"/>
    <w:uiPriority w:val="9"/>
    <w:semiHidden/>
    <w:unhideWhenUsed/>
    <w:qFormat/>
    <w:rsid w:val="00F900DA"/>
    <w:pPr>
      <w:keepNext/>
      <w:keepLines/>
      <w:suppressAutoHyphens w:val="0"/>
      <w:wordWrap w:val="0"/>
      <w:autoSpaceDE w:val="0"/>
      <w:autoSpaceDN w:val="0"/>
      <w:spacing w:before="80" w:after="40"/>
      <w:ind w:leftChars="500" w:left="500"/>
      <w:outlineLvl w:val="8"/>
    </w:pPr>
    <w:rPr>
      <w:rFonts w:asciiTheme="majorHAnsi" w:eastAsiaTheme="majorEastAsia" w:hAnsiTheme="majorHAnsi" w:cstheme="majorBidi"/>
      <w:color w:val="000000" w:themeColor="text1"/>
      <w:kern w:val="2"/>
      <w:sz w:val="22"/>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제목 1 Char"/>
    <w:basedOn w:val="a0"/>
    <w:link w:val="1"/>
    <w:uiPriority w:val="9"/>
    <w:rsid w:val="00F900DA"/>
    <w:rPr>
      <w:rFonts w:asciiTheme="majorHAnsi" w:eastAsiaTheme="majorEastAsia" w:hAnsiTheme="majorHAnsi" w:cstheme="majorBidi"/>
      <w:color w:val="000000" w:themeColor="text1"/>
      <w:sz w:val="32"/>
      <w:szCs w:val="32"/>
    </w:rPr>
  </w:style>
  <w:style w:type="character" w:customStyle="1" w:styleId="2Char">
    <w:name w:val="제목 2 Char"/>
    <w:basedOn w:val="a0"/>
    <w:link w:val="2"/>
    <w:uiPriority w:val="9"/>
    <w:semiHidden/>
    <w:rsid w:val="00F900DA"/>
    <w:rPr>
      <w:rFonts w:asciiTheme="majorHAnsi" w:eastAsiaTheme="majorEastAsia" w:hAnsiTheme="majorHAnsi" w:cstheme="majorBidi"/>
      <w:color w:val="000000" w:themeColor="text1"/>
      <w:sz w:val="28"/>
      <w:szCs w:val="28"/>
    </w:rPr>
  </w:style>
  <w:style w:type="character" w:customStyle="1" w:styleId="3Char">
    <w:name w:val="제목 3 Char"/>
    <w:basedOn w:val="a0"/>
    <w:link w:val="3"/>
    <w:uiPriority w:val="9"/>
    <w:semiHidden/>
    <w:rsid w:val="00F900DA"/>
    <w:rPr>
      <w:rFonts w:asciiTheme="majorHAnsi" w:eastAsiaTheme="majorEastAsia" w:hAnsiTheme="majorHAnsi" w:cstheme="majorBidi"/>
      <w:color w:val="000000" w:themeColor="text1"/>
      <w:sz w:val="24"/>
    </w:rPr>
  </w:style>
  <w:style w:type="character" w:customStyle="1" w:styleId="4Char">
    <w:name w:val="제목 4 Char"/>
    <w:basedOn w:val="a0"/>
    <w:link w:val="4"/>
    <w:uiPriority w:val="9"/>
    <w:semiHidden/>
    <w:rsid w:val="00F900DA"/>
    <w:rPr>
      <w:rFonts w:asciiTheme="majorHAnsi" w:eastAsiaTheme="majorEastAsia" w:hAnsiTheme="majorHAnsi" w:cstheme="majorBidi"/>
      <w:color w:val="000000" w:themeColor="text1"/>
    </w:rPr>
  </w:style>
  <w:style w:type="character" w:customStyle="1" w:styleId="5Char">
    <w:name w:val="제목 5 Char"/>
    <w:basedOn w:val="a0"/>
    <w:link w:val="5"/>
    <w:uiPriority w:val="9"/>
    <w:semiHidden/>
    <w:rsid w:val="00F900DA"/>
    <w:rPr>
      <w:rFonts w:asciiTheme="majorHAnsi" w:eastAsiaTheme="majorEastAsia" w:hAnsiTheme="majorHAnsi" w:cstheme="majorBidi"/>
      <w:color w:val="000000" w:themeColor="text1"/>
    </w:rPr>
  </w:style>
  <w:style w:type="character" w:customStyle="1" w:styleId="6Char">
    <w:name w:val="제목 6 Char"/>
    <w:basedOn w:val="a0"/>
    <w:link w:val="6"/>
    <w:uiPriority w:val="9"/>
    <w:semiHidden/>
    <w:rsid w:val="00F900DA"/>
    <w:rPr>
      <w:rFonts w:asciiTheme="majorHAnsi" w:eastAsiaTheme="majorEastAsia" w:hAnsiTheme="majorHAnsi" w:cstheme="majorBidi"/>
      <w:color w:val="000000" w:themeColor="text1"/>
    </w:rPr>
  </w:style>
  <w:style w:type="character" w:customStyle="1" w:styleId="7Char">
    <w:name w:val="제목 7 Char"/>
    <w:basedOn w:val="a0"/>
    <w:link w:val="7"/>
    <w:uiPriority w:val="9"/>
    <w:semiHidden/>
    <w:rsid w:val="00F900DA"/>
    <w:rPr>
      <w:rFonts w:asciiTheme="majorHAnsi" w:eastAsiaTheme="majorEastAsia" w:hAnsiTheme="majorHAnsi" w:cstheme="majorBidi"/>
      <w:color w:val="000000" w:themeColor="text1"/>
    </w:rPr>
  </w:style>
  <w:style w:type="character" w:customStyle="1" w:styleId="8Char">
    <w:name w:val="제목 8 Char"/>
    <w:basedOn w:val="a0"/>
    <w:link w:val="8"/>
    <w:uiPriority w:val="9"/>
    <w:semiHidden/>
    <w:rsid w:val="00F900DA"/>
    <w:rPr>
      <w:rFonts w:asciiTheme="majorHAnsi" w:eastAsiaTheme="majorEastAsia" w:hAnsiTheme="majorHAnsi" w:cstheme="majorBidi"/>
      <w:color w:val="000000" w:themeColor="text1"/>
    </w:rPr>
  </w:style>
  <w:style w:type="character" w:customStyle="1" w:styleId="9Char">
    <w:name w:val="제목 9 Char"/>
    <w:basedOn w:val="a0"/>
    <w:link w:val="9"/>
    <w:uiPriority w:val="9"/>
    <w:semiHidden/>
    <w:rsid w:val="00F900DA"/>
    <w:rPr>
      <w:rFonts w:asciiTheme="majorHAnsi" w:eastAsiaTheme="majorEastAsia" w:hAnsiTheme="majorHAnsi" w:cstheme="majorBidi"/>
      <w:color w:val="000000" w:themeColor="text1"/>
    </w:rPr>
  </w:style>
  <w:style w:type="paragraph" w:styleId="a3">
    <w:name w:val="Title"/>
    <w:basedOn w:val="a"/>
    <w:next w:val="a"/>
    <w:link w:val="Char"/>
    <w:uiPriority w:val="10"/>
    <w:qFormat/>
    <w:rsid w:val="00F900DA"/>
    <w:pPr>
      <w:suppressAutoHyphens w:val="0"/>
      <w:wordWrap w:val="0"/>
      <w:autoSpaceDE w:val="0"/>
      <w:autoSpaceDN w:val="0"/>
      <w:spacing w:after="80"/>
      <w:contextualSpacing/>
      <w:jc w:val="center"/>
    </w:pPr>
    <w:rPr>
      <w:rFonts w:asciiTheme="majorHAnsi" w:eastAsiaTheme="majorEastAsia" w:hAnsiTheme="majorHAnsi" w:cstheme="majorBidi"/>
      <w:spacing w:val="-10"/>
      <w:kern w:val="28"/>
      <w:sz w:val="56"/>
      <w:szCs w:val="56"/>
      <w14:ligatures w14:val="standardContextual"/>
    </w:rPr>
  </w:style>
  <w:style w:type="character" w:customStyle="1" w:styleId="Char">
    <w:name w:val="제목 Char"/>
    <w:basedOn w:val="a0"/>
    <w:link w:val="a3"/>
    <w:uiPriority w:val="10"/>
    <w:rsid w:val="00F900DA"/>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sid w:val="00F900DA"/>
    <w:pPr>
      <w:numPr>
        <w:ilvl w:val="1"/>
      </w:numPr>
      <w:suppressAutoHyphens w:val="0"/>
      <w:wordWrap w:val="0"/>
      <w:autoSpaceDE w:val="0"/>
      <w:autoSpaceDN w:val="0"/>
      <w:spacing w:after="160"/>
      <w:jc w:val="center"/>
    </w:pPr>
    <w:rPr>
      <w:rFonts w:asciiTheme="majorHAnsi" w:eastAsiaTheme="majorEastAsia" w:hAnsiTheme="majorHAnsi" w:cstheme="majorBidi"/>
      <w:color w:val="595959" w:themeColor="text1" w:themeTint="A6"/>
      <w:spacing w:val="15"/>
      <w:kern w:val="2"/>
      <w:sz w:val="28"/>
      <w:szCs w:val="28"/>
      <w14:ligatures w14:val="standardContextual"/>
    </w:rPr>
  </w:style>
  <w:style w:type="character" w:customStyle="1" w:styleId="Char0">
    <w:name w:val="부제 Char"/>
    <w:basedOn w:val="a0"/>
    <w:link w:val="a4"/>
    <w:uiPriority w:val="11"/>
    <w:rsid w:val="00F900DA"/>
    <w:rPr>
      <w:rFonts w:asciiTheme="majorHAnsi" w:eastAsiaTheme="majorEastAsia" w:hAnsiTheme="majorHAnsi" w:cstheme="majorBidi"/>
      <w:color w:val="595959" w:themeColor="text1" w:themeTint="A6"/>
      <w:spacing w:val="15"/>
      <w:sz w:val="28"/>
      <w:szCs w:val="28"/>
    </w:rPr>
  </w:style>
  <w:style w:type="paragraph" w:styleId="a5">
    <w:name w:val="Quote"/>
    <w:basedOn w:val="a"/>
    <w:next w:val="a"/>
    <w:link w:val="Char1"/>
    <w:uiPriority w:val="29"/>
    <w:qFormat/>
    <w:rsid w:val="00F900DA"/>
    <w:pPr>
      <w:suppressAutoHyphens w:val="0"/>
      <w:wordWrap w:val="0"/>
      <w:autoSpaceDE w:val="0"/>
      <w:autoSpaceDN w:val="0"/>
      <w:spacing w:before="160" w:after="160"/>
      <w:jc w:val="center"/>
    </w:pPr>
    <w:rPr>
      <w:rFonts w:asciiTheme="minorEastAsia" w:hAnsiTheme="minorHAnsi" w:cstheme="minorBidi"/>
      <w:i/>
      <w:iCs/>
      <w:color w:val="404040" w:themeColor="text1" w:themeTint="BF"/>
      <w:kern w:val="2"/>
      <w:sz w:val="22"/>
      <w14:ligatures w14:val="standardContextual"/>
    </w:rPr>
  </w:style>
  <w:style w:type="character" w:customStyle="1" w:styleId="Char1">
    <w:name w:val="인용 Char"/>
    <w:basedOn w:val="a0"/>
    <w:link w:val="a5"/>
    <w:uiPriority w:val="29"/>
    <w:rsid w:val="00F900DA"/>
    <w:rPr>
      <w:i/>
      <w:iCs/>
      <w:color w:val="404040" w:themeColor="text1" w:themeTint="BF"/>
    </w:rPr>
  </w:style>
  <w:style w:type="paragraph" w:styleId="a6">
    <w:name w:val="List Paragraph"/>
    <w:basedOn w:val="a"/>
    <w:uiPriority w:val="34"/>
    <w:qFormat/>
    <w:rsid w:val="00F900DA"/>
    <w:pPr>
      <w:suppressAutoHyphens w:val="0"/>
      <w:wordWrap w:val="0"/>
      <w:autoSpaceDE w:val="0"/>
      <w:autoSpaceDN w:val="0"/>
      <w:spacing w:after="160"/>
      <w:ind w:left="720"/>
      <w:contextualSpacing/>
    </w:pPr>
    <w:rPr>
      <w:rFonts w:asciiTheme="minorEastAsia" w:hAnsiTheme="minorHAnsi" w:cstheme="minorBidi"/>
      <w:kern w:val="2"/>
      <w:sz w:val="22"/>
      <w14:ligatures w14:val="standardContextual"/>
    </w:rPr>
  </w:style>
  <w:style w:type="character" w:styleId="a7">
    <w:name w:val="Intense Emphasis"/>
    <w:basedOn w:val="a0"/>
    <w:uiPriority w:val="21"/>
    <w:qFormat/>
    <w:rsid w:val="00F900DA"/>
    <w:rPr>
      <w:i/>
      <w:iCs/>
      <w:color w:val="2F5496" w:themeColor="accent1" w:themeShade="BF"/>
    </w:rPr>
  </w:style>
  <w:style w:type="paragraph" w:styleId="a8">
    <w:name w:val="Intense Quote"/>
    <w:basedOn w:val="a"/>
    <w:next w:val="a"/>
    <w:link w:val="Char2"/>
    <w:uiPriority w:val="30"/>
    <w:qFormat/>
    <w:rsid w:val="00F900DA"/>
    <w:pPr>
      <w:pBdr>
        <w:top w:val="single" w:sz="4" w:space="10" w:color="2F5496" w:themeColor="accent1" w:themeShade="BF"/>
        <w:bottom w:val="single" w:sz="4" w:space="10" w:color="2F5496" w:themeColor="accent1" w:themeShade="BF"/>
      </w:pBdr>
      <w:suppressAutoHyphens w:val="0"/>
      <w:wordWrap w:val="0"/>
      <w:autoSpaceDE w:val="0"/>
      <w:autoSpaceDN w:val="0"/>
      <w:spacing w:before="360" w:after="360"/>
      <w:ind w:left="864" w:right="864"/>
      <w:jc w:val="center"/>
    </w:pPr>
    <w:rPr>
      <w:rFonts w:asciiTheme="minorEastAsia" w:hAnsiTheme="minorHAnsi" w:cstheme="minorBidi"/>
      <w:i/>
      <w:iCs/>
      <w:color w:val="2F5496" w:themeColor="accent1" w:themeShade="BF"/>
      <w:kern w:val="2"/>
      <w:sz w:val="22"/>
      <w14:ligatures w14:val="standardContextual"/>
    </w:rPr>
  </w:style>
  <w:style w:type="character" w:customStyle="1" w:styleId="Char2">
    <w:name w:val="강한 인용 Char"/>
    <w:basedOn w:val="a0"/>
    <w:link w:val="a8"/>
    <w:uiPriority w:val="30"/>
    <w:rsid w:val="00F900DA"/>
    <w:rPr>
      <w:i/>
      <w:iCs/>
      <w:color w:val="2F5496" w:themeColor="accent1" w:themeShade="BF"/>
    </w:rPr>
  </w:style>
  <w:style w:type="character" w:styleId="a9">
    <w:name w:val="Intense Reference"/>
    <w:basedOn w:val="a0"/>
    <w:uiPriority w:val="32"/>
    <w:qFormat/>
    <w:rsid w:val="00F900DA"/>
    <w:rPr>
      <w:b/>
      <w:bCs/>
      <w:smallCaps/>
      <w:color w:val="2F5496" w:themeColor="accent1" w:themeShade="BF"/>
      <w:spacing w:val="5"/>
    </w:rPr>
  </w:style>
  <w:style w:type="character" w:styleId="aa">
    <w:name w:val="line number"/>
    <w:basedOn w:val="a0"/>
    <w:uiPriority w:val="99"/>
    <w:semiHidden/>
    <w:unhideWhenUsed/>
    <w:rsid w:val="00F900D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wmf"/><Relationship Id="rId5" Type="http://schemas.openxmlformats.org/officeDocument/2006/relationships/image" Target="media/image2.wmf"/><Relationship Id="rId4" Type="http://schemas.openxmlformats.org/officeDocument/2006/relationships/image" Target="media/image1.wmf"/></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맑은 고딕"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맑은 고딕"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1084</Words>
  <Characters>6180</Characters>
  <Application>Microsoft Office Word</Application>
  <DocSecurity>0</DocSecurity>
  <Lines>51</Lines>
  <Paragraphs>14</Paragraphs>
  <ScaleCrop>false</ScaleCrop>
  <Company/>
  <LinksUpToDate>false</LinksUpToDate>
  <CharactersWithSpaces>7250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sohui kim</dc:creator>
  <cp:keywords/>
  <dc:description/>
  <cp:lastModifiedBy>sohui kim</cp:lastModifiedBy>
  <cp:revision>1</cp:revision>
  <dcterms:created xsi:type="dcterms:W3CDTF">2026-07-31T08:15:00Z</dcterms:created>
  <dcterms:modified xsi:type="dcterms:W3CDTF">2026-07-31T08:16:00Z</dcterms:modified>
</cp:coreProperties>
</file>