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70E3F">
      <w:pPr>
        <w:spacing w:line="360" w:lineRule="auto"/>
        <w:jc w:val="center"/>
        <w:rPr>
          <w:rFonts w:hint="eastAsia" w:ascii="Times New Roman" w:hAnsi="Times New Roman" w:eastAsia="方正书宋简体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Nonlinear and Lagged Associations of Compound Cold Wave–PM</w:t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kern w:val="2"/>
          <w:sz w:val="28"/>
          <w:szCs w:val="28"/>
          <w:vertAlign w:val="subscript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Pollution Exposure with Cardiovascular Emergency Ambulance Calls: A Time-Series Study in Shijiazhuang, China</w:t>
      </w:r>
    </w:p>
    <w:p w14:paraId="6528F004">
      <w:pPr>
        <w:spacing w:line="360" w:lineRule="auto"/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Siyuan Chen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1,2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>,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Meng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i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1,3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Yi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han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ing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1,2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Ning Xu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1,3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Ming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y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ang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uan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1,4,5*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Fengge Chen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1,4,5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Jun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w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ang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ong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:vertAlign w:val="superscript"/>
          <w14:textFill>
            <w14:solidFill>
              <w14:schemeClr w14:val="tx1"/>
            </w14:solidFill>
          </w14:textFill>
        </w:rPr>
        <w:t>2</w:t>
      </w:r>
    </w:p>
    <w:p w14:paraId="3A7AAEB9">
      <w:pPr>
        <w:spacing w:line="360" w:lineRule="auto"/>
        <w:rPr>
          <w:rFonts w:ascii="Times New Roman" w:hAnsi="Times New Roman" w:eastAsia="方正书宋简体" w:cs="Times New Roman"/>
          <w:color w:val="000000"/>
          <w:sz w:val="16"/>
          <w:szCs w:val="16"/>
        </w:rPr>
      </w:pP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. Department of Public Health Monitoring and Evaluation, Shijiazhuang Center for Disease Control and Prevention, Shijiazhuang,Hebei, China</w:t>
      </w:r>
    </w:p>
    <w:p w14:paraId="5D47B383">
      <w:pPr>
        <w:spacing w:line="360" w:lineRule="auto"/>
        <w:rPr>
          <w:rFonts w:ascii="Times New Roman" w:hAnsi="Times New Roman" w:eastAsia="方正书宋简体" w:cs="Times New Roman"/>
          <w:color w:val="000000"/>
          <w:sz w:val="16"/>
          <w:szCs w:val="16"/>
        </w:rPr>
      </w:pP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>2. School of Public Health, North China University of Science and Technology, Tangshan, Hebei, China</w:t>
      </w:r>
    </w:p>
    <w:p w14:paraId="067702C4">
      <w:pPr>
        <w:spacing w:line="360" w:lineRule="auto"/>
        <w:rPr>
          <w:rFonts w:ascii="Times New Roman" w:hAnsi="Times New Roman" w:eastAsia="方正书宋简体" w:cs="Times New Roman"/>
          <w:color w:val="000000"/>
          <w:sz w:val="16"/>
          <w:szCs w:val="16"/>
        </w:rPr>
      </w:pP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>3. School of Public Health, Hebei Medical University, Shijiazhuang, Hebei, China</w:t>
      </w:r>
    </w:p>
    <w:p w14:paraId="6F0B2D3F">
      <w:pPr>
        <w:spacing w:line="360" w:lineRule="auto"/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>4. Research Base for Environment and Health in Shijiazhuang, Chinese Center for Disease Control and Prevention, Shijiazhuang, Hebei, China.</w:t>
      </w:r>
    </w:p>
    <w:p w14:paraId="5D0DDAC3">
      <w:pPr>
        <w:spacing w:line="360" w:lineRule="auto"/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5. Hebei Key Laboratory of Intractable Pathogens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Shijiazhuang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>,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China</w:t>
      </w:r>
    </w:p>
    <w:p w14:paraId="778E5F6D">
      <w:pPr>
        <w:spacing w:line="360" w:lineRule="auto"/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Corresponding 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author: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Mingyang Guan</w:t>
      </w: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, Department of Public Health Monitoring and Evaluation, Shijiazhuang Center for Disease Control and Prevention, Shijiazhuang,Hebei, China; Research Base for Environment and Health in Shijiazhuang, Chinese Center for Disease Control and Prevention, Shijiazhuang, Hebei, China; Hebei Key Laboratory of Intractable Pathogens, Shijiazhuang, China. 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Email: gmyguan@126.com</w:t>
      </w:r>
    </w:p>
    <w:p w14:paraId="7760727E">
      <w:pPr>
        <w:spacing w:line="360" w:lineRule="auto"/>
        <w:rPr>
          <w:rFonts w:ascii="Times New Roman" w:hAnsi="Times New Roman" w:eastAsia="方正书宋简体" w:cs="Times New Roman"/>
          <w:color w:val="000000"/>
          <w:sz w:val="16"/>
          <w:szCs w:val="16"/>
        </w:rPr>
      </w:pP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 xml:space="preserve">Funding Program: </w:t>
      </w:r>
    </w:p>
    <w:p w14:paraId="3EC65086">
      <w:pPr>
        <w:spacing w:line="360" w:lineRule="auto"/>
        <w:rPr>
          <w:rFonts w:ascii="Times New Roman" w:hAnsi="Times New Roman" w:eastAsia="方正书宋简体" w:cs="Times New Roman"/>
          <w:color w:val="000000"/>
          <w:sz w:val="16"/>
          <w:szCs w:val="16"/>
        </w:rPr>
      </w:pPr>
      <w:r>
        <w:rPr>
          <w:rFonts w:hint="default" w:ascii="Times New Roman" w:hAnsi="Times New Roman" w:eastAsia="方正书宋简体" w:cs="Times New Roman"/>
          <w:color w:val="000000" w:themeColor="text1"/>
          <w:sz w:val="16"/>
          <w:szCs w:val="16"/>
          <w:lang w:val="en-US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he Hebei Natural Science Foundation (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Project</w:t>
      </w:r>
      <w:r>
        <w:rPr>
          <w:rFonts w:hint="eastAsia"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No. H2026106020)</w:t>
      </w:r>
    </w:p>
    <w:p w14:paraId="2BEFCAB7">
      <w:pPr>
        <w:spacing w:line="360" w:lineRule="auto"/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书宋简体" w:cs="Times New Roman"/>
          <w:color w:val="000000"/>
          <w:sz w:val="16"/>
          <w:szCs w:val="16"/>
        </w:rPr>
        <w:t>2024</w:t>
      </w:r>
      <w:r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Shijiazhuang Municipal Science and Technology Plan (Project No. 2414605403)</w:t>
      </w:r>
    </w:p>
    <w:p w14:paraId="70FC8A91">
      <w:pPr>
        <w:widowControl w:val="0"/>
        <w:spacing w:line="360" w:lineRule="auto"/>
        <w:jc w:val="center"/>
        <w:rPr>
          <w:rFonts w:hint="default" w:ascii="Times New Roman" w:hAnsi="Times New Roman" w:eastAsia="方正书宋简体" w:cs="Times New Roman"/>
          <w:b/>
          <w:bCs/>
          <w:color w:val="000000" w:themeColor="text1"/>
          <w:kern w:val="2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 w14:paraId="28231AEE">
      <w:pPr>
        <w:jc w:val="center"/>
        <w:rPr>
          <w:rFonts w:hint="default" w:ascii="Times New Roman" w:hAnsi="Times New Roman" w:eastAsia="方正书宋简体" w:cs="Times New Roman"/>
          <w:b/>
          <w:bCs/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书宋简体" w:cs="Times New Roman"/>
          <w:b/>
          <w:bCs/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31590" cy="3831590"/>
            <wp:effectExtent l="0" t="0" r="3810" b="3810"/>
            <wp:docPr id="1" name="图片 1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951EF">
      <w:pPr>
        <w:jc w:val="center"/>
        <w:rPr>
          <w:rFonts w:hint="eastAsia" w:ascii="Times New Roman" w:hAnsi="Times New Roman" w:eastAsia="方正书宋简体" w:cs="Times New Roman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instrText xml:space="preserve"> SEQ Figure_S \* ARABIC </w:instrText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书宋简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方正书宋简体" w:cs="Times New Roman"/>
          <w:b/>
          <w:bCs/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书宋简体" w:cs="Times New Roman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Spatial distribution of air quality monitoring stations in Shijiazhuang</w:t>
      </w:r>
    </w:p>
    <w:p w14:paraId="6E85DA62">
      <w:pPr>
        <w:jc w:val="center"/>
        <w:rPr>
          <w:rFonts w:hint="default" w:ascii="Times New Roman" w:hAnsi="Times New Roman" w:eastAsia="方正书宋简体" w:cs="Times New Roman"/>
          <w:b w:val="0"/>
          <w:bCs w:val="0"/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</w:pPr>
    </w:p>
    <w:p w14:paraId="082DA390">
      <w:pPr>
        <w:pStyle w:val="11"/>
        <w:jc w:val="center"/>
        <w:rPr>
          <w:rFonts w:ascii="Times New Roman" w:hAnsi="Times New Roman" w:eastAsia="方正书宋简体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Table S</w:t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fldChar w:fldCharType="begin"/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instrText xml:space="preserve"> SEQ Table_S \* ARABIC </w:instrText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fldChar w:fldCharType="separate"/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1</w:t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fldChar w:fldCharType="end"/>
      </w:r>
      <w:r>
        <w:rPr>
          <w:rFonts w:hint="default"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 xml:space="preserve"> </w:t>
      </w:r>
      <w:r>
        <w:rPr>
          <w:rFonts w:hint="eastAsia" w:ascii="Times New Roman" w:hAnsi="Times New Roman" w:eastAsia="方正书宋简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Akaike Information Criterion (AIC) values for different definitions of cold wave–PM</w:t>
      </w:r>
      <w:r>
        <w:rPr>
          <w:rFonts w:hint="eastAsia" w:ascii="Times New Roman" w:hAnsi="Times New Roman" w:eastAsia="方正书宋简体" w:cs="Times New Roman"/>
          <w:color w:val="000000" w:themeColor="text1"/>
          <w:sz w:val="18"/>
          <w:szCs w:val="18"/>
          <w:vertAlign w:val="subscript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Times New Roman" w:hAnsi="Times New Roman" w:eastAsia="方正书宋简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compound exposure events.</w:t>
      </w:r>
    </w:p>
    <w:tbl>
      <w:tblPr>
        <w:tblStyle w:val="15"/>
        <w:tblW w:w="48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4031"/>
      </w:tblGrid>
      <w:tr w14:paraId="50B8DF86">
        <w:trPr>
          <w:jc w:val="center"/>
        </w:trPr>
        <w:tc>
          <w:tcPr>
            <w:tcW w:w="256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9E8859B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Combined events</w:t>
            </w:r>
          </w:p>
        </w:tc>
        <w:tc>
          <w:tcPr>
            <w:tcW w:w="243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485A7149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Circulatory system diseases</w:t>
            </w:r>
          </w:p>
        </w:tc>
      </w:tr>
      <w:tr w14:paraId="0A5B7681">
        <w:trPr>
          <w:jc w:val="center"/>
        </w:trPr>
        <w:tc>
          <w:tcPr>
            <w:tcW w:w="2569" w:type="pct"/>
            <w:tcBorders>
              <w:left w:val="nil"/>
              <w:bottom w:val="nil"/>
              <w:right w:val="nil"/>
            </w:tcBorders>
          </w:tcPr>
          <w:p w14:paraId="5F6407FF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P1T1</w:t>
            </w:r>
          </w:p>
        </w:tc>
        <w:tc>
          <w:tcPr>
            <w:tcW w:w="2431" w:type="pct"/>
            <w:tcBorders>
              <w:left w:val="nil"/>
              <w:bottom w:val="nil"/>
              <w:right w:val="nil"/>
            </w:tcBorders>
          </w:tcPr>
          <w:p w14:paraId="1B93A631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23260.4</w:t>
            </w:r>
          </w:p>
        </w:tc>
      </w:tr>
      <w:tr w14:paraId="577CA124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71DDD806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P1T2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66B561FA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23260.2</w:t>
            </w:r>
          </w:p>
        </w:tc>
      </w:tr>
      <w:tr w14:paraId="62147C9E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633EBC71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P1T3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78D01722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bookmarkStart w:id="0" w:name="OLE_LINK25"/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23259.7</w:t>
            </w:r>
            <w:bookmarkEnd w:id="0"/>
          </w:p>
        </w:tc>
      </w:tr>
      <w:tr w14:paraId="2FF655E9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46FDB09C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P2T1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0D6D2A24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23260.4</w:t>
            </w:r>
          </w:p>
        </w:tc>
      </w:tr>
      <w:tr w14:paraId="3B4A83CD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184A9347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P2T2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0000D726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23260.3</w:t>
            </w:r>
          </w:p>
        </w:tc>
      </w:tr>
      <w:tr w14:paraId="6B459EBD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34AF35C1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P2T3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40ADEC0E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23259.6</w:t>
            </w:r>
          </w:p>
        </w:tc>
      </w:tr>
      <w:tr w14:paraId="6026226E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68E7A7B4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P3T1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1A198593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23254.7</w:t>
            </w:r>
          </w:p>
        </w:tc>
      </w:tr>
      <w:tr w14:paraId="27608C07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3203C17C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P3T2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55227E9F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23257.3</w:t>
            </w:r>
          </w:p>
        </w:tc>
      </w:tr>
      <w:tr w14:paraId="287BEFB6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3DE8C275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P3T3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2578DB25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23254.7</w:t>
            </w:r>
          </w:p>
        </w:tc>
      </w:tr>
      <w:tr w14:paraId="659A24A3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35A7E7B8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P4T1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05714614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23237.6</w:t>
            </w:r>
          </w:p>
        </w:tc>
      </w:tr>
      <w:tr w14:paraId="4BDE99DB">
        <w:trPr>
          <w:jc w:val="center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</w:tcPr>
          <w:p w14:paraId="657C63F8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P4T2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</w:tcPr>
          <w:p w14:paraId="70140A5E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23257.3</w:t>
            </w:r>
          </w:p>
        </w:tc>
      </w:tr>
      <w:tr w14:paraId="446F688F">
        <w:trPr>
          <w:jc w:val="center"/>
        </w:trPr>
        <w:tc>
          <w:tcPr>
            <w:tcW w:w="2569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9A0191F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P4T3</w:t>
            </w:r>
          </w:p>
        </w:tc>
        <w:tc>
          <w:tcPr>
            <w:tcW w:w="2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DF0A824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23249.3</w:t>
            </w:r>
          </w:p>
        </w:tc>
      </w:tr>
    </w:tbl>
    <w:p w14:paraId="471123E7"/>
    <w:p w14:paraId="08AD7C0E">
      <w:pPr>
        <w:pStyle w:val="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Table S</w:t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fldChar w:fldCharType="begin"/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instrText xml:space="preserve"> SEQ Table_S \* ARABIC </w:instrText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fldChar w:fldCharType="separate"/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2</w:t>
      </w:r>
      <w:r>
        <w:rPr>
          <w:rFonts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fldChar w:fldCharType="end"/>
      </w:r>
      <w:r>
        <w:rPr>
          <w:rFonts w:hint="default" w:ascii="Times New Roman" w:hAnsi="Times New Roman" w:eastAsia="方正书宋简体" w:cs="Times New Roman"/>
          <w:b/>
          <w:bCs/>
          <w:color w:val="000000" w:themeColor="text1"/>
          <w:kern w:val="2"/>
          <w:sz w:val="18"/>
          <w:szCs w:val="1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 xml:space="preserve"> </w:t>
      </w:r>
      <w:bookmarkStart w:id="1" w:name="_GoBack"/>
      <w:bookmarkEnd w:id="1"/>
      <w:r>
        <w:rPr>
          <w:rFonts w:hint="eastAsia" w:ascii="Times New Roman" w:hAnsi="Times New Roman" w:eastAsia="方正书宋简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Sensitivity analyses for the joint effects of cold wave–PM</w:t>
      </w:r>
      <w:r>
        <w:rPr>
          <w:rFonts w:hint="eastAsia" w:ascii="Times New Roman" w:hAnsi="Times New Roman" w:eastAsia="方正书宋简体" w:cs="Times New Roman"/>
          <w:color w:val="000000" w:themeColor="text1"/>
          <w:sz w:val="18"/>
          <w:szCs w:val="18"/>
          <w:vertAlign w:val="subscript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Times New Roman" w:hAnsi="Times New Roman" w:eastAsia="方正书宋简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compound exposure under different lag structures, covariate adjustments, and model specifications.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604F4B0">
        <w:tc>
          <w:tcPr>
            <w:tcW w:w="12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27CEB13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Analysis type</w:t>
            </w:r>
          </w:p>
        </w:tc>
        <w:tc>
          <w:tcPr>
            <w:tcW w:w="12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0D52DE0B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Specification</w:t>
            </w:r>
          </w:p>
        </w:tc>
        <w:tc>
          <w:tcPr>
            <w:tcW w:w="12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3F1D10EF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CRR (P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91F6F7D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CRR (P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38455ACD"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272BDB75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Main model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588ED0F9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Lag 0–21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79F3C682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08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50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069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18135234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013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54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076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0D330B1C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A1F6C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Lag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4A47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0–28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249AE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1.018 (0.954-1.087)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616A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1.040 (0.978-1.1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07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1ED4193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DDE5A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Adjustment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10D7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+ O3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E265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08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50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069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C11CF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14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55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077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0846EA06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7068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Model df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22B2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Time df=8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C321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04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44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068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8B93C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13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53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077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05A79D23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96A3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BB65E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RH df=4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0151C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48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067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884C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12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53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075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79E671B9">
        <w:tc>
          <w:tcPr>
            <w:tcW w:w="12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43ECCF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E0714D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RH df=5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678857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49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067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E644B4">
            <w:pPr>
              <w:spacing w:after="0" w:line="240" w:lineRule="auto"/>
              <w:jc w:val="center"/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1.0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12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(0.9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53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075</w:t>
            </w:r>
            <w:r>
              <w:rPr>
                <w:rFonts w:ascii="Times New Roman" w:hAnsi="Times New Roman" w:eastAsia="方正书宋简体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</w:tbl>
    <w:p w14:paraId="18A5B93A">
      <w:pPr>
        <w:rPr>
          <w:rFonts w:ascii="Times New Roman" w:hAnsi="Times New Roman" w:eastAsia="方正书宋简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108CE8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jMDI4YTlhOTJmZmI0ZjYwYjdlNTc4NTA0MzUxZDUifQ=="/>
  </w:docVars>
  <w:rsids>
    <w:rsidRoot w:val="00CB1E19"/>
    <w:rsid w:val="000B404A"/>
    <w:rsid w:val="00117F8C"/>
    <w:rsid w:val="001259AC"/>
    <w:rsid w:val="001A7731"/>
    <w:rsid w:val="0023075E"/>
    <w:rsid w:val="00246483"/>
    <w:rsid w:val="00286C90"/>
    <w:rsid w:val="00293F3E"/>
    <w:rsid w:val="00302A41"/>
    <w:rsid w:val="003A0AB5"/>
    <w:rsid w:val="003B2D9D"/>
    <w:rsid w:val="004D2F1F"/>
    <w:rsid w:val="0050108D"/>
    <w:rsid w:val="00510472"/>
    <w:rsid w:val="00604937"/>
    <w:rsid w:val="00632A3D"/>
    <w:rsid w:val="006750C6"/>
    <w:rsid w:val="006D2B89"/>
    <w:rsid w:val="007575E1"/>
    <w:rsid w:val="00782193"/>
    <w:rsid w:val="007D5C4B"/>
    <w:rsid w:val="008E218D"/>
    <w:rsid w:val="00975816"/>
    <w:rsid w:val="00AA4686"/>
    <w:rsid w:val="00AE53BB"/>
    <w:rsid w:val="00AF3112"/>
    <w:rsid w:val="00C93E94"/>
    <w:rsid w:val="00CA0C76"/>
    <w:rsid w:val="00CB1E19"/>
    <w:rsid w:val="00DA058D"/>
    <w:rsid w:val="00E64737"/>
    <w:rsid w:val="00EC00A1"/>
    <w:rsid w:val="00ED3131"/>
    <w:rsid w:val="00F002F7"/>
    <w:rsid w:val="00F77E6C"/>
    <w:rsid w:val="00FE32FF"/>
    <w:rsid w:val="269BAA56"/>
    <w:rsid w:val="62FF1927"/>
    <w:rsid w:val="79FE6EB4"/>
    <w:rsid w:val="7CD7B2DE"/>
    <w:rsid w:val="7FEDB30E"/>
    <w:rsid w:val="AFE7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12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</Words>
  <Characters>1192</Characters>
  <Lines>9</Lines>
  <Paragraphs>2</Paragraphs>
  <TotalTime>13</TotalTime>
  <ScaleCrop>false</ScaleCrop>
  <LinksUpToDate>false</LinksUpToDate>
  <CharactersWithSpaces>1398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2026-06-05T07:49:00Z</dcterms:created>
  <dc:creator>a86218</dc:creator>
  <cp:lastModifiedBy>陈</cp:lastModifiedBy>
  <dcterms:modified xsi:type="dcterms:W3CDTF">2026-08-03T15:25:29Z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FA82BEB7E705202E514F6C6A6BECC6E8_43</vt:lpwstr>
  </property>
</Properties>
</file>