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6373A" w14:textId="77777777" w:rsidR="00EE25E4" w:rsidRPr="00353A5B" w:rsidRDefault="00EE25E4" w:rsidP="00EE25E4">
      <w:pPr>
        <w:spacing w:line="480" w:lineRule="auto"/>
        <w:rPr>
          <w:rFonts w:eastAsia="MS Gothic" w:cs="Times New Roman"/>
          <w:color w:val="000000" w:themeColor="text1"/>
          <w:sz w:val="20"/>
          <w:szCs w:val="20"/>
          <w:lang w:val="en-US" w:eastAsia="ja-JP"/>
        </w:rPr>
      </w:pPr>
      <w:r w:rsidRPr="00353A5B">
        <w:rPr>
          <w:rFonts w:cs="Times New Roman"/>
          <w:b/>
          <w:bCs/>
          <w:color w:val="000000" w:themeColor="text1"/>
          <w:sz w:val="20"/>
          <w:szCs w:val="20"/>
          <w:lang w:val="en-US" w:eastAsia="ja-JP"/>
        </w:rPr>
        <w:t>Supplementary Figure.1</w:t>
      </w:r>
      <w:r w:rsidRPr="00353A5B">
        <w:rPr>
          <w:rFonts w:eastAsia="MS Gothic" w:cs="Times New Roman" w:hint="eastAsia"/>
          <w:b/>
          <w:bCs/>
          <w:color w:val="000000" w:themeColor="text1"/>
          <w:sz w:val="20"/>
          <w:szCs w:val="20"/>
          <w:lang w:val="en-US" w:eastAsia="ja-JP"/>
        </w:rPr>
        <w:t xml:space="preserve">　</w:t>
      </w:r>
      <w:r w:rsidRPr="00353A5B">
        <w:rPr>
          <w:rFonts w:eastAsia="MS Gothic" w:cs="Times New Roman"/>
          <w:color w:val="000000" w:themeColor="text1"/>
          <w:sz w:val="20"/>
          <w:szCs w:val="20"/>
          <w:lang w:val="en-US" w:eastAsia="ja-JP"/>
        </w:rPr>
        <w:t>Detailed UMAP of cell states</w:t>
      </w:r>
    </w:p>
    <w:p w14:paraId="36316BD6" w14:textId="77777777" w:rsidR="00EE25E4" w:rsidRPr="00353A5B" w:rsidRDefault="00EE25E4" w:rsidP="00EE25E4">
      <w:pPr>
        <w:spacing w:line="480" w:lineRule="auto"/>
        <w:rPr>
          <w:rFonts w:cs="Times New Roman"/>
          <w:color w:val="000000" w:themeColor="text1"/>
          <w:sz w:val="20"/>
          <w:szCs w:val="20"/>
          <w:lang w:val="en-US" w:eastAsia="ja-JP"/>
        </w:rPr>
      </w:pPr>
      <w:r w:rsidRPr="00353A5B">
        <w:rPr>
          <w:rFonts w:cs="Times New Roman"/>
          <w:color w:val="000000" w:themeColor="text1"/>
          <w:sz w:val="20"/>
          <w:szCs w:val="20"/>
          <w:lang w:val="en-US" w:eastAsia="ja-JP"/>
        </w:rPr>
        <w:t>Detailed UMAP of cell states (cell types) in the injured spinal cord snRNA-seq (</w:t>
      </w:r>
      <w:r w:rsidRPr="00353A5B">
        <w:rPr>
          <w:rFonts w:cs="Times New Roman"/>
          <w:i/>
          <w:iCs/>
          <w:color w:val="000000" w:themeColor="text1"/>
          <w:sz w:val="20"/>
          <w:szCs w:val="20"/>
          <w:lang w:val="en-US" w:eastAsia="ja-JP"/>
        </w:rPr>
        <w:t>n</w:t>
      </w:r>
      <w:r w:rsidRPr="00353A5B">
        <w:rPr>
          <w:rFonts w:cs="Times New Roman"/>
          <w:color w:val="000000" w:themeColor="text1"/>
          <w:sz w:val="20"/>
          <w:szCs w:val="20"/>
          <w:lang w:val="en-US" w:eastAsia="ja-JP"/>
        </w:rPr>
        <w:t xml:space="preserve"> = 94292) datasets. Astro: Astrocytes, Oligo: Oligodendrocytes, Microglia, OPC: Oligodendrocyte precursor cells, ABC: Arachnoid barrier cells, Endo: Endothelial cells, Ependymal: Ependymal cells, VLMC: Vascular leptomeningeal cells, Lymphoid: Lymphoid cells, Peri: Pericytes, SPVC: Spinal nucleus of the trigeminal, caudal part, SPVI: Spinal nucleus of the trigeminal, interpolar part, PARN: Parvicellular reticular nucleus, MDRN: Medullary reticular nucleus, PGRN: Paragigantocellular reticular nucleus.</w:t>
      </w:r>
    </w:p>
    <w:p w14:paraId="2102BA53" w14:textId="77777777" w:rsidR="00EE25E4" w:rsidRPr="00353A5B" w:rsidRDefault="00EE25E4" w:rsidP="00EE25E4">
      <w:pPr>
        <w:spacing w:line="480" w:lineRule="auto"/>
        <w:rPr>
          <w:rFonts w:cs="Times New Roman"/>
          <w:color w:val="000000" w:themeColor="text1"/>
          <w:sz w:val="20"/>
          <w:szCs w:val="20"/>
          <w:lang w:val="en-US" w:eastAsia="ja-JP"/>
        </w:rPr>
      </w:pPr>
    </w:p>
    <w:p w14:paraId="00B2C3DE" w14:textId="77777777" w:rsidR="00EE25E4" w:rsidRPr="00353A5B" w:rsidRDefault="00EE25E4" w:rsidP="00EE25E4">
      <w:pPr>
        <w:spacing w:line="480" w:lineRule="auto"/>
        <w:rPr>
          <w:rFonts w:eastAsia="MS Gothic" w:cs="Times New Roman"/>
          <w:color w:val="000000" w:themeColor="text1"/>
          <w:sz w:val="20"/>
          <w:szCs w:val="20"/>
          <w:lang w:val="en-US" w:eastAsia="ja-JP"/>
        </w:rPr>
      </w:pPr>
      <w:r w:rsidRPr="00353A5B">
        <w:rPr>
          <w:rFonts w:cs="Times New Roman"/>
          <w:b/>
          <w:bCs/>
          <w:color w:val="000000" w:themeColor="text1"/>
          <w:sz w:val="20"/>
          <w:szCs w:val="20"/>
          <w:lang w:val="en-US" w:eastAsia="ja-JP"/>
        </w:rPr>
        <w:t>Supplementary Figure.2</w:t>
      </w:r>
      <w:r w:rsidRPr="00353A5B">
        <w:rPr>
          <w:rFonts w:eastAsia="MS Gothic" w:cs="Times New Roman"/>
          <w:b/>
          <w:bCs/>
          <w:color w:val="000000" w:themeColor="text1"/>
          <w:sz w:val="20"/>
          <w:szCs w:val="20"/>
          <w:lang w:val="en-US" w:eastAsia="ja-JP"/>
        </w:rPr>
        <w:t xml:space="preserve"> </w:t>
      </w:r>
      <w:r w:rsidRPr="00353A5B">
        <w:rPr>
          <w:rFonts w:eastAsia="MS Gothic" w:cs="Times New Roman"/>
          <w:color w:val="000000" w:themeColor="text1"/>
          <w:sz w:val="20"/>
          <w:szCs w:val="20"/>
          <w:lang w:val="en-US" w:eastAsia="ja-JP"/>
        </w:rPr>
        <w:t xml:space="preserve">Ranking of </w:t>
      </w:r>
      <w:r w:rsidRPr="00353A5B">
        <w:rPr>
          <w:rFonts w:eastAsia="MS Gothic" w:cs="Times New Roman"/>
          <w:i/>
          <w:iCs/>
          <w:color w:val="000000" w:themeColor="text1"/>
          <w:sz w:val="20"/>
          <w:szCs w:val="20"/>
          <w:lang w:val="en-US" w:eastAsia="ja-JP"/>
        </w:rPr>
        <w:t>Col3a1</w:t>
      </w:r>
      <w:r w:rsidRPr="00353A5B">
        <w:rPr>
          <w:rFonts w:eastAsia="MS Gothic" w:cs="Times New Roman"/>
          <w:color w:val="000000" w:themeColor="text1"/>
          <w:sz w:val="20"/>
          <w:szCs w:val="20"/>
          <w:lang w:val="en-US" w:eastAsia="ja-JP"/>
        </w:rPr>
        <w:t xml:space="preserve"> and </w:t>
      </w:r>
      <w:r w:rsidRPr="00353A5B">
        <w:rPr>
          <w:rFonts w:eastAsia="MS Gothic" w:cs="Times New Roman"/>
          <w:i/>
          <w:iCs/>
          <w:color w:val="000000" w:themeColor="text1"/>
          <w:sz w:val="20"/>
          <w:szCs w:val="20"/>
          <w:lang w:val="en-US" w:eastAsia="ja-JP"/>
        </w:rPr>
        <w:t>Adgrg1</w:t>
      </w:r>
      <w:r w:rsidRPr="00353A5B">
        <w:rPr>
          <w:rFonts w:eastAsia="MS Gothic" w:cs="Times New Roman"/>
          <w:color w:val="000000" w:themeColor="text1"/>
          <w:sz w:val="20"/>
          <w:szCs w:val="20"/>
          <w:lang w:val="en-US" w:eastAsia="ja-JP"/>
        </w:rPr>
        <w:t xml:space="preserve"> expression</w:t>
      </w:r>
    </w:p>
    <w:p w14:paraId="6510DA96" w14:textId="77777777" w:rsidR="00EE25E4" w:rsidRPr="00353A5B" w:rsidRDefault="00EE25E4" w:rsidP="00EE25E4">
      <w:pPr>
        <w:spacing w:line="480" w:lineRule="auto"/>
        <w:rPr>
          <w:rFonts w:cs="Times New Roman"/>
          <w:color w:val="000000" w:themeColor="text1"/>
          <w:sz w:val="20"/>
          <w:szCs w:val="20"/>
          <w:lang w:val="en-US" w:eastAsia="ja-JP"/>
        </w:rPr>
      </w:pPr>
      <w:r w:rsidRPr="00353A5B">
        <w:rPr>
          <w:rFonts w:cs="Times New Roman"/>
          <w:color w:val="000000" w:themeColor="text1"/>
          <w:sz w:val="20"/>
          <w:szCs w:val="20"/>
          <w:lang w:val="en-US" w:eastAsia="ja-JP"/>
        </w:rPr>
        <w:t xml:space="preserve">Dot plot showing the top 10 cell clusters ranked by expression levels of </w:t>
      </w:r>
      <w:r w:rsidRPr="00353A5B">
        <w:rPr>
          <w:rFonts w:cs="Times New Roman"/>
          <w:i/>
          <w:iCs/>
          <w:color w:val="000000" w:themeColor="text1"/>
          <w:sz w:val="20"/>
          <w:szCs w:val="20"/>
          <w:lang w:val="en-US" w:eastAsia="ja-JP"/>
        </w:rPr>
        <w:t>Col3a1</w:t>
      </w:r>
      <w:r w:rsidRPr="00353A5B">
        <w:rPr>
          <w:rFonts w:cs="Times New Roman"/>
          <w:color w:val="000000" w:themeColor="text1"/>
          <w:sz w:val="20"/>
          <w:szCs w:val="20"/>
          <w:lang w:val="en-US" w:eastAsia="ja-JP"/>
        </w:rPr>
        <w:t xml:space="preserve"> and </w:t>
      </w:r>
      <w:r w:rsidRPr="00353A5B">
        <w:rPr>
          <w:rFonts w:cs="Times New Roman"/>
          <w:i/>
          <w:iCs/>
          <w:color w:val="000000" w:themeColor="text1"/>
          <w:sz w:val="20"/>
          <w:szCs w:val="20"/>
          <w:lang w:val="en-US" w:eastAsia="ja-JP"/>
        </w:rPr>
        <w:t xml:space="preserve">Adgrg1. </w:t>
      </w:r>
      <w:r w:rsidRPr="00353A5B">
        <w:rPr>
          <w:rFonts w:cs="Times New Roman"/>
          <w:color w:val="000000" w:themeColor="text1"/>
          <w:sz w:val="20"/>
          <w:szCs w:val="20"/>
          <w:lang w:val="en-US" w:eastAsia="ja-JP"/>
        </w:rPr>
        <w:t>Color intensity represents the mean gene expression level; dot size reflects the fraction of cells expressing each gene.</w:t>
      </w:r>
    </w:p>
    <w:p w14:paraId="529E9C83" w14:textId="77777777" w:rsidR="00EE25E4" w:rsidRPr="00353A5B" w:rsidRDefault="00EE25E4" w:rsidP="00EE25E4">
      <w:pPr>
        <w:spacing w:line="480" w:lineRule="auto"/>
        <w:rPr>
          <w:rFonts w:cs="Times New Roman"/>
          <w:color w:val="000000" w:themeColor="text1"/>
          <w:sz w:val="20"/>
          <w:szCs w:val="20"/>
          <w:lang w:val="en-US" w:eastAsia="ja-JP"/>
        </w:rPr>
      </w:pPr>
    </w:p>
    <w:p w14:paraId="29E721BC" w14:textId="77777777" w:rsidR="00EE25E4" w:rsidRPr="00353A5B" w:rsidRDefault="00EE25E4" w:rsidP="00EE25E4">
      <w:pPr>
        <w:spacing w:line="480" w:lineRule="auto"/>
        <w:rPr>
          <w:rFonts w:cs="Times New Roman"/>
          <w:color w:val="000000" w:themeColor="text1"/>
          <w:sz w:val="20"/>
          <w:szCs w:val="20"/>
          <w:lang w:val="en-US" w:eastAsia="ja-JP"/>
        </w:rPr>
      </w:pPr>
      <w:r w:rsidRPr="00353A5B">
        <w:rPr>
          <w:rFonts w:cs="Times New Roman"/>
          <w:b/>
          <w:bCs/>
          <w:color w:val="000000" w:themeColor="text1"/>
          <w:sz w:val="20"/>
          <w:szCs w:val="20"/>
          <w:lang w:val="en-US" w:eastAsia="ja-JP"/>
        </w:rPr>
        <w:t xml:space="preserve">Supplementary Figure.3 </w:t>
      </w:r>
      <w:r w:rsidRPr="00353A5B">
        <w:rPr>
          <w:rFonts w:cs="Times New Roman"/>
          <w:color w:val="000000" w:themeColor="text1"/>
          <w:sz w:val="20"/>
          <w:szCs w:val="20"/>
          <w:lang w:eastAsia="ja-JP"/>
        </w:rPr>
        <w:t>Footprint gait analysis of stride length and width after DHM treatment</w:t>
      </w:r>
    </w:p>
    <w:p w14:paraId="23060277" w14:textId="77777777" w:rsidR="00EE25E4" w:rsidRPr="00353A5B" w:rsidRDefault="00EE25E4" w:rsidP="00EE25E4">
      <w:pPr>
        <w:spacing w:line="480" w:lineRule="auto"/>
        <w:rPr>
          <w:rFonts w:cs="Times New Roman"/>
          <w:b/>
          <w:bCs/>
          <w:color w:val="000000" w:themeColor="text1"/>
          <w:sz w:val="20"/>
          <w:szCs w:val="20"/>
          <w:lang w:val="en-US" w:eastAsia="ja-JP"/>
        </w:rPr>
      </w:pPr>
      <w:r w:rsidRPr="00353A5B">
        <w:rPr>
          <w:rFonts w:cs="Times New Roman"/>
          <w:color w:val="000000" w:themeColor="text1"/>
          <w:sz w:val="20"/>
          <w:szCs w:val="20"/>
          <w:lang w:val="en-US" w:eastAsia="ja-JP"/>
        </w:rPr>
        <w:t>Quantitative analysis of stride length and stride width in the control group and DHM inj group (</w:t>
      </w:r>
      <w:r w:rsidRPr="00353A5B">
        <w:rPr>
          <w:rFonts w:cs="Times New Roman"/>
          <w:i/>
          <w:iCs/>
          <w:color w:val="000000" w:themeColor="text1"/>
          <w:sz w:val="20"/>
          <w:szCs w:val="20"/>
          <w:lang w:val="en-US" w:eastAsia="ja-JP"/>
        </w:rPr>
        <w:t>n</w:t>
      </w:r>
      <w:r w:rsidRPr="00353A5B">
        <w:rPr>
          <w:rFonts w:cs="Times New Roman"/>
          <w:color w:val="000000" w:themeColor="text1"/>
          <w:sz w:val="20"/>
          <w:szCs w:val="20"/>
          <w:lang w:val="en-US" w:eastAsia="ja-JP"/>
        </w:rPr>
        <w:t> = 6). *</w:t>
      </w:r>
      <w:r w:rsidRPr="00353A5B">
        <w:rPr>
          <w:rFonts w:cs="Times New Roman"/>
          <w:i/>
          <w:iCs/>
          <w:color w:val="000000" w:themeColor="text1"/>
          <w:sz w:val="20"/>
          <w:szCs w:val="20"/>
          <w:lang w:val="en-US" w:eastAsia="ja-JP"/>
        </w:rPr>
        <w:t>P</w:t>
      </w:r>
      <w:r w:rsidRPr="00353A5B">
        <w:rPr>
          <w:rFonts w:cs="Times New Roman"/>
          <w:color w:val="000000" w:themeColor="text1"/>
          <w:sz w:val="20"/>
          <w:szCs w:val="20"/>
          <w:lang w:val="en-US" w:eastAsia="ja-JP"/>
        </w:rPr>
        <w:t> &lt; 0.05, **</w:t>
      </w:r>
      <w:r w:rsidRPr="00353A5B">
        <w:rPr>
          <w:rFonts w:cs="Times New Roman"/>
          <w:i/>
          <w:iCs/>
          <w:color w:val="000000" w:themeColor="text1"/>
          <w:sz w:val="20"/>
          <w:szCs w:val="20"/>
          <w:lang w:val="en-US" w:eastAsia="ja-JP"/>
        </w:rPr>
        <w:t>P</w:t>
      </w:r>
      <w:r w:rsidRPr="00353A5B">
        <w:rPr>
          <w:rFonts w:cs="Times New Roman"/>
          <w:color w:val="000000" w:themeColor="text1"/>
          <w:sz w:val="20"/>
          <w:szCs w:val="20"/>
          <w:lang w:val="en-US" w:eastAsia="ja-JP"/>
        </w:rPr>
        <w:t> &lt; 0.01, unpaired </w:t>
      </w:r>
      <w:r w:rsidRPr="00353A5B">
        <w:rPr>
          <w:rFonts w:cs="Times New Roman"/>
          <w:i/>
          <w:iCs/>
          <w:color w:val="000000" w:themeColor="text1"/>
          <w:sz w:val="20"/>
          <w:szCs w:val="20"/>
          <w:lang w:val="en-US" w:eastAsia="ja-JP"/>
        </w:rPr>
        <w:t>t</w:t>
      </w:r>
      <w:r w:rsidRPr="00353A5B">
        <w:rPr>
          <w:rFonts w:cs="Times New Roman"/>
          <w:color w:val="000000" w:themeColor="text1"/>
          <w:sz w:val="20"/>
          <w:szCs w:val="20"/>
          <w:lang w:val="en-US" w:eastAsia="ja-JP"/>
        </w:rPr>
        <w:t>-test. Data represent the mean ± s.e.m.</w:t>
      </w:r>
    </w:p>
    <w:p w14:paraId="3899488D" w14:textId="77777777" w:rsidR="00EE25E4" w:rsidRPr="00353A5B" w:rsidRDefault="00EE25E4" w:rsidP="00EE25E4">
      <w:pPr>
        <w:spacing w:line="480" w:lineRule="auto"/>
        <w:rPr>
          <w:rFonts w:cs="Times New Roman"/>
          <w:b/>
          <w:bCs/>
          <w:color w:val="000000" w:themeColor="text1"/>
          <w:sz w:val="20"/>
          <w:szCs w:val="20"/>
          <w:lang w:val="en-US" w:eastAsia="ja-JP"/>
        </w:rPr>
      </w:pPr>
    </w:p>
    <w:p w14:paraId="6B812156" w14:textId="77777777" w:rsidR="00EE25E4" w:rsidRPr="00353A5B" w:rsidRDefault="00EE25E4" w:rsidP="00EE25E4">
      <w:pPr>
        <w:spacing w:line="480" w:lineRule="auto"/>
        <w:rPr>
          <w:rFonts w:cs="Times New Roman"/>
          <w:b/>
          <w:bCs/>
          <w:color w:val="000000" w:themeColor="text1"/>
          <w:sz w:val="20"/>
          <w:szCs w:val="20"/>
          <w:lang w:val="en-US" w:eastAsia="ja-JP"/>
        </w:rPr>
      </w:pPr>
      <w:r w:rsidRPr="00353A5B">
        <w:rPr>
          <w:rFonts w:cs="Times New Roman"/>
          <w:b/>
          <w:bCs/>
          <w:color w:val="000000" w:themeColor="text1"/>
          <w:sz w:val="20"/>
          <w:szCs w:val="20"/>
          <w:lang w:val="en-US" w:eastAsia="ja-JP"/>
        </w:rPr>
        <w:t>Supplementary Figure.4</w:t>
      </w:r>
      <w:r w:rsidRPr="00353A5B">
        <w:rPr>
          <w:rFonts w:cs="Times New Roman"/>
          <w:color w:val="000000" w:themeColor="text1"/>
          <w:sz w:val="20"/>
          <w:szCs w:val="20"/>
          <w:lang w:val="en-US" w:eastAsia="ja-JP"/>
        </w:rPr>
        <w:t xml:space="preserve"> </w:t>
      </w:r>
      <w:r w:rsidRPr="00353A5B">
        <w:rPr>
          <w:rFonts w:cs="Times New Roman"/>
          <w:color w:val="000000" w:themeColor="text1"/>
          <w:sz w:val="20"/>
          <w:szCs w:val="20"/>
          <w:lang w:eastAsia="ja-JP"/>
        </w:rPr>
        <w:t xml:space="preserve">Validation of astrocyte-specific </w:t>
      </w:r>
      <w:r w:rsidRPr="00353A5B">
        <w:rPr>
          <w:rFonts w:cs="Times New Roman"/>
          <w:i/>
          <w:iCs/>
          <w:color w:val="000000" w:themeColor="text1"/>
          <w:sz w:val="20"/>
          <w:szCs w:val="20"/>
          <w:lang w:eastAsia="ja-JP"/>
        </w:rPr>
        <w:t>Adgrg1</w:t>
      </w:r>
      <w:r w:rsidRPr="00353A5B">
        <w:rPr>
          <w:rFonts w:cs="Times New Roman"/>
          <w:color w:val="000000" w:themeColor="text1"/>
          <w:sz w:val="20"/>
          <w:szCs w:val="20"/>
          <w:lang w:eastAsia="ja-JP"/>
        </w:rPr>
        <w:t xml:space="preserve"> knockdown by AAV-</w:t>
      </w:r>
      <w:r w:rsidRPr="00353A5B">
        <w:rPr>
          <w:rFonts w:cs="Times New Roman"/>
          <w:i/>
          <w:iCs/>
          <w:color w:val="000000" w:themeColor="text1"/>
          <w:sz w:val="20"/>
          <w:szCs w:val="20"/>
          <w:lang w:eastAsia="ja-JP"/>
        </w:rPr>
        <w:t>Gfap</w:t>
      </w:r>
      <w:r w:rsidRPr="00353A5B">
        <w:rPr>
          <w:rFonts w:cs="Times New Roman"/>
          <w:color w:val="000000" w:themeColor="text1"/>
          <w:sz w:val="20"/>
          <w:szCs w:val="20"/>
          <w:lang w:eastAsia="ja-JP"/>
        </w:rPr>
        <w:t>-</w:t>
      </w:r>
      <w:r w:rsidRPr="00353A5B">
        <w:rPr>
          <w:rFonts w:cs="Times New Roman"/>
          <w:i/>
          <w:iCs/>
          <w:color w:val="000000" w:themeColor="text1"/>
          <w:sz w:val="20"/>
          <w:szCs w:val="20"/>
          <w:lang w:eastAsia="ja-JP"/>
        </w:rPr>
        <w:t>shAdgrg1</w:t>
      </w:r>
    </w:p>
    <w:p w14:paraId="53E8D175" w14:textId="77777777" w:rsidR="00EE25E4" w:rsidRPr="00353A5B" w:rsidRDefault="00EE25E4" w:rsidP="00EE25E4">
      <w:pPr>
        <w:spacing w:line="480" w:lineRule="auto"/>
        <w:rPr>
          <w:rFonts w:cs="Times New Roman"/>
          <w:color w:val="000000" w:themeColor="text1"/>
          <w:sz w:val="20"/>
          <w:szCs w:val="20"/>
          <w:lang w:val="en-US" w:eastAsia="ja-JP"/>
        </w:rPr>
      </w:pPr>
      <w:r w:rsidRPr="00353A5B">
        <w:rPr>
          <w:rFonts w:cs="Times New Roman"/>
          <w:i/>
          <w:iCs/>
          <w:color w:val="000000" w:themeColor="text1"/>
          <w:sz w:val="20"/>
          <w:szCs w:val="20"/>
          <w:lang w:val="en-US" w:eastAsia="ja-JP"/>
        </w:rPr>
        <w:t>Adgrg1</w:t>
      </w:r>
      <w:r w:rsidRPr="00353A5B">
        <w:rPr>
          <w:rFonts w:cs="Times New Roman"/>
          <w:color w:val="000000" w:themeColor="text1"/>
          <w:sz w:val="20"/>
          <w:szCs w:val="20"/>
          <w:lang w:val="en-US" w:eastAsia="ja-JP"/>
        </w:rPr>
        <w:t xml:space="preserve"> expression between naïve astrocytes and astrocytes infected with AAV-</w:t>
      </w:r>
      <w:r w:rsidRPr="00353A5B">
        <w:rPr>
          <w:rFonts w:cs="Times New Roman"/>
          <w:i/>
          <w:iCs/>
          <w:color w:val="000000" w:themeColor="text1"/>
          <w:sz w:val="20"/>
          <w:szCs w:val="20"/>
          <w:lang w:val="en-US" w:eastAsia="ja-JP"/>
        </w:rPr>
        <w:t>Gfap</w:t>
      </w:r>
      <w:r w:rsidRPr="00353A5B">
        <w:rPr>
          <w:rFonts w:cs="Times New Roman"/>
          <w:color w:val="000000" w:themeColor="text1"/>
          <w:sz w:val="20"/>
          <w:szCs w:val="20"/>
          <w:lang w:val="en-US" w:eastAsia="ja-JP"/>
        </w:rPr>
        <w:t>-</w:t>
      </w:r>
      <w:r w:rsidRPr="00353A5B">
        <w:rPr>
          <w:rFonts w:cs="Times New Roman"/>
          <w:i/>
          <w:iCs/>
          <w:color w:val="000000" w:themeColor="text1"/>
          <w:sz w:val="20"/>
          <w:szCs w:val="20"/>
          <w:lang w:val="en-US" w:eastAsia="ja-JP"/>
        </w:rPr>
        <w:t>shAdgrg1</w:t>
      </w:r>
      <w:r w:rsidRPr="00353A5B">
        <w:rPr>
          <w:rFonts w:cs="Times New Roman"/>
          <w:color w:val="000000" w:themeColor="text1"/>
          <w:sz w:val="20"/>
          <w:szCs w:val="20"/>
          <w:lang w:val="en-US" w:eastAsia="ja-JP"/>
        </w:rPr>
        <w:t>-</w:t>
      </w:r>
      <w:r w:rsidRPr="00353A5B">
        <w:rPr>
          <w:rFonts w:cs="Times New Roman"/>
          <w:i/>
          <w:iCs/>
          <w:color w:val="000000" w:themeColor="text1"/>
          <w:sz w:val="20"/>
          <w:szCs w:val="20"/>
          <w:lang w:val="en-US" w:eastAsia="ja-JP"/>
        </w:rPr>
        <w:t xml:space="preserve">Egfp </w:t>
      </w:r>
      <w:r w:rsidRPr="00353A5B">
        <w:rPr>
          <w:rFonts w:cs="Times New Roman"/>
          <w:color w:val="000000" w:themeColor="text1"/>
          <w:sz w:val="20"/>
          <w:szCs w:val="20"/>
          <w:lang w:val="en-US" w:eastAsia="ja-JP"/>
        </w:rPr>
        <w:t>(</w:t>
      </w:r>
      <w:r w:rsidRPr="00353A5B">
        <w:rPr>
          <w:rFonts w:cs="Times New Roman"/>
          <w:i/>
          <w:iCs/>
          <w:color w:val="000000" w:themeColor="text1"/>
          <w:sz w:val="20"/>
          <w:szCs w:val="20"/>
          <w:lang w:val="en-US" w:eastAsia="ja-JP"/>
        </w:rPr>
        <w:t>n</w:t>
      </w:r>
      <w:r w:rsidRPr="00353A5B">
        <w:rPr>
          <w:rFonts w:cs="Times New Roman"/>
          <w:color w:val="000000" w:themeColor="text1"/>
          <w:sz w:val="20"/>
          <w:szCs w:val="20"/>
          <w:lang w:val="en-US" w:eastAsia="ja-JP"/>
        </w:rPr>
        <w:t> = 5). *</w:t>
      </w:r>
      <w:r w:rsidRPr="00353A5B">
        <w:rPr>
          <w:rFonts w:cs="Times New Roman"/>
          <w:i/>
          <w:iCs/>
          <w:color w:val="000000" w:themeColor="text1"/>
          <w:sz w:val="20"/>
          <w:szCs w:val="20"/>
          <w:lang w:val="en-US" w:eastAsia="ja-JP"/>
        </w:rPr>
        <w:t>P</w:t>
      </w:r>
      <w:r w:rsidRPr="00353A5B">
        <w:rPr>
          <w:rFonts w:cs="Times New Roman"/>
          <w:color w:val="000000" w:themeColor="text1"/>
          <w:sz w:val="20"/>
          <w:szCs w:val="20"/>
          <w:lang w:val="en-US" w:eastAsia="ja-JP"/>
        </w:rPr>
        <w:t xml:space="preserve"> &lt; 0.05</w:t>
      </w:r>
      <w:r w:rsidRPr="00353A5B">
        <w:rPr>
          <w:rFonts w:cs="Times New Roman"/>
          <w:i/>
          <w:iCs/>
          <w:color w:val="000000" w:themeColor="text1"/>
          <w:sz w:val="20"/>
          <w:szCs w:val="20"/>
          <w:lang w:val="en-US" w:eastAsia="ja-JP"/>
        </w:rPr>
        <w:t>,</w:t>
      </w:r>
      <w:r w:rsidRPr="00353A5B">
        <w:rPr>
          <w:rFonts w:cs="Times New Roman"/>
          <w:color w:val="000000" w:themeColor="text1"/>
          <w:sz w:val="20"/>
          <w:szCs w:val="20"/>
          <w:lang w:val="en-US" w:eastAsia="ja-JP"/>
        </w:rPr>
        <w:t xml:space="preserve"> unpaired t-test</w:t>
      </w:r>
      <w:r w:rsidRPr="00353A5B">
        <w:rPr>
          <w:rFonts w:cs="Times New Roman"/>
          <w:i/>
          <w:iCs/>
          <w:color w:val="000000" w:themeColor="text1"/>
          <w:sz w:val="20"/>
          <w:szCs w:val="20"/>
          <w:lang w:val="en-US" w:eastAsia="ja-JP"/>
        </w:rPr>
        <w:t>.</w:t>
      </w:r>
      <w:r w:rsidRPr="00353A5B">
        <w:rPr>
          <w:rFonts w:cs="Times New Roman"/>
          <w:color w:val="000000" w:themeColor="text1"/>
          <w:sz w:val="20"/>
          <w:szCs w:val="20"/>
          <w:lang w:val="en-US" w:eastAsia="ja-JP"/>
        </w:rPr>
        <w:t xml:space="preserve"> Data represent the mean ± s.e.m.</w:t>
      </w:r>
    </w:p>
    <w:p w14:paraId="25B86107" w14:textId="77777777" w:rsidR="00EE25E4" w:rsidRPr="00353A5B" w:rsidRDefault="00EE25E4" w:rsidP="00EE25E4">
      <w:pPr>
        <w:spacing w:line="480" w:lineRule="auto"/>
        <w:rPr>
          <w:rFonts w:cs="Times New Roman"/>
          <w:color w:val="000000" w:themeColor="text1"/>
          <w:sz w:val="20"/>
          <w:szCs w:val="20"/>
          <w:lang w:val="en-US" w:eastAsia="ja-JP"/>
        </w:rPr>
      </w:pPr>
    </w:p>
    <w:p w14:paraId="2D6F161F" w14:textId="77777777" w:rsidR="00EE25E4" w:rsidRPr="00353A5B" w:rsidRDefault="00EE25E4" w:rsidP="00EE25E4">
      <w:pPr>
        <w:spacing w:line="480" w:lineRule="auto"/>
        <w:rPr>
          <w:rFonts w:eastAsia="MS Gothic" w:cs="Times New Roman"/>
          <w:color w:val="000000" w:themeColor="text1"/>
          <w:sz w:val="20"/>
          <w:szCs w:val="20"/>
          <w:lang w:val="en-US" w:eastAsia="ja-JP"/>
        </w:rPr>
      </w:pPr>
      <w:r w:rsidRPr="00353A5B">
        <w:rPr>
          <w:rFonts w:cs="Times New Roman"/>
          <w:b/>
          <w:bCs/>
          <w:color w:val="000000" w:themeColor="text1"/>
          <w:sz w:val="20"/>
          <w:szCs w:val="20"/>
          <w:lang w:val="en-US" w:eastAsia="ja-JP"/>
        </w:rPr>
        <w:t>Supplementary Figure.5</w:t>
      </w:r>
      <w:r w:rsidRPr="00353A5B">
        <w:rPr>
          <w:rFonts w:eastAsia="MS Gothic" w:cs="Times New Roman"/>
          <w:b/>
          <w:bCs/>
          <w:color w:val="000000" w:themeColor="text1"/>
          <w:sz w:val="20"/>
          <w:szCs w:val="20"/>
          <w:lang w:val="en-US" w:eastAsia="ja-JP"/>
        </w:rPr>
        <w:t xml:space="preserve"> </w:t>
      </w:r>
      <w:r w:rsidRPr="00353A5B">
        <w:rPr>
          <w:rFonts w:eastAsia="MS Gothic" w:cs="Times New Roman"/>
          <w:color w:val="000000" w:themeColor="text1"/>
          <w:sz w:val="20"/>
          <w:szCs w:val="20"/>
          <w:lang w:eastAsia="ja-JP"/>
        </w:rPr>
        <w:t xml:space="preserve">Maximum astrocyte process length </w:t>
      </w:r>
    </w:p>
    <w:p w14:paraId="19B06F2B" w14:textId="77777777" w:rsidR="00EE25E4" w:rsidRPr="00353A5B" w:rsidRDefault="00EE25E4" w:rsidP="00EE25E4">
      <w:pPr>
        <w:spacing w:line="480" w:lineRule="auto"/>
        <w:rPr>
          <w:rFonts w:cs="Times New Roman"/>
          <w:color w:val="000000" w:themeColor="text1"/>
          <w:sz w:val="20"/>
          <w:szCs w:val="20"/>
          <w:lang w:val="en-US" w:eastAsia="ja-JP"/>
        </w:rPr>
      </w:pPr>
      <w:r w:rsidRPr="00353A5B">
        <w:rPr>
          <w:rFonts w:cs="Times New Roman"/>
          <w:color w:val="000000" w:themeColor="text1"/>
          <w:sz w:val="20"/>
          <w:szCs w:val="20"/>
          <w:lang w:val="en-US" w:eastAsia="ja-JP"/>
        </w:rPr>
        <w:t>Quantitative analysis of maximum</w:t>
      </w:r>
      <w:r w:rsidRPr="00353A5B">
        <w:rPr>
          <w:rFonts w:cs="Times New Roman"/>
          <w:b/>
          <w:bCs/>
          <w:color w:val="000000" w:themeColor="text1"/>
          <w:sz w:val="20"/>
          <w:szCs w:val="20"/>
          <w:lang w:val="en-US" w:eastAsia="ja-JP"/>
        </w:rPr>
        <w:t xml:space="preserve"> </w:t>
      </w:r>
      <w:r w:rsidRPr="00353A5B">
        <w:rPr>
          <w:rFonts w:cs="Times New Roman"/>
          <w:color w:val="000000" w:themeColor="text1"/>
          <w:sz w:val="20"/>
          <w:szCs w:val="20"/>
          <w:lang w:val="en-US" w:eastAsia="ja-JP"/>
        </w:rPr>
        <w:t>astrocyte process length cultured on poly-L-lysine, type III collagen, or type III collagen with DHM (</w:t>
      </w:r>
      <w:r w:rsidRPr="00353A5B">
        <w:rPr>
          <w:rFonts w:cs="Times New Roman"/>
          <w:i/>
          <w:iCs/>
          <w:color w:val="000000" w:themeColor="text1"/>
          <w:sz w:val="20"/>
          <w:szCs w:val="20"/>
          <w:lang w:val="en-US" w:eastAsia="ja-JP"/>
        </w:rPr>
        <w:t>n</w:t>
      </w:r>
      <w:r w:rsidRPr="00353A5B">
        <w:rPr>
          <w:rFonts w:cs="Times New Roman"/>
          <w:color w:val="000000" w:themeColor="text1"/>
          <w:sz w:val="20"/>
          <w:szCs w:val="20"/>
          <w:lang w:val="en-US" w:eastAsia="ja-JP"/>
        </w:rPr>
        <w:t> = 6). **</w:t>
      </w:r>
      <w:r w:rsidRPr="00353A5B">
        <w:rPr>
          <w:rFonts w:cs="Times New Roman"/>
          <w:i/>
          <w:iCs/>
          <w:color w:val="000000" w:themeColor="text1"/>
          <w:sz w:val="20"/>
          <w:szCs w:val="20"/>
          <w:lang w:val="en-US" w:eastAsia="ja-JP"/>
        </w:rPr>
        <w:t>P</w:t>
      </w:r>
      <w:r w:rsidRPr="00353A5B">
        <w:rPr>
          <w:rFonts w:cs="Times New Roman"/>
          <w:color w:val="000000" w:themeColor="text1"/>
          <w:sz w:val="20"/>
          <w:szCs w:val="20"/>
          <w:lang w:val="en-US" w:eastAsia="ja-JP"/>
        </w:rPr>
        <w:t xml:space="preserve"> &lt; 0.005, one-way ANOVA. Data represent the mean ± s.e.m. </w:t>
      </w:r>
    </w:p>
    <w:p w14:paraId="20A5782D" w14:textId="77777777" w:rsidR="00EE25E4" w:rsidRPr="00353A5B" w:rsidRDefault="00EE25E4" w:rsidP="00EE25E4">
      <w:pPr>
        <w:spacing w:line="480" w:lineRule="auto"/>
        <w:rPr>
          <w:rFonts w:cs="Times New Roman"/>
          <w:color w:val="000000" w:themeColor="text1"/>
          <w:sz w:val="20"/>
          <w:szCs w:val="20"/>
          <w:lang w:val="en-US" w:eastAsia="ja-JP"/>
        </w:rPr>
      </w:pPr>
    </w:p>
    <w:p w14:paraId="070008A1" w14:textId="77777777" w:rsidR="00EE25E4" w:rsidRPr="00353A5B" w:rsidRDefault="00EE25E4" w:rsidP="00EE25E4">
      <w:pPr>
        <w:spacing w:line="480" w:lineRule="auto"/>
        <w:rPr>
          <w:rFonts w:cs="Times New Roman"/>
          <w:b/>
          <w:bCs/>
          <w:color w:val="000000" w:themeColor="text1"/>
          <w:sz w:val="20"/>
          <w:szCs w:val="20"/>
          <w:lang w:val="en-US" w:eastAsia="ja-JP"/>
        </w:rPr>
      </w:pPr>
      <w:r w:rsidRPr="00353A5B">
        <w:rPr>
          <w:rFonts w:cs="Times New Roman"/>
          <w:b/>
          <w:bCs/>
          <w:color w:val="000000" w:themeColor="text1"/>
          <w:sz w:val="20"/>
          <w:szCs w:val="20"/>
          <w:lang w:val="en-US" w:eastAsia="ja-JP"/>
        </w:rPr>
        <w:t xml:space="preserve">Supplementary Figure.6 </w:t>
      </w:r>
      <w:r w:rsidRPr="00353A5B">
        <w:rPr>
          <w:rFonts w:cs="Times New Roman"/>
          <w:color w:val="000000" w:themeColor="text1"/>
          <w:sz w:val="20"/>
          <w:szCs w:val="20"/>
          <w:lang w:eastAsia="ja-JP"/>
        </w:rPr>
        <w:t>Astrocyte migration speed</w:t>
      </w:r>
    </w:p>
    <w:p w14:paraId="2757B765" w14:textId="77777777" w:rsidR="00EE25E4" w:rsidRPr="00353A5B" w:rsidRDefault="00EE25E4" w:rsidP="00EE25E4">
      <w:pPr>
        <w:spacing w:line="480" w:lineRule="auto"/>
        <w:rPr>
          <w:rFonts w:cs="Times New Roman"/>
          <w:b/>
          <w:bCs/>
          <w:i/>
          <w:iCs/>
          <w:color w:val="000000" w:themeColor="text1"/>
          <w:sz w:val="20"/>
          <w:szCs w:val="20"/>
          <w:lang w:val="en-US" w:eastAsia="ja-JP"/>
        </w:rPr>
      </w:pPr>
      <w:r w:rsidRPr="00353A5B">
        <w:rPr>
          <w:rFonts w:cs="Times New Roman"/>
          <w:color w:val="000000" w:themeColor="text1"/>
          <w:sz w:val="20"/>
          <w:szCs w:val="20"/>
          <w:lang w:val="en-US" w:eastAsia="ja-JP"/>
        </w:rPr>
        <w:lastRenderedPageBreak/>
        <w:t>Quantitative analysis of astrocyte migration speed on poly-L-lysine, type III collagen, or type III collagen with DHM. Each dot represents an individual measurement (36 measurements per well; 216 measurements per group from n = 6 wells). **P &lt; 0.005, one-way ANOVA performed on per-well mean values. Data represent the mean ± s.e.m.</w:t>
      </w:r>
    </w:p>
    <w:p w14:paraId="6B236C4A" w14:textId="77777777" w:rsidR="00EE25E4" w:rsidRPr="00353A5B" w:rsidRDefault="00EE25E4" w:rsidP="00EE25E4">
      <w:pPr>
        <w:spacing w:line="480" w:lineRule="auto"/>
        <w:rPr>
          <w:rFonts w:cs="Times New Roman"/>
          <w:b/>
          <w:bCs/>
          <w:i/>
          <w:iCs/>
          <w:color w:val="000000" w:themeColor="text1"/>
          <w:sz w:val="20"/>
          <w:szCs w:val="20"/>
          <w:lang w:val="en-US" w:eastAsia="ja-JP"/>
        </w:rPr>
      </w:pPr>
    </w:p>
    <w:p w14:paraId="48FE417A" w14:textId="77777777" w:rsidR="00EE25E4" w:rsidRPr="00353A5B" w:rsidRDefault="00EE25E4" w:rsidP="00EE25E4">
      <w:pPr>
        <w:spacing w:line="480" w:lineRule="auto"/>
        <w:rPr>
          <w:rFonts w:cs="Times New Roman"/>
          <w:color w:val="000000" w:themeColor="text1"/>
          <w:sz w:val="20"/>
          <w:szCs w:val="20"/>
          <w:lang w:val="en-US" w:eastAsia="ja-JP"/>
        </w:rPr>
      </w:pPr>
      <w:r w:rsidRPr="00353A5B">
        <w:rPr>
          <w:rFonts w:cs="Times New Roman"/>
          <w:b/>
          <w:bCs/>
          <w:color w:val="000000" w:themeColor="text1"/>
          <w:sz w:val="20"/>
          <w:szCs w:val="20"/>
          <w:lang w:val="en-US" w:eastAsia="ja-JP"/>
        </w:rPr>
        <w:t xml:space="preserve">Supplementary Table 1. </w:t>
      </w:r>
      <w:r w:rsidRPr="00353A5B">
        <w:rPr>
          <w:rFonts w:cs="Times New Roman"/>
          <w:color w:val="000000" w:themeColor="text1"/>
          <w:sz w:val="20"/>
          <w:szCs w:val="20"/>
          <w:lang w:val="en-US" w:eastAsia="ja-JP"/>
        </w:rPr>
        <w:t>Primers used for quantitative RT-PCR</w:t>
      </w:r>
    </w:p>
    <w:p w14:paraId="5D22C30E" w14:textId="77777777" w:rsidR="00EE25E4" w:rsidRPr="00353A5B" w:rsidRDefault="00EE25E4" w:rsidP="00EE25E4">
      <w:pPr>
        <w:spacing w:line="480" w:lineRule="auto"/>
        <w:rPr>
          <w:rFonts w:cs="Times New Roman"/>
          <w:color w:val="000000" w:themeColor="text1"/>
          <w:sz w:val="20"/>
          <w:szCs w:val="20"/>
          <w:lang w:val="en-US" w:eastAsia="ja-JP"/>
        </w:rPr>
      </w:pPr>
      <w:r w:rsidRPr="00353A5B">
        <w:rPr>
          <w:rFonts w:cs="Times New Roman"/>
          <w:color w:val="000000" w:themeColor="text1"/>
          <w:sz w:val="20"/>
          <w:szCs w:val="20"/>
          <w:lang w:eastAsia="ja-JP"/>
        </w:rPr>
        <w:t>Primer sequences used for RT-qPCR. List of the forward and reverse primer sequences (5′→3′) for all genes analysed by RT-qPCR in this study. GAPDH was used as the reference gene for normalisation.</w:t>
      </w:r>
    </w:p>
    <w:p w14:paraId="19A1D2D8" w14:textId="77777777" w:rsidR="00EE25E4" w:rsidRPr="00353A5B" w:rsidRDefault="00EE25E4" w:rsidP="00EE25E4">
      <w:pPr>
        <w:spacing w:line="480" w:lineRule="auto"/>
        <w:rPr>
          <w:rFonts w:cs="Times New Roman"/>
          <w:color w:val="000000" w:themeColor="text1"/>
          <w:sz w:val="20"/>
          <w:szCs w:val="20"/>
          <w:lang w:val="en-US" w:eastAsia="ja-JP"/>
        </w:rPr>
      </w:pPr>
    </w:p>
    <w:p w14:paraId="4FBCA724" w14:textId="77777777" w:rsidR="00DE6AE2" w:rsidRDefault="00DE6AE2"/>
    <w:sectPr w:rsidR="00DE6AE2" w:rsidSect="00EE25E4">
      <w:headerReference w:type="default" r:id="rId4"/>
      <w:footerReference w:type="even" r:id="rId5"/>
      <w:footerReference w:type="default" r:id="rId6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13708924"/>
      <w:docPartObj>
        <w:docPartGallery w:val="Page Numbers (Bottom of Page)"/>
        <w:docPartUnique/>
      </w:docPartObj>
    </w:sdtPr>
    <w:sdtContent>
      <w:p w14:paraId="4EE79D5C" w14:textId="77777777" w:rsidR="00EE25E4" w:rsidRDefault="00EE25E4" w:rsidP="00201CE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68CA12C" w14:textId="77777777" w:rsidR="00EE25E4" w:rsidRDefault="00EE25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597712800"/>
      <w:docPartObj>
        <w:docPartGallery w:val="Page Numbers (Bottom of Page)"/>
        <w:docPartUnique/>
      </w:docPartObj>
    </w:sdtPr>
    <w:sdtContent>
      <w:p w14:paraId="09BD0CAA" w14:textId="77777777" w:rsidR="00EE25E4" w:rsidRDefault="00EE25E4" w:rsidP="00201CE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22</w:t>
        </w:r>
        <w:r>
          <w:rPr>
            <w:rStyle w:val="PageNumber"/>
          </w:rPr>
          <w:fldChar w:fldCharType="end"/>
        </w:r>
      </w:p>
    </w:sdtContent>
  </w:sdt>
  <w:p w14:paraId="349B92FA" w14:textId="77777777" w:rsidR="00EE25E4" w:rsidRDefault="00EE25E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26B61" w14:textId="77777777" w:rsidR="00EE25E4" w:rsidRDefault="00EE25E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5E4"/>
    <w:rsid w:val="00195413"/>
    <w:rsid w:val="003A03A7"/>
    <w:rsid w:val="003D0186"/>
    <w:rsid w:val="007278E4"/>
    <w:rsid w:val="00A3738C"/>
    <w:rsid w:val="00B91ABC"/>
    <w:rsid w:val="00B92842"/>
    <w:rsid w:val="00BC6C35"/>
    <w:rsid w:val="00CB270D"/>
    <w:rsid w:val="00CF7583"/>
    <w:rsid w:val="00DE6AE2"/>
    <w:rsid w:val="00EE2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F0199"/>
  <w15:chartTrackingRefBased/>
  <w15:docId w15:val="{DF550F81-9F33-463E-81F8-94F85B88C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5E4"/>
    <w:pPr>
      <w:spacing w:before="120" w:after="0" w:line="360" w:lineRule="auto"/>
      <w:jc w:val="both"/>
    </w:pPr>
    <w:rPr>
      <w:rFonts w:ascii="Times New Roman" w:hAnsi="Times New Roman"/>
      <w:kern w:val="0"/>
      <w:szCs w:val="22"/>
      <w:lang w:val="en-C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25E4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25E4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25E4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25E4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25E4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25E4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25E4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25E4"/>
    <w:pPr>
      <w:keepNext/>
      <w:keepLines/>
      <w:spacing w:before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25E4"/>
    <w:pPr>
      <w:keepNext/>
      <w:keepLines/>
      <w:spacing w:before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25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25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25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25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25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25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25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25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25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25E4"/>
    <w:pPr>
      <w:spacing w:before="0"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E25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25E4"/>
    <w:pPr>
      <w:numPr>
        <w:ilvl w:val="1"/>
      </w:numPr>
      <w:spacing w:before="0"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E25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25E4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E25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25E4"/>
    <w:pPr>
      <w:spacing w:before="0" w:after="160" w:line="278" w:lineRule="auto"/>
      <w:ind w:left="720"/>
      <w:contextualSpacing/>
      <w:jc w:val="left"/>
    </w:pPr>
    <w:rPr>
      <w:rFonts w:asciiTheme="minorHAnsi" w:hAnsiTheme="minorHAnsi"/>
      <w:kern w:val="2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E25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25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25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25E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E25E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25E4"/>
    <w:rPr>
      <w:rFonts w:ascii="Times New Roman" w:hAnsi="Times New Roman"/>
      <w:kern w:val="0"/>
      <w:szCs w:val="22"/>
      <w:lang w:val="en-C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E25E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25E4"/>
    <w:rPr>
      <w:rFonts w:ascii="Times New Roman" w:hAnsi="Times New Roman"/>
      <w:kern w:val="0"/>
      <w:szCs w:val="22"/>
      <w:lang w:val="en-CA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EE25E4"/>
  </w:style>
  <w:style w:type="character" w:styleId="LineNumber">
    <w:name w:val="line number"/>
    <w:basedOn w:val="DefaultParagraphFont"/>
    <w:uiPriority w:val="99"/>
    <w:semiHidden/>
    <w:unhideWhenUsed/>
    <w:rsid w:val="00EE2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2002</Characters>
  <Application>Microsoft Office Word</Application>
  <DocSecurity>0</DocSecurity>
  <Lines>16</Lines>
  <Paragraphs>4</Paragraphs>
  <ScaleCrop>false</ScaleCrop>
  <Company>Springer Nature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2026-08-12T13:21:00Z</dcterms:created>
  <dcterms:modified xsi:type="dcterms:W3CDTF">2026-08-12T13:22:00Z</dcterms:modified>
</cp:coreProperties>
</file>