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pPr>
      <w:r>
        <w:rPr>
          <w:b/>
          <w:sz w:val="28"/>
        </w:rPr>
        <w:t>Additional file: Self-Administered Questionnaire</w:t>
      </w:r>
    </w:p>
    <w:p>
      <w:r>
        <w:rPr>
          <w:b w:val="0"/>
          <w:i/>
        </w:rPr>
        <w:t>Self-reported antibiotic stewardship practices and perceived barriers and facilitators among healthcare workers in three tertiary hospitals in Sierra Leone: a convergent mixed-methods study</w:t>
      </w:r>
    </w:p>
    <w:p>
      <w:r>
        <w:rPr>
          <w:b w:val="0"/>
          <w:i w:val="0"/>
        </w:rPr>
        <w:t>This questionnaire was developed for the present study, adapting selected items (Section C: Beliefs on factors contributing to antimicrobial resistance) from the survey instrument used by Gebretekle et al. (2018),¹ which was itself adapted from the GNYHA/UHF Antimicrobial Stewardship Collaborative toolkit.² All other sections (demographic characteristics and self-reported prescribing practices) were developed specifically for this study to reflect the Sierra Leone hospital context.</w:t>
      </w:r>
    </w:p>
    <w:p>
      <w:pPr>
        <w:spacing w:before="240" w:after="120"/>
      </w:pPr>
      <w:r>
        <w:rPr>
          <w:b/>
          <w:sz w:val="26"/>
        </w:rPr>
        <w:t>Participant information and consent</w:t>
      </w:r>
    </w:p>
    <w:p>
      <w:r>
        <w:rPr>
          <w:b w:val="0"/>
          <w:i w:val="0"/>
        </w:rPr>
        <w:t>This questionnaire is part of a research study investigating antibiotic prescribing practices and the barriers and facilitators to rational antibiotic use among healthcare workers at the University of Sierra Leone Teaching Hospitals Complex. Participation is entirely voluntary and you are free to decline without any consequence. Your responses will be treated confidentially, and no individual respondent will be identifiable in any resulting publication. Please complete the questionnaire only if you consent to take part.</w:t>
      </w:r>
    </w:p>
    <w:p>
      <w:r>
        <w:rPr>
          <w:b/>
        </w:rPr>
        <w:t>☐ I have read the above and consent to take part in this study.</w:t>
      </w:r>
    </w:p>
    <w:p>
      <w:pPr>
        <w:spacing w:before="240" w:after="120"/>
      </w:pPr>
      <w:r>
        <w:rPr>
          <w:b/>
          <w:sz w:val="26"/>
        </w:rPr>
        <w:t>Section A: Socio-demographic characteristics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sz w:val="20"/>
              </w:rPr>
              <w:t>Age (years)</w:t>
            </w:r>
          </w:p>
        </w:tc>
        <w:tc>
          <w:tcPr>
            <w:tcW w:type="dxa" w:w="1728"/>
          </w:tcPr>
          <w:p>
            <w:r/>
            <w:r>
              <w:rPr>
                <w:sz w:val="20"/>
              </w:rPr>
              <w:t>_______________</w:t>
            </w:r>
          </w:p>
        </w:tc>
        <w:tc>
          <w:tcPr>
            <w:tcW w:type="dxa" w:w="1728"/>
          </w:tcPr>
          <w:p/>
        </w:tc>
        <w:tc>
          <w:tcPr>
            <w:tcW w:type="dxa" w:w="1728"/>
          </w:tcPr>
          <w:p/>
        </w:tc>
        <w:tc>
          <w:tcPr>
            <w:tcW w:type="dxa" w:w="1728"/>
          </w:tcPr>
          <w:p/>
        </w:tc>
      </w:tr>
      <w:tr>
        <w:tc>
          <w:tcPr>
            <w:tcW w:type="dxa" w:w="1728"/>
          </w:tcPr>
          <w:p>
            <w:r/>
            <w:r>
              <w:rPr>
                <w:sz w:val="20"/>
              </w:rPr>
              <w:t>Sex</w:t>
            </w:r>
          </w:p>
        </w:tc>
        <w:tc>
          <w:tcPr>
            <w:tcW w:type="dxa" w:w="1728"/>
          </w:tcPr>
          <w:p>
            <w:r/>
            <w:r>
              <w:rPr>
                <w:sz w:val="20"/>
              </w:rPr>
              <w:t>☐ Male</w:t>
            </w:r>
          </w:p>
        </w:tc>
        <w:tc>
          <w:tcPr>
            <w:tcW w:type="dxa" w:w="1728"/>
          </w:tcPr>
          <w:p>
            <w:r/>
            <w:r>
              <w:rPr>
                <w:sz w:val="20"/>
              </w:rPr>
              <w:t>☐ Female</w:t>
            </w:r>
          </w:p>
        </w:tc>
        <w:tc>
          <w:tcPr>
            <w:tcW w:type="dxa" w:w="1728"/>
          </w:tcPr>
          <w:p/>
        </w:tc>
        <w:tc>
          <w:tcPr>
            <w:tcW w:type="dxa" w:w="1728"/>
          </w:tcPr>
          <w:p/>
        </w:tc>
      </w:tr>
      <w:tr>
        <w:tc>
          <w:tcPr>
            <w:tcW w:type="dxa" w:w="1728"/>
          </w:tcPr>
          <w:p>
            <w:r/>
            <w:r>
              <w:rPr>
                <w:sz w:val="20"/>
              </w:rPr>
              <w:t>Profession</w:t>
            </w:r>
          </w:p>
        </w:tc>
        <w:tc>
          <w:tcPr>
            <w:tcW w:type="dxa" w:w="1728"/>
          </w:tcPr>
          <w:p>
            <w:r/>
            <w:r>
              <w:rPr>
                <w:sz w:val="20"/>
              </w:rPr>
              <w:t>☐ Doctor</w:t>
            </w:r>
          </w:p>
        </w:tc>
        <w:tc>
          <w:tcPr>
            <w:tcW w:type="dxa" w:w="1728"/>
          </w:tcPr>
          <w:p>
            <w:r/>
            <w:r>
              <w:rPr>
                <w:sz w:val="20"/>
              </w:rPr>
              <w:t>☐ Nurse</w:t>
            </w:r>
          </w:p>
        </w:tc>
        <w:tc>
          <w:tcPr>
            <w:tcW w:type="dxa" w:w="1728"/>
          </w:tcPr>
          <w:p>
            <w:r/>
            <w:r>
              <w:rPr>
                <w:sz w:val="20"/>
              </w:rPr>
              <w:t>☐ Pharmacist</w:t>
            </w:r>
          </w:p>
        </w:tc>
        <w:tc>
          <w:tcPr>
            <w:tcW w:type="dxa" w:w="1728"/>
          </w:tcPr>
          <w:p>
            <w:r/>
            <w:r>
              <w:rPr>
                <w:sz w:val="20"/>
              </w:rPr>
              <w:t>☐ CHO</w:t>
            </w:r>
          </w:p>
        </w:tc>
      </w:tr>
      <w:tr>
        <w:tc>
          <w:tcPr>
            <w:tcW w:type="dxa" w:w="1728"/>
          </w:tcPr>
          <w:p>
            <w:r/>
            <w:r>
              <w:rPr>
                <w:sz w:val="20"/>
              </w:rPr>
              <w:t>Hospital placement</w:t>
            </w:r>
          </w:p>
        </w:tc>
        <w:tc>
          <w:tcPr>
            <w:tcW w:type="dxa" w:w="1728"/>
          </w:tcPr>
          <w:p>
            <w:r/>
            <w:r>
              <w:rPr>
                <w:sz w:val="20"/>
              </w:rPr>
              <w:t>☐ Connaught</w:t>
            </w:r>
          </w:p>
        </w:tc>
        <w:tc>
          <w:tcPr>
            <w:tcW w:type="dxa" w:w="1728"/>
          </w:tcPr>
          <w:p>
            <w:r/>
            <w:r>
              <w:rPr>
                <w:sz w:val="20"/>
              </w:rPr>
              <w:t>☐ ODCH</w:t>
            </w:r>
          </w:p>
        </w:tc>
        <w:tc>
          <w:tcPr>
            <w:tcW w:type="dxa" w:w="1728"/>
          </w:tcPr>
          <w:p>
            <w:r/>
            <w:r>
              <w:rPr>
                <w:sz w:val="20"/>
              </w:rPr>
              <w:t>☐ PCMH</w:t>
            </w:r>
          </w:p>
        </w:tc>
        <w:tc>
          <w:tcPr>
            <w:tcW w:type="dxa" w:w="1728"/>
          </w:tcPr>
          <w:p/>
        </w:tc>
      </w:tr>
      <w:tr>
        <w:tc>
          <w:tcPr>
            <w:tcW w:type="dxa" w:w="1728"/>
          </w:tcPr>
          <w:p>
            <w:r/>
            <w:r>
              <w:rPr>
                <w:sz w:val="20"/>
              </w:rPr>
              <w:t>Work experience at this facility</w:t>
            </w:r>
          </w:p>
        </w:tc>
        <w:tc>
          <w:tcPr>
            <w:tcW w:type="dxa" w:w="1728"/>
          </w:tcPr>
          <w:p>
            <w:r/>
            <w:r>
              <w:rPr>
                <w:sz w:val="20"/>
              </w:rPr>
              <w:t>☐ &lt; 2 months</w:t>
            </w:r>
          </w:p>
        </w:tc>
        <w:tc>
          <w:tcPr>
            <w:tcW w:type="dxa" w:w="1728"/>
          </w:tcPr>
          <w:p>
            <w:r/>
            <w:r>
              <w:rPr>
                <w:sz w:val="20"/>
              </w:rPr>
              <w:t>☐ &gt; 2 months</w:t>
            </w:r>
          </w:p>
        </w:tc>
        <w:tc>
          <w:tcPr>
            <w:tcW w:type="dxa" w:w="1728"/>
          </w:tcPr>
          <w:p/>
        </w:tc>
        <w:tc>
          <w:tcPr>
            <w:tcW w:type="dxa" w:w="1728"/>
          </w:tcPr>
          <w:p/>
        </w:tc>
      </w:tr>
      <w:tr>
        <w:tc>
          <w:tcPr>
            <w:tcW w:type="dxa" w:w="1728"/>
          </w:tcPr>
          <w:p>
            <w:r/>
            <w:r>
              <w:rPr>
                <w:sz w:val="20"/>
              </w:rPr>
              <w:t>Years spent prescribing/administering antibiotics</w:t>
            </w:r>
          </w:p>
        </w:tc>
        <w:tc>
          <w:tcPr>
            <w:tcW w:type="dxa" w:w="1728"/>
          </w:tcPr>
          <w:p>
            <w:r/>
            <w:r>
              <w:rPr>
                <w:sz w:val="20"/>
              </w:rPr>
              <w:t>☐ &lt; 1 year</w:t>
            </w:r>
          </w:p>
        </w:tc>
        <w:tc>
          <w:tcPr>
            <w:tcW w:type="dxa" w:w="1728"/>
          </w:tcPr>
          <w:p>
            <w:r/>
            <w:r>
              <w:rPr>
                <w:sz w:val="20"/>
              </w:rPr>
              <w:t>☐ 1–5 years</w:t>
            </w:r>
          </w:p>
        </w:tc>
        <w:tc>
          <w:tcPr>
            <w:tcW w:type="dxa" w:w="1728"/>
          </w:tcPr>
          <w:p>
            <w:r/>
            <w:r>
              <w:rPr>
                <w:sz w:val="20"/>
              </w:rPr>
              <w:t>☐ &gt; 5 years</w:t>
            </w:r>
          </w:p>
        </w:tc>
        <w:tc>
          <w:tcPr>
            <w:tcW w:type="dxa" w:w="1728"/>
          </w:tcPr>
          <w:p/>
        </w:tc>
      </w:tr>
    </w:tbl>
    <w:p>
      <w:pPr>
        <w:spacing w:before="240" w:after="120"/>
      </w:pPr>
      <w:r>
        <w:rPr>
          <w:b/>
          <w:sz w:val="26"/>
        </w:rPr>
        <w:t>Section B: Self-reported antibiotic prescribing practices</w:t>
      </w:r>
    </w:p>
    <w:p>
      <w:r>
        <w:rPr>
          <w:b w:val="0"/>
          <w:i w:val="0"/>
        </w:rPr>
        <w:t>What guides your choice when prescribing antibiotics? (free text)</w:t>
      </w:r>
    </w:p>
    <w:p>
      <w:r>
        <w:rPr>
          <w:b w:val="0"/>
          <w:i w:val="0"/>
        </w:rPr>
        <w:t>Are there antibiotic prescribing guidelines in your facility?</w:t>
      </w:r>
    </w:p>
    <w:tbl>
      <w:tblPr>
        <w:tblStyle w:val="TableGrid"/>
        <w:tblW w:type="auto" w:w="0"/>
        <w:tblLook w:firstColumn="1" w:firstRow="1" w:lastColumn="0" w:lastRow="0" w:noHBand="0" w:noVBand="1" w:val="04A0"/>
      </w:tblPr>
      <w:tblGrid>
        <w:gridCol w:w="4320"/>
        <w:gridCol w:w="4320"/>
      </w:tblGrid>
      <w:tr>
        <w:tc>
          <w:tcPr>
            <w:tcW w:type="dxa" w:w="4320"/>
          </w:tcPr>
          <w:p>
            <w:r/>
            <w:r>
              <w:rPr>
                <w:sz w:val="20"/>
              </w:rPr>
              <w:t>☐ Yes</w:t>
            </w:r>
          </w:p>
        </w:tc>
        <w:tc>
          <w:tcPr>
            <w:tcW w:type="dxa" w:w="4320"/>
          </w:tcPr>
          <w:p>
            <w:r/>
            <w:r>
              <w:rPr>
                <w:sz w:val="20"/>
              </w:rPr>
              <w:t>☐ No</w:t>
            </w:r>
          </w:p>
        </w:tc>
      </w:tr>
    </w:tbl>
    <w:p/>
    <w:p>
      <w:r>
        <w:rPr>
          <w:b w:val="0"/>
          <w:i w:val="0"/>
        </w:rPr>
        <w:t>If yes, how often are they reviewed/updated?</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sz w:val="20"/>
              </w:rPr>
              <w:t>☐ Every year</w:t>
            </w:r>
          </w:p>
        </w:tc>
        <w:tc>
          <w:tcPr>
            <w:tcW w:type="dxa" w:w="2880"/>
          </w:tcPr>
          <w:p>
            <w:r/>
            <w:r>
              <w:rPr>
                <w:sz w:val="20"/>
              </w:rPr>
              <w:t>☐ Every 2 years</w:t>
            </w:r>
          </w:p>
        </w:tc>
        <w:tc>
          <w:tcPr>
            <w:tcW w:type="dxa" w:w="2880"/>
          </w:tcPr>
          <w:p>
            <w:r/>
            <w:r>
              <w:rPr>
                <w:sz w:val="20"/>
              </w:rPr>
              <w:t>☐ Every 5 years</w:t>
            </w:r>
          </w:p>
        </w:tc>
      </w:tr>
    </w:tbl>
    <w:p/>
    <w:p>
      <w:r>
        <w:rPr>
          <w:b w:val="0"/>
          <w:i w:val="0"/>
        </w:rPr>
        <w:t>Do you always start with a narrow-spectrum antibiotic before broad-spectrum?</w:t>
      </w:r>
    </w:p>
    <w:tbl>
      <w:tblPr>
        <w:tblStyle w:val="TableGrid"/>
        <w:tblW w:type="auto" w:w="0"/>
        <w:tblLook w:firstColumn="1" w:firstRow="1" w:lastColumn="0" w:lastRow="0" w:noHBand="0" w:noVBand="1" w:val="04A0"/>
      </w:tblPr>
      <w:tblGrid>
        <w:gridCol w:w="4320"/>
        <w:gridCol w:w="4320"/>
      </w:tblGrid>
      <w:tr>
        <w:tc>
          <w:tcPr>
            <w:tcW w:type="dxa" w:w="4320"/>
          </w:tcPr>
          <w:p>
            <w:r/>
            <w:r>
              <w:rPr>
                <w:sz w:val="20"/>
              </w:rPr>
              <w:t>☐ Yes</w:t>
            </w:r>
          </w:p>
        </w:tc>
        <w:tc>
          <w:tcPr>
            <w:tcW w:type="dxa" w:w="4320"/>
          </w:tcPr>
          <w:p>
            <w:r/>
            <w:r>
              <w:rPr>
                <w:sz w:val="20"/>
              </w:rPr>
              <w:t>☐ No</w:t>
            </w:r>
          </w:p>
        </w:tc>
      </w:tr>
    </w:tbl>
    <w:p/>
    <w:p>
      <w:r>
        <w:rPr>
          <w:b w:val="0"/>
          <w:i w:val="0"/>
        </w:rPr>
        <w:t>Do you consider intravenous antibiotics over oral therapy for all your patients?</w:t>
      </w:r>
    </w:p>
    <w:tbl>
      <w:tblPr>
        <w:tblStyle w:val="TableGrid"/>
        <w:tblW w:type="auto" w:w="0"/>
        <w:tblLook w:firstColumn="1" w:firstRow="1" w:lastColumn="0" w:lastRow="0" w:noHBand="0" w:noVBand="1" w:val="04A0"/>
      </w:tblPr>
      <w:tblGrid>
        <w:gridCol w:w="4320"/>
        <w:gridCol w:w="4320"/>
      </w:tblGrid>
      <w:tr>
        <w:tc>
          <w:tcPr>
            <w:tcW w:type="dxa" w:w="4320"/>
          </w:tcPr>
          <w:p>
            <w:r/>
            <w:r>
              <w:rPr>
                <w:sz w:val="20"/>
              </w:rPr>
              <w:t>☐ Yes</w:t>
            </w:r>
          </w:p>
        </w:tc>
        <w:tc>
          <w:tcPr>
            <w:tcW w:type="dxa" w:w="4320"/>
          </w:tcPr>
          <w:p>
            <w:r/>
            <w:r>
              <w:rPr>
                <w:sz w:val="20"/>
              </w:rPr>
              <w:t>☐ No</w:t>
            </w:r>
          </w:p>
        </w:tc>
      </w:tr>
    </w:tbl>
    <w:p/>
    <w:p>
      <w:r>
        <w:rPr>
          <w:b w:val="0"/>
          <w:i w:val="0"/>
        </w:rPr>
        <w:t>For how long do you typically prescribe a course of antibiotics?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sz w:val="20"/>
              </w:rPr>
              <w:t>☐ &lt; 1 week</w:t>
            </w:r>
          </w:p>
        </w:tc>
        <w:tc>
          <w:tcPr>
            <w:tcW w:type="dxa" w:w="2160"/>
          </w:tcPr>
          <w:p>
            <w:r/>
            <w:r>
              <w:rPr>
                <w:sz w:val="20"/>
              </w:rPr>
              <w:t>☐ 1 week</w:t>
            </w:r>
          </w:p>
        </w:tc>
        <w:tc>
          <w:tcPr>
            <w:tcW w:type="dxa" w:w="2160"/>
          </w:tcPr>
          <w:p>
            <w:r/>
            <w:r>
              <w:rPr>
                <w:sz w:val="20"/>
              </w:rPr>
              <w:t>☐ 2 weeks</w:t>
            </w:r>
          </w:p>
        </w:tc>
        <w:tc>
          <w:tcPr>
            <w:tcW w:type="dxa" w:w="2160"/>
          </w:tcPr>
          <w:p>
            <w:r/>
            <w:r>
              <w:rPr>
                <w:sz w:val="20"/>
              </w:rPr>
              <w:t>☐ &gt; 2 weeks</w:t>
            </w:r>
          </w:p>
        </w:tc>
      </w:tr>
    </w:tbl>
    <w:p/>
    <w:p>
      <w:r>
        <w:rPr>
          <w:b w:val="0"/>
          <w:i w:val="0"/>
        </w:rPr>
        <w:t>Do you consider your patient's economic background before prescribing?</w:t>
      </w:r>
    </w:p>
    <w:tbl>
      <w:tblPr>
        <w:tblStyle w:val="TableGrid"/>
        <w:tblW w:type="auto" w:w="0"/>
        <w:tblLook w:firstColumn="1" w:firstRow="1" w:lastColumn="0" w:lastRow="0" w:noHBand="0" w:noVBand="1" w:val="04A0"/>
      </w:tblPr>
      <w:tblGrid>
        <w:gridCol w:w="4320"/>
        <w:gridCol w:w="4320"/>
      </w:tblGrid>
      <w:tr>
        <w:tc>
          <w:tcPr>
            <w:tcW w:type="dxa" w:w="4320"/>
          </w:tcPr>
          <w:p>
            <w:r/>
            <w:r>
              <w:rPr>
                <w:sz w:val="20"/>
              </w:rPr>
              <w:t>☐ Yes</w:t>
            </w:r>
          </w:p>
        </w:tc>
        <w:tc>
          <w:tcPr>
            <w:tcW w:type="dxa" w:w="4320"/>
          </w:tcPr>
          <w:p>
            <w:r/>
            <w:r>
              <w:rPr>
                <w:sz w:val="20"/>
              </w:rPr>
              <w:t>☐ No</w:t>
            </w:r>
          </w:p>
        </w:tc>
      </w:tr>
    </w:tbl>
    <w:p/>
    <w:p>
      <w:pPr>
        <w:spacing w:before="240" w:after="120"/>
      </w:pPr>
      <w:r>
        <w:rPr>
          <w:b/>
          <w:sz w:val="26"/>
        </w:rPr>
        <w:t>Section C: Beliefs on factors contributing to antimicrobial resistance</w:t>
      </w:r>
    </w:p>
    <w:p>
      <w:r>
        <w:rPr>
          <w:b w:val="0"/>
          <w:i/>
        </w:rPr>
        <w:t>Items in this section are adapted from Gebretekle et al. (2018).¹ For each statement, please indicate your level of agreement.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
              <w:rPr>
                <w:b/>
                <w:sz w:val="19"/>
              </w:rPr>
              <w:t>Statement</w:t>
            </w:r>
          </w:p>
        </w:tc>
        <w:tc>
          <w:tcPr>
            <w:tcW w:type="dxa" w:w="1728"/>
          </w:tcPr>
          <w:p>
            <w:r/>
            <w:r>
              <w:rPr>
                <w:b/>
                <w:sz w:val="19"/>
              </w:rPr>
              <w:t>Strongly agree</w:t>
            </w:r>
          </w:p>
        </w:tc>
        <w:tc>
          <w:tcPr>
            <w:tcW w:type="dxa" w:w="1728"/>
          </w:tcPr>
          <w:p>
            <w:r/>
            <w:r>
              <w:rPr>
                <w:b/>
                <w:sz w:val="19"/>
              </w:rPr>
              <w:t>Agree</w:t>
            </w:r>
          </w:p>
        </w:tc>
        <w:tc>
          <w:tcPr>
            <w:tcW w:type="dxa" w:w="1728"/>
          </w:tcPr>
          <w:p>
            <w:r/>
            <w:r>
              <w:rPr>
                <w:b/>
                <w:sz w:val="19"/>
              </w:rPr>
              <w:t>Disagree</w:t>
            </w:r>
          </w:p>
        </w:tc>
        <w:tc>
          <w:tcPr>
            <w:tcW w:type="dxa" w:w="1728"/>
          </w:tcPr>
          <w:p>
            <w:r/>
            <w:r>
              <w:rPr>
                <w:b/>
                <w:sz w:val="19"/>
              </w:rPr>
              <w:t>Strongly disagree</w:t>
            </w:r>
          </w:p>
        </w:tc>
      </w:tr>
      <w:tr>
        <w:tc>
          <w:tcPr>
            <w:tcW w:type="dxa" w:w="1728"/>
          </w:tcPr>
          <w:p>
            <w:r/>
            <w:r>
              <w:rPr>
                <w:sz w:val="19"/>
              </w:rPr>
              <w:t>AMR is a significant problem worldwide</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AMR is a significant problem in my country</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AMR is a significant problem in my hospital</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AMR is a problem in my daily practice</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A patient is highly likely to develop a drug-resistant infection during their hospital stay</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A significant proportion of local Staphylococcal infections are resistant to methicillin</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Inappropriate use of antibiotics is a major cause of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Easy access to antibiotics without a prescription contributes to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Prescription of broad-spectrum antibiotics is directly linked to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Lack of adequate diagnostic tests leads to overuse of antibiotics, thereby contributing to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Sporadic supply of antibiotics leads to interruptions of therapy, thereby contributing to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Lack of close clinical follow-up during antibiotic use contributes to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r>
        <w:tc>
          <w:tcPr>
            <w:tcW w:type="dxa" w:w="1728"/>
          </w:tcPr>
          <w:p>
            <w:r/>
            <w:r>
              <w:rPr>
                <w:sz w:val="19"/>
              </w:rPr>
              <w:t>Patient demands and expectations increase overuse of antibiotics, thereby contributing to AMR</w:t>
            </w:r>
          </w:p>
        </w:tc>
        <w:tc>
          <w:tcPr>
            <w:tcW w:type="dxa" w:w="1728"/>
          </w:tcPr>
          <w:p>
            <w:r/>
            <w:r>
              <w:rPr>
                <w:sz w:val="19"/>
              </w:rPr>
              <w:t>☐</w:t>
            </w:r>
          </w:p>
        </w:tc>
        <w:tc>
          <w:tcPr>
            <w:tcW w:type="dxa" w:w="1728"/>
          </w:tcPr>
          <w:p>
            <w:r/>
            <w:r>
              <w:rPr>
                <w:sz w:val="19"/>
              </w:rPr>
              <w:t>☐</w:t>
            </w:r>
          </w:p>
        </w:tc>
        <w:tc>
          <w:tcPr>
            <w:tcW w:type="dxa" w:w="1728"/>
          </w:tcPr>
          <w:p>
            <w:r/>
            <w:r>
              <w:rPr>
                <w:sz w:val="19"/>
              </w:rPr>
              <w:t>☐</w:t>
            </w:r>
          </w:p>
        </w:tc>
        <w:tc>
          <w:tcPr>
            <w:tcW w:type="dxa" w:w="1728"/>
          </w:tcPr>
          <w:p>
            <w:r/>
            <w:r>
              <w:rPr>
                <w:sz w:val="19"/>
              </w:rPr>
              <w:t>☐</w:t>
            </w:r>
          </w:p>
        </w:tc>
      </w:tr>
    </w:tbl>
    <w:p>
      <w:pPr>
        <w:spacing w:before="240" w:after="120"/>
      </w:pPr>
      <w:r>
        <w:rPr>
          <w:b/>
          <w:sz w:val="26"/>
        </w:rPr>
        <w:t>References</w:t>
      </w:r>
    </w:p>
    <w:p>
      <w:r>
        <w:rPr>
          <w:sz w:val="20"/>
        </w:rPr>
        <w:t>1. Gebretekle GB, Haile Mariam D, Abebe W, Amogne W, Tenna A, Fenta TG, et al. Opportunities and barriers to implementing antibiotic stewardship in low and middle-income countries: lessons from a mixed-methods study in a tertiary care hospital in Ethiopia. PLoS One. 2018;13(12):e0208447.</w:t>
      </w:r>
    </w:p>
    <w:p>
      <w:r>
        <w:rPr>
          <w:sz w:val="20"/>
        </w:rPr>
        <w:t>2. Greater New York Hospital Association / United Hospital Fund. Antimicrobial Stewardship Toolkit: best practices from the GNYHA/UHF Antimicrobial Stewardship Collaborative. 2011.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60"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