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svg" ContentType="image/svg+xml"/>
  <Default Extension="bmp" ContentType="image/bmp"/>
  <Default Extension="emf" ContentType="image/x-emf"/>
  <Default Extension="wmf" ContentType="image/x-wmf"/>
  <Default Extension="tiff" ContentType="image/tiff"/>
  <Default Extension="pdf" ContentType="application/pdf"/>
  <Default Extension="jpg" ContentType="application/octet-stream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 standalone="yes"?>

<Relationships  xmlns="http://schemas.openxmlformats.org/package/2006/relationships">
<Relationship Id="rId4" Type="http://schemas.openxmlformats.org/officeDocument/2006/relationships/officeDocument" Target="word/document.xml"/>
<Relationship Id="rId2" Type="http://schemas.openxmlformats.org/package/2006/relationships/metadata/core-properties" Target="docProps/core.xml"/>
<Relationship Id="rId1" Type="http://schemas.openxmlformats.org/officeDocument/2006/relationships/extended-properties" Target="docProps/app.xml"/>
<Relationship Id="rId3" Type="http://schemas.openxmlformats.org/officeDocument/2006/relationships/custom-properties" Target="docProps/custom.xml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7931D">
      <w:pPr>
        <w:keepNext/>
        <w:pageBreakBefore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0" w:after="120" w:line="240" w:lineRule="auto"/>
        <w:ind w:left="0" w:right="0" w:firstLine="0" w:firstLineChars="0"/>
        <w:jc w:val="left"/>
        <w:rPr>
          <w:rFonts w:hint="eastAsia" w:ascii="Arial" w:hAnsi="Arial" w:cs="Arial"/>
          <w:b/>
          <w:sz w:val="28"/>
          <w:lang w:eastAsia="zh-CN"/>
        </w:rPr>
      </w:pPr>
      <w:bookmarkStart w:id="0" w:name="_GoBack"/>
      <w:bookmarkEnd w:id="0"/>
      <w:r>
        <w:rPr>
          <w:rFonts w:hint="eastAsia" w:ascii="Arial" w:hAnsi="Arial" w:cs="Arial"/>
          <w:b/>
          <w:sz w:val="28"/>
          <w:lang w:eastAsia="zh-CN"/>
        </w:rPr>
        <w:t>Additional file 1. Supplementary tables and figures</w:t>
      </w:r>
    </w:p>
    <w:p w14:paraId="09014CD6">
      <w:pPr>
        <w:keepNext/>
        <w:pageBreakBefore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0" w:after="120" w:line="240" w:lineRule="auto"/>
        <w:ind w:left="0" w:right="0" w:firstLine="0" w:firstLineChars="0"/>
        <w:jc w:val="left"/>
        <w:rPr>
          <w:rFonts w:hint="default" w:ascii="Arial" w:hAnsi="Arial" w:cs="Arial"/>
          <w:b/>
          <w:color w:val="000000"/>
          <w:sz w:val="24"/>
        </w:rPr>
      </w:pPr>
      <w:r>
        <w:rPr>
          <w:rFonts w:hint="default" w:ascii="Arial" w:hAnsi="Arial" w:eastAsia="宋体" w:cs="Arial"/>
          <w:b/>
          <w:i w:val="0"/>
          <w:strike w:val="0"/>
          <w:color w:val="000000"/>
          <w:sz w:val="24"/>
          <w:szCs w:val="22"/>
          <w:u w:val="none"/>
          <w:lang w:eastAsia="zh-CN"/>
        </w:rPr>
        <w:t>eTable 1.</w:t>
      </w:r>
      <w:r>
        <w:rPr>
          <w:rFonts w:hint="default" w:ascii="Arial" w:hAnsi="Arial" w:eastAsia="Times New Roman" w:cs="Arial"/>
          <w:b/>
          <w:i w:val="0"/>
          <w:strike w:val="0"/>
          <w:color w:val="000000"/>
          <w:sz w:val="24"/>
          <w:szCs w:val="22"/>
          <w:u w:val="none"/>
        </w:rPr>
        <w:t xml:space="preserve"> Sensitivity analyses for transition from CVD-free to CVD per one-component metabolic increase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3"/>
        <w:gridCol w:w="1865"/>
        <w:gridCol w:w="757"/>
        <w:gridCol w:w="1225"/>
        <w:gridCol w:w="736"/>
      </w:tblGrid>
      <w:tr w14:paraId="1751E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6015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  <w:t>Analysis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2A93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  <w:t>Adjusted OR (95% CI)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50A0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  <w:t>P value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E8EA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  <w:t>Participants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52A6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  <w:t>Events</w:t>
            </w:r>
          </w:p>
        </w:tc>
      </w:tr>
      <w:tr w14:paraId="6F71F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EA75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Inverse-probability-of-observation weighting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7F99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1.14 (1.06-1.21)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2BB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&lt;0.001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B88B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3,553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1620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905</w:t>
            </w:r>
          </w:p>
        </w:tc>
      </w:tr>
      <w:tr w14:paraId="295F2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E76D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Blood-sample weighting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F1CA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1.14 (1.04-1.24)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71C6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0.005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C670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3,520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518F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897</w:t>
            </w:r>
          </w:p>
        </w:tc>
      </w:tr>
      <w:tr w14:paraId="05E22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F1A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Excluded baseline diabetes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23A5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1.14 (1.06-1.23)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814E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&lt;0.001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80DA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3,343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B426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824</w:t>
            </w:r>
          </w:p>
        </w:tc>
      </w:tr>
      <w:tr w14:paraId="2C03C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D8DC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2018-2020 interval only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BB2A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1.19 (1.03-1.37)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EFD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0.016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D5DD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2,695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C751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203</w:t>
            </w:r>
          </w:p>
        </w:tc>
      </w:tr>
    </w:tbl>
    <w:p w14:paraId="5AA6F4AE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120" w:line="240" w:lineRule="auto"/>
        <w:ind w:left="0" w:right="0" w:firstLine="0" w:firstLineChars="0"/>
        <w:jc w:val="left"/>
        <w:rPr>
          <w:rFonts w:hint="default" w:ascii="Arial" w:hAnsi="Arial" w:cs="Arial"/>
          <w:color w:val="000000"/>
          <w:sz w:val="20"/>
        </w:rPr>
      </w:pPr>
      <w:r>
        <w:rPr>
          <w:rFonts w:hint="default" w:ascii="Arial" w:hAnsi="Arial" w:eastAsia="Times New Roman" w:cs="Arial"/>
          <w:b w:val="0"/>
          <w:i w:val="0"/>
          <w:strike w:val="0"/>
          <w:color w:val="000000"/>
          <w:sz w:val="20"/>
          <w:szCs w:val="22"/>
          <w:u w:val="none"/>
        </w:rPr>
        <w:t>All models used the same covariates as the primary model. CI, confidence interval; CVD, cardiovascular disease; OR, odds ratio.</w:t>
      </w:r>
    </w:p>
    <w:p w14:paraId="749AE07D">
      <w:pPr>
        <w:widowControl/>
        <w:spacing w:after="120" w:line="240" w:lineRule="auto"/>
        <w:jc w:val="left"/>
        <w:rPr>
          <w:rFonts w:hint="default" w:ascii="Arial" w:hAnsi="Arial" w:cs="Arial"/>
          <w:color w:val="000000"/>
          <w:sz w:val="20"/>
        </w:rPr>
      </w:pPr>
      <w:r>
        <w:rPr>
          <w:rFonts w:hint="default" w:ascii="Arial" w:hAnsi="Arial" w:cs="Arial"/>
          <w:color w:val="000000"/>
          <w:sz w:val="20"/>
        </w:rPr>
        <w:br w:type="page"/>
      </w:r>
    </w:p>
    <w:p w14:paraId="152B0245">
      <w:pPr>
        <w:spacing w:after="120" w:line="240" w:lineRule="auto"/>
        <w:jc w:val="left"/>
        <w:rPr>
          <w:rFonts w:hint="default" w:ascii="Arial" w:hAnsi="Arial" w:cs="Arial"/>
          <w:sz w:val="20"/>
          <w:lang w:eastAsia="zh-CN"/>
        </w:rPr>
      </w:pPr>
    </w:p>
    <w:p w14:paraId="192E622F">
      <w:pPr>
        <w:keepNext/>
        <w:pageBreakBefore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0" w:after="120" w:line="240" w:lineRule="auto"/>
        <w:ind w:left="0" w:right="0" w:firstLine="0" w:firstLineChars="0"/>
        <w:jc w:val="left"/>
        <w:rPr>
          <w:rFonts w:hint="default" w:ascii="Arial" w:hAnsi="Arial" w:cs="Arial"/>
          <w:b/>
          <w:color w:val="000000"/>
          <w:sz w:val="24"/>
        </w:rPr>
      </w:pPr>
      <w:r>
        <w:rPr>
          <w:rFonts w:hint="default" w:ascii="Arial" w:hAnsi="Arial" w:eastAsia="宋体" w:cs="Arial"/>
          <w:b/>
          <w:i w:val="0"/>
          <w:strike w:val="0"/>
          <w:color w:val="000000"/>
          <w:sz w:val="24"/>
          <w:szCs w:val="22"/>
          <w:u w:val="none"/>
          <w:lang w:eastAsia="zh-CN"/>
        </w:rPr>
        <w:t>eTable 2.</w:t>
      </w:r>
      <w:r>
        <w:rPr>
          <w:rFonts w:hint="default" w:ascii="Arial" w:hAnsi="Arial" w:eastAsia="Times New Roman" w:cs="Arial"/>
          <w:b/>
          <w:i w:val="0"/>
          <w:strike w:val="0"/>
          <w:color w:val="000000"/>
          <w:sz w:val="24"/>
          <w:szCs w:val="22"/>
          <w:u w:val="none"/>
        </w:rPr>
        <w:t xml:space="preserve"> Observed state transitions by follow-up interval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2025"/>
        <w:gridCol w:w="1114"/>
        <w:gridCol w:w="2123"/>
      </w:tblGrid>
      <w:tr w14:paraId="5421A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637D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  <w:t>Interval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C808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  <w:t>Transition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6C2F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  <w:t>Records, n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0C9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7"/>
                <w:u w:val="none"/>
              </w:rPr>
              <w:t>Within-origin state, %</w:t>
            </w:r>
          </w:p>
        </w:tc>
      </w:tr>
      <w:tr w14:paraId="77888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6DF9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2015-2018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404F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CVD-free to CVD-free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4DC8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2,956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AD53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77.4</w:t>
            </w:r>
          </w:p>
        </w:tc>
      </w:tr>
      <w:tr w14:paraId="487F2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4CE8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2015-2018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9E1D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CVD-free to CVD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C048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724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DEF1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19.0</w:t>
            </w:r>
          </w:p>
        </w:tc>
      </w:tr>
      <w:tr w14:paraId="59BA6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9996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2015-2018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FFA0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CVD-free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42D4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139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D3C4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3.6</w:t>
            </w:r>
          </w:p>
        </w:tc>
      </w:tr>
      <w:tr w14:paraId="7F8FD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5844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2015-2018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F209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CVD to CVD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9A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670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7D68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94.0</w:t>
            </w:r>
          </w:p>
        </w:tc>
      </w:tr>
      <w:tr w14:paraId="62964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BA5E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2015-2018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19AD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CVD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A93F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43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87A5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6.0</w:t>
            </w:r>
          </w:p>
        </w:tc>
      </w:tr>
      <w:tr w14:paraId="09C8B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6866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2018-2020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739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CVD-free to CVD-free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AF46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2,580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2307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89.7</w:t>
            </w:r>
          </w:p>
        </w:tc>
      </w:tr>
      <w:tr w14:paraId="59EE4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B7AE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2018-2020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4BD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CVD-free to CVD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D746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215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9DE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7.5</w:t>
            </w:r>
          </w:p>
        </w:tc>
      </w:tr>
      <w:tr w14:paraId="13838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9DE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2018-2020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02DF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CVD-free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B334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81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20FD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2.8</w:t>
            </w:r>
          </w:p>
        </w:tc>
      </w:tr>
      <w:tr w14:paraId="441D0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FED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2018-2020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C8D7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CVD to CVD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FE55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1,264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E90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95.5</w:t>
            </w:r>
          </w:p>
        </w:tc>
      </w:tr>
      <w:tr w14:paraId="68513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A9A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2018-2020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014E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CVD to death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BF28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60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A3B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7"/>
                <w:u w:val="none"/>
              </w:rPr>
              <w:t>4.5</w:t>
            </w:r>
          </w:p>
        </w:tc>
      </w:tr>
    </w:tbl>
    <w:p w14:paraId="07118D5F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120" w:line="240" w:lineRule="auto"/>
        <w:ind w:left="0" w:right="0" w:firstLine="0" w:firstLineChars="0"/>
        <w:jc w:val="left"/>
        <w:rPr>
          <w:rFonts w:hint="default" w:ascii="Arial" w:hAnsi="Arial" w:cs="Arial"/>
          <w:color w:val="000000"/>
          <w:sz w:val="20"/>
        </w:rPr>
      </w:pPr>
      <w:r>
        <w:rPr>
          <w:rFonts w:hint="default" w:ascii="Arial" w:hAnsi="Arial" w:eastAsia="Times New Roman" w:cs="Arial"/>
          <w:b w:val="0"/>
          <w:i w:val="0"/>
          <w:strike w:val="0"/>
          <w:color w:val="000000"/>
          <w:sz w:val="20"/>
          <w:szCs w:val="22"/>
          <w:u w:val="none"/>
        </w:rPr>
        <w:t>Percentages are calculated within each interval and origin state. CVD, cardiovascular disease.</w:t>
      </w:r>
    </w:p>
    <w:p w14:paraId="76F2856D">
      <w:pPr>
        <w:widowControl/>
        <w:spacing w:after="120" w:line="240" w:lineRule="auto"/>
        <w:jc w:val="left"/>
        <w:rPr>
          <w:rFonts w:hint="default" w:ascii="Arial" w:hAnsi="Arial" w:cs="Arial"/>
          <w:color w:val="000000"/>
          <w:sz w:val="20"/>
        </w:rPr>
      </w:pPr>
      <w:r>
        <w:rPr>
          <w:rFonts w:hint="default" w:ascii="Arial" w:hAnsi="Arial" w:cs="Arial"/>
          <w:color w:val="000000"/>
          <w:sz w:val="20"/>
        </w:rPr>
        <w:br w:type="page"/>
      </w:r>
    </w:p>
    <w:p w14:paraId="71C0931E">
      <w:pPr>
        <w:spacing w:after="120" w:line="240" w:lineRule="auto"/>
        <w:jc w:val="left"/>
        <w:rPr>
          <w:rFonts w:hint="default" w:ascii="Arial" w:hAnsi="Arial" w:cs="Arial"/>
          <w:sz w:val="20"/>
          <w:lang w:eastAsia="zh-CN"/>
        </w:rPr>
      </w:pPr>
    </w:p>
    <w:p w14:paraId="72B8F54A">
      <w:pPr>
        <w:keepNext/>
        <w:pageBreakBefore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0" w:after="120" w:line="240" w:lineRule="auto"/>
        <w:ind w:left="0" w:right="0" w:firstLine="0" w:firstLineChars="0"/>
        <w:jc w:val="left"/>
        <w:rPr>
          <w:rFonts w:hint="default" w:ascii="Arial" w:hAnsi="Arial" w:cs="Arial"/>
          <w:b/>
          <w:color w:val="000000"/>
          <w:sz w:val="24"/>
        </w:rPr>
      </w:pPr>
      <w:r>
        <w:rPr>
          <w:rFonts w:hint="default" w:ascii="Arial" w:hAnsi="Arial" w:eastAsia="宋体" w:cs="Arial"/>
          <w:b/>
          <w:i w:val="0"/>
          <w:strike w:val="0"/>
          <w:color w:val="000000"/>
          <w:sz w:val="24"/>
          <w:szCs w:val="22"/>
          <w:u w:val="none"/>
          <w:lang w:eastAsia="zh-CN"/>
        </w:rPr>
        <w:t>eTable 3.</w:t>
      </w:r>
      <w:r>
        <w:rPr>
          <w:rFonts w:hint="default" w:ascii="Arial" w:hAnsi="Arial" w:eastAsia="Times New Roman" w:cs="Arial"/>
          <w:b/>
          <w:i w:val="0"/>
          <w:strike w:val="0"/>
          <w:color w:val="000000"/>
          <w:sz w:val="24"/>
          <w:szCs w:val="22"/>
          <w:u w:val="none"/>
        </w:rPr>
        <w:t xml:space="preserve"> Sensitivity analyses for the continuous metabolic-change exposure across all transitions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2205"/>
        <w:gridCol w:w="1860"/>
        <w:gridCol w:w="757"/>
        <w:gridCol w:w="1225"/>
        <w:gridCol w:w="736"/>
      </w:tblGrid>
      <w:tr w14:paraId="3C361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977E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  <w:t>Transition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E01A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  <w:t>Analysis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9228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  <w:t>Adjusted OR (95% CI)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1CCE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  <w:t>P value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EAB5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  <w:t>Participants</w:t>
            </w:r>
          </w:p>
        </w:tc>
        <w:tc>
          <w:tcPr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69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trike w:val="0"/>
                <w:color w:val="000000"/>
                <w:sz w:val="20"/>
                <w:szCs w:val="16"/>
                <w:u w:val="none"/>
              </w:rPr>
              <w:t>Events</w:t>
            </w:r>
          </w:p>
        </w:tc>
      </w:tr>
      <w:tr w14:paraId="08086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778A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CVD-free to CVD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A286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Primary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F835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1.14 (1.06-1.21)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F62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&lt;0.001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1C80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3,553</w:t>
            </w:r>
          </w:p>
        </w:tc>
        <w:tc>
          <w:tcPr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0F52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905</w:t>
            </w:r>
          </w:p>
        </w:tc>
      </w:tr>
      <w:tr w14:paraId="6ABEA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EC79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CVD-free to CVD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AD04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Blood-sample weighted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7A32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1.14 (1.04-1.24)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98CB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0.005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91A2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3,520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6E5B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897</w:t>
            </w:r>
          </w:p>
        </w:tc>
      </w:tr>
      <w:tr w14:paraId="25047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9903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CVD-free to CVD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129F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Observation weighted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5818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1.14 (1.06-1.21)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9174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&lt;0.001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4E77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3,553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1CAE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905</w:t>
            </w:r>
          </w:p>
        </w:tc>
      </w:tr>
      <w:tr w14:paraId="1FCD0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63F3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CVD-free to CVD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272C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Excluded baseline diabetes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C6E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1.14 (1.06-1.23)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C5E9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&lt;0.001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07BC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3,343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564A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824</w:t>
            </w:r>
          </w:p>
        </w:tc>
      </w:tr>
      <w:tr w14:paraId="67FC2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724F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CVD-free to CVD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8E3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2018-2020 only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5395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1.19 (1.03-1.37)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1B9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0.016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E2EC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2,695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4108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203</w:t>
            </w:r>
          </w:p>
        </w:tc>
      </w:tr>
      <w:tr w14:paraId="6EC89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47CE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CVD-free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131E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Primary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D8A3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1.08 (0.93-1.25)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A8BC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0.293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65E1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2,984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51F1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212</w:t>
            </w:r>
          </w:p>
        </w:tc>
      </w:tr>
      <w:tr w14:paraId="71958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BF5B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CVD-free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A0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Blood-sample weighted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F332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1.10 (0.94-1.30)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5BC7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0.237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AA8A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2,956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1CC8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210</w:t>
            </w:r>
          </w:p>
        </w:tc>
      </w:tr>
      <w:tr w14:paraId="1AAC7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5F0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CVD-free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92C6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Observation weighted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1693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1.09 (0.94-1.26)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3E6D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0.273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D18A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2,984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2330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212</w:t>
            </w:r>
          </w:p>
        </w:tc>
      </w:tr>
      <w:tr w14:paraId="6C3E6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105C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CVD-free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6A64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Excluded baseline diabetes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A37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1.06 (0.90-1.24)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7AF9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0.476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73B1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2,825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B14A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195</w:t>
            </w:r>
          </w:p>
        </w:tc>
      </w:tr>
      <w:tr w14:paraId="6127F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5DE1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CVD-free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00F3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2018-2020 only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97CB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1.19 (0.94-1.51)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2BB5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0.152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C55B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2,571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E207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79</w:t>
            </w:r>
          </w:p>
        </w:tc>
      </w:tr>
      <w:tr w14:paraId="03550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86BA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057F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Primary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502F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0.91 (0.74-1.12)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11F9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0.374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B63B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1,374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76B7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101</w:t>
            </w:r>
          </w:p>
        </w:tc>
      </w:tr>
      <w:tr w14:paraId="3BF3E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3C4F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A4FA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Blood-sample weighted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42E2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0.82 (0.64-1.03)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1CB3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0.091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ACF8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1,364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736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100</w:t>
            </w:r>
          </w:p>
        </w:tc>
      </w:tr>
      <w:tr w14:paraId="49CCD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4D41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76EB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Observation weighted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A19D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0.91 (0.73-1.12)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3AAE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0.378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9604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1,374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373B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101</w:t>
            </w:r>
          </w:p>
        </w:tc>
      </w:tr>
      <w:tr w14:paraId="12FFE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84D9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 to death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30BE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Excluded baseline diabetes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E7D4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0.88 (0.70-1.10)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5A63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0.255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0D1D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1,238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28CB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88</w:t>
            </w:r>
          </w:p>
        </w:tc>
      </w:tr>
      <w:tr w14:paraId="01FEE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3979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CVD to death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92A1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2018-2020 only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F816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0.85 (0.65-1.12)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7EF0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0.259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D693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1,292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B78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120" w:line="240" w:lineRule="auto"/>
              <w:ind w:left="40" w:right="40" w:firstLine="0" w:firstLineChars="0"/>
              <w:jc w:val="left"/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trike w:val="0"/>
                <w:color w:val="000000"/>
                <w:sz w:val="20"/>
                <w:szCs w:val="16"/>
                <w:u w:val="none"/>
              </w:rPr>
              <w:t>59</w:t>
            </w:r>
          </w:p>
        </w:tc>
      </w:tr>
    </w:tbl>
    <w:p w14:paraId="01A13EC8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120" w:line="240" w:lineRule="auto"/>
        <w:ind w:left="0" w:right="0" w:firstLine="0" w:firstLineChars="0"/>
        <w:jc w:val="left"/>
        <w:rPr>
          <w:rFonts w:hint="default" w:ascii="Arial" w:hAnsi="Arial" w:cs="Arial"/>
          <w:color w:val="000000"/>
          <w:sz w:val="20"/>
        </w:rPr>
      </w:pPr>
      <w:r>
        <w:rPr>
          <w:rFonts w:hint="default" w:ascii="Arial" w:hAnsi="Arial" w:eastAsia="Times New Roman" w:cs="Arial"/>
          <w:b w:val="0"/>
          <w:i w:val="0"/>
          <w:strike w:val="0"/>
          <w:color w:val="000000"/>
          <w:sz w:val="20"/>
          <w:szCs w:val="22"/>
          <w:u w:val="none"/>
        </w:rPr>
        <w:t>Odds ratios are per one-component increase in metabolic burden. All models used the covariates specified for the primary analysis. CI, confidence interval; CVD, cardiovascular disease; OR, odds ratio.</w:t>
      </w:r>
    </w:p>
    <w:p w14:paraId="5C51332A">
      <w:pPr>
        <w:keepNext/>
        <w:keepLines/>
        <w:pageBreakBefore/>
        <w:spacing w:after="120" w:line="240" w:lineRule="auto"/>
        <w:jc w:val="left"/>
        <w:rPr>
          <w:rFonts w:hint="default" w:ascii="Arial" w:hAnsi="Arial" w:cs="Arial"/>
          <w:b/>
          <w:sz w:val="24"/>
          <w:lang w:eastAsia="zh-CN"/>
        </w:rPr>
      </w:pPr>
      <w:r>
        <w:rPr>
          <w:rFonts w:hint="default" w:ascii="Arial" w:hAnsi="Arial" w:cs="Arial"/>
          <w:b/>
          <w:sz w:val="24"/>
          <w:lang w:eastAsia="zh-CN"/>
        </w:rPr>
        <w:t>eFigure 1. Distribution of metabolic-change categories from 2011 to 2015.</w:t>
      </w:r>
    </w:p>
    <w:p w14:paraId="3D8EE3E0">
      <w:pPr>
        <w:keepLines/>
        <w:spacing w:after="120" w:line="240" w:lineRule="auto"/>
        <w:jc w:val="left"/>
        <w:rPr>
          <w:rFonts w:hint="default" w:ascii="Arial" w:hAnsi="Arial" w:cs="Arial"/>
          <w:sz w:val="20"/>
          <w:lang w:eastAsia="zh-CN"/>
        </w:rPr>
      </w:pPr>
      <w:r>
        <w:rPr>
          <w:rFonts w:hint="default" w:ascii="Arial" w:hAnsi="Arial" w:cs="Arial"/>
          <w:sz w:val="20"/>
          <w:lang w:eastAsia="zh-CN"/>
        </w:rPr>
        <w:drawing>
          <wp:inline distT="0" distB="0" distL="114300" distR="114300">
            <wp:extent cx="5271770" cy="3082290"/>
            <wp:effectExtent l="0" t="0" r="5080" b="3810"/>
            <wp:docPr id="1" name="图片 1" descr="imag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57545">
      <w:pPr>
        <w:keepNext/>
        <w:keepLines/>
        <w:pageBreakBefore/>
        <w:spacing w:after="120" w:line="240" w:lineRule="auto"/>
        <w:jc w:val="left"/>
        <w:rPr>
          <w:rFonts w:hint="default" w:ascii="Arial" w:hAnsi="Arial" w:cs="Arial"/>
          <w:b/>
          <w:sz w:val="24"/>
          <w:lang w:eastAsia="zh-CN"/>
        </w:rPr>
      </w:pPr>
      <w:r>
        <w:rPr>
          <w:rFonts w:hint="default" w:ascii="Arial" w:hAnsi="Arial" w:cs="Arial"/>
          <w:b/>
          <w:sz w:val="24"/>
          <w:lang w:eastAsia="zh-CN"/>
        </w:rPr>
        <w:t>eFigure 2. Sensitivity analyses for the transition from CVD-free to CVD.</w:t>
      </w:r>
    </w:p>
    <w:p w14:paraId="486066E5">
      <w:pPr>
        <w:keepLines/>
        <w:spacing w:after="120" w:line="240" w:lineRule="auto"/>
        <w:jc w:val="left"/>
        <w:rPr>
          <w:rFonts w:hint="default" w:ascii="Arial" w:hAnsi="Arial" w:cs="Arial"/>
          <w:sz w:val="20"/>
          <w:lang w:eastAsia="zh-CN"/>
        </w:rPr>
      </w:pPr>
      <w:r>
        <w:rPr>
          <w:rFonts w:hint="default" w:ascii="Arial" w:hAnsi="Arial" w:cs="Arial"/>
          <w:sz w:val="20"/>
          <w:lang w:eastAsia="zh-CN"/>
        </w:rPr>
        <w:drawing>
          <wp:inline distT="0" distB="0" distL="114300" distR="114300">
            <wp:extent cx="5274310" cy="3013710"/>
            <wp:effectExtent l="0" t="0" r="2540" b="15240"/>
            <wp:docPr id="2" name="图片 2" descr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age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F72FE">
      <w:pPr>
        <w:keepNext/>
        <w:keepLines/>
        <w:pageBreakBefore/>
        <w:spacing w:after="120" w:line="240" w:lineRule="auto"/>
        <w:jc w:val="left"/>
        <w:rPr>
          <w:rFonts w:hint="default" w:ascii="Arial" w:hAnsi="Arial" w:cs="Arial"/>
          <w:b/>
          <w:sz w:val="24"/>
          <w:lang w:eastAsia="zh-CN"/>
        </w:rPr>
      </w:pPr>
      <w:r>
        <w:rPr>
          <w:rFonts w:hint="default" w:ascii="Arial" w:hAnsi="Arial" w:cs="Arial"/>
          <w:b/>
          <w:sz w:val="24"/>
          <w:lang w:eastAsia="zh-CN"/>
        </w:rPr>
        <w:t>eFigure 3. Mean metabolic component counts in 2011 and 2015 according to change category.</w:t>
      </w:r>
    </w:p>
    <w:p w14:paraId="2DE8DB34">
      <w:pPr>
        <w:keepLines/>
        <w:spacing w:after="120" w:line="240" w:lineRule="auto"/>
        <w:jc w:val="left"/>
        <w:rPr>
          <w:rFonts w:hint="default" w:ascii="Arial" w:hAnsi="Arial" w:cs="Arial"/>
          <w:sz w:val="20"/>
          <w:lang w:eastAsia="zh-CN"/>
        </w:rPr>
      </w:pPr>
      <w:r>
        <w:rPr>
          <w:rFonts w:hint="default" w:ascii="Arial" w:hAnsi="Arial" w:cs="Arial"/>
          <w:sz w:val="20"/>
          <w:lang w:eastAsia="zh-CN"/>
        </w:rPr>
        <w:drawing>
          <wp:inline distT="0" distB="0" distL="114300" distR="114300">
            <wp:extent cx="5271770" cy="3244215"/>
            <wp:effectExtent l="0" t="0" r="5080" b="13335"/>
            <wp:docPr id="3" name="图片 3" descr="image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age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D37CE">
      <w:pPr>
        <w:keepNext/>
        <w:keepLines/>
        <w:pageBreakBefore/>
        <w:spacing w:after="120" w:line="240" w:lineRule="auto"/>
        <w:jc w:val="left"/>
        <w:rPr>
          <w:rFonts w:hint="default" w:ascii="Arial" w:hAnsi="Arial" w:cs="Arial"/>
          <w:b/>
          <w:sz w:val="24"/>
          <w:lang w:eastAsia="zh-CN"/>
        </w:rPr>
      </w:pPr>
      <w:r>
        <w:rPr>
          <w:rFonts w:hint="default" w:ascii="Arial" w:hAnsi="Arial" w:cs="Arial"/>
          <w:b/>
          <w:sz w:val="24"/>
          <w:lang w:eastAsia="zh-CN"/>
        </w:rPr>
        <w:t>eFigure 4. Categorical metabolic change and subsequent state transitions.</w:t>
      </w:r>
    </w:p>
    <w:p w14:paraId="4E9F0188">
      <w:pPr>
        <w:keepLines/>
        <w:spacing w:after="120" w:line="240" w:lineRule="auto"/>
        <w:jc w:val="left"/>
        <w:rPr>
          <w:rFonts w:hint="default" w:ascii="Arial" w:hAnsi="Arial" w:cs="Arial"/>
          <w:sz w:val="20"/>
          <w:lang w:eastAsia="zh-CN"/>
        </w:rPr>
      </w:pPr>
      <w:r>
        <w:rPr>
          <w:rFonts w:hint="default" w:ascii="Arial" w:hAnsi="Arial" w:cs="Arial"/>
          <w:sz w:val="20"/>
          <w:lang w:eastAsia="zh-CN"/>
        </w:rPr>
        <w:drawing>
          <wp:inline distT="0" distB="0" distL="114300" distR="114300">
            <wp:extent cx="5274310" cy="3616325"/>
            <wp:effectExtent l="0" t="0" r="2540" b="3175"/>
            <wp:docPr id="4" name="图片 4" descr="image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age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CC0FD">
      <w:pPr>
        <w:keepLines/>
        <w:spacing w:after="120" w:line="240" w:lineRule="auto"/>
        <w:jc w:val="left"/>
        <w:rPr>
          <w:rFonts w:hint="default" w:ascii="Arial" w:hAnsi="Arial" w:cs="Arial"/>
          <w:sz w:val="20"/>
          <w:lang w:eastAsia="zh-CN"/>
        </w:rPr>
      </w:pPr>
    </w:p>
    <w:p>
      <w:pPr/>
      <w:r>
        <w:br w:type="page"/>
      </w:r>
    </w:p>
    <w:p>
      <w:pPr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true"/>
          <w:u w:val="none"/>
          <w:strike w:val="false"/>
          <w:sz w:val="24"/>
          <w:szCs w:val="24"/>
          <w:color w:val="000000"/>
        </w:rPr>
        <w:t xml:space="preserve">eTable 4. Sensitivity analysis using Asian-specific waist circumference thresholds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699"/>
        <w:gridCol w:w="2016"/>
        <w:gridCol w:w="1656"/>
        <w:gridCol w:w="792"/>
        <w:gridCol w:w="749"/>
        <w:gridCol w:w="1037"/>
        <w:gridCol w:w="691"/>
      </w:tblGrid>
      <w:tr>
        <w:trPr>
          <w:trHeight w:val="488" w:hRule="auto"/>
          <w:tblHeader/>
        </w:trPr>
        <w:tc>
          <w:tcPr>
            <w:tcBorders>
              <w:bottom w:val="single" w:sz="8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  <w:t xml:space="preserve">Transition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  <w:t xml:space="preserve">Exposure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  <w:t xml:space="preserve">Adjusted OR (95% CI)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  <w:t xml:space="preserve">P value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  <w:t xml:space="preserve">FDR P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  <w:t xml:space="preserve">Participants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  <w:t xml:space="preserve">Events</w:t>
            </w:r>
          </w:p>
        </w:tc>
      </w:tr>
      <w:tr>
        <w:trPr>
          <w:trHeight w:val="468" w:hRule="auto"/>
        </w:trPr>
        <w:tc>
          <w:tcPr>
            <w:tcBorders>
              <w:bottom w:val="none" w:sz="0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CVD-free to CVD</w:t>
            </w:r>
          </w:p>
        </w:tc>
        <w:tc>
          <w:tcPr>
            <w:tcBorders>
              <w:bottom w:val="none" w:sz="0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Per one-component increase</w:t>
            </w:r>
          </w:p>
        </w:tc>
        <w:tc>
          <w:tcPr>
            <w:tcBorders>
              <w:bottom w:val="none" w:sz="0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1.14 (1.06-1.21)</w:t>
            </w:r>
          </w:p>
        </w:tc>
        <w:tc>
          <w:tcPr>
            <w:tcBorders>
              <w:bottom w:val="none" w:sz="0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&lt;.001</w:t>
            </w:r>
          </w:p>
        </w:tc>
        <w:tc>
          <w:tcPr>
            <w:tcBorders>
              <w:bottom w:val="none" w:sz="0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.002</w:t>
            </w:r>
          </w:p>
        </w:tc>
        <w:tc>
          <w:tcPr>
            <w:tcBorders>
              <w:bottom w:val="none" w:sz="0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3,553</w:t>
            </w:r>
          </w:p>
        </w:tc>
        <w:tc>
          <w:tcPr>
            <w:tcBorders>
              <w:bottom w:val="none" w:sz="0" w:space="0" w:color="000000"/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905</w:t>
            </w:r>
          </w:p>
        </w:tc>
      </w:tr>
      <w:tr>
        <w:trPr>
          <w:trHeight w:val="468" w:hRule="auto"/>
        </w:trPr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CVD-free to CVD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Improved vs stable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0.84 (0.70-1.00)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.052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.118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3,553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905</w:t>
            </w:r>
          </w:p>
        </w:tc>
      </w:tr>
      <w:tr>
        <w:trPr>
          <w:trHeight w:val="468" w:hRule="auto"/>
        </w:trPr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CVD-free to CVD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Deteriorated vs stable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1.14 (0.94-1.38)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.170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.306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3,553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905</w:t>
            </w:r>
          </w:p>
        </w:tc>
      </w:tr>
      <w:tr>
        <w:trPr>
          <w:trHeight w:val="468" w:hRule="auto"/>
        </w:trPr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CVD-free to death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Per one-component increase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1.03 (0.89-1.20)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.670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.767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2,984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212</w:t>
            </w:r>
          </w:p>
        </w:tc>
      </w:tr>
      <w:tr>
        <w:trPr>
          <w:trHeight w:val="468" w:hRule="auto"/>
        </w:trPr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CVD-free to death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Improved vs stable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1.54 (1.06-2.23)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.022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.066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2,984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212</w:t>
            </w:r>
          </w:p>
        </w:tc>
      </w:tr>
      <w:tr>
        <w:trPr>
          <w:trHeight w:val="468" w:hRule="auto"/>
        </w:trPr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CVD-free to death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Deteriorated vs stable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1.79 (1.21-2.66)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.004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.016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2,984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212</w:t>
            </w:r>
          </w:p>
        </w:tc>
      </w:tr>
      <w:tr>
        <w:trPr>
          <w:trHeight w:val="468" w:hRule="auto"/>
        </w:trPr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CVD to death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Per one-component increase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0.93 (0.75-1.14)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.475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.712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1,374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101</w:t>
            </w:r>
          </w:p>
        </w:tc>
      </w:tr>
      <w:tr>
        <w:trPr>
          <w:trHeight w:val="468" w:hRule="auto"/>
        </w:trPr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CVD to death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Improved vs stable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1.11 (0.68-1.79)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.682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.767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1,374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101</w:t>
            </w:r>
          </w:p>
        </w:tc>
      </w:tr>
      <w:tr>
        <w:trPr>
          <w:trHeight w:val="478" w:hRule="auto"/>
        </w:trPr>
        <w:tc>
          <w:tcPr>
            <w:tcBorders>
              <w:bottom w:val="single" w:sz="8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CVD to death</w:t>
            </w:r>
          </w:p>
        </w:tc>
        <w:tc>
          <w:tcPr>
            <w:tcBorders>
              <w:bottom w:val="single" w:sz="8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Deteriorated vs stable</w:t>
            </w:r>
          </w:p>
        </w:tc>
        <w:tc>
          <w:tcPr>
            <w:tcBorders>
              <w:bottom w:val="single" w:sz="8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1.00 (0.55-1.83)</w:t>
            </w:r>
          </w:p>
        </w:tc>
        <w:tc>
          <w:tcPr>
            <w:tcBorders>
              <w:bottom w:val="single" w:sz="8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.998</w:t>
            </w:r>
          </w:p>
        </w:tc>
        <w:tc>
          <w:tcPr>
            <w:tcBorders>
              <w:bottom w:val="single" w:sz="8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.998</w:t>
            </w:r>
          </w:p>
        </w:tc>
        <w:tc>
          <w:tcPr>
            <w:tcBorders>
              <w:bottom w:val="single" w:sz="8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1,374</w:t>
            </w:r>
          </w:p>
        </w:tc>
        <w:tc>
          <w:tcPr>
            <w:tcBorders>
              <w:bottom w:val="single" w:sz="8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1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100" w:right="100" w:firstLine="0" w:firstLineChars="0"/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101</w:t>
            </w:r>
          </w:p>
        </w:tc>
      </w:tr>
    </w:tbl>
    <w:p>
      <w:pPr>
        <w:jc w:val="left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0" w:before="0" w:line="240"/>
        <w:ind w:left="0" w:right="0" w:firstLine="0" w:firstLineChars="0"/>
      </w:pPr>
      <w:r>
        <w:rPr>
          <w:rFonts w:ascii="Times New Roman" w:hAnsi="Times New Roman" w:eastAsia="Times New Roman" w:cs="Times New Roman"/>
          <w:i w:val="false"/>
          <w:b w:val="false"/>
          <w:u w:val="none"/>
          <w:strike w:val="false"/>
          <w:sz w:val="18"/>
          <w:szCs w:val="18"/>
          <w:color w:val="000000"/>
        </w:rPr>
        <w:t xml:space="preserve">Asian-specific central obesity was defined as waist circumference &gt;=90 cm in men and &gt;=80 cm in women. Models adjusted for the revised 2011 metabolic component count, age, sex, education, marital status, rural hukou, current smoking, sleep duration, and follow-up period, with participant-clustered robust standard errors. The categorical mortality estimates were not supported by the continuous exposure and should be interpreted as exploratory. CI, confidence interval; CVD, cardiovascular disease; FDR, false discovery rate; OR, odds ratio.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xmlns:w="http://schemas.openxmlformats.org/wordprocessingml/2006/main" w:percent="120"/>
  <w:embedSystemFonts/>
  <w:bordersDoNotSurroundHeader w:val="1"/>
  <w:bordersDoNotSurroundFooter w:val="1"/>
  <w:documentProtection w:enforcement="0"/>
  <w:defaultTabStop xmlns:w="http://schemas.openxmlformats.org/wordprocessingml/2006/main" w:val="420"/>
  <w:drawingGridVerticalSpacing w:val="156"/>
  <w:displayHorizontalDrawingGridEvery w:val="0"/>
  <w:displayVerticalDrawingGridEvery w:val="2"/>
  <w:characterSpacingControl w:val="compressPunctuation"/>
  <w:compat xmlns:w="http://schemas.openxmlformats.org/wordprocessingml/2006/main">
    <w:compatSetting w:name="compatibilityMode" w:uri="http://schemas.microsoft.com/office/word" w:val="15"/>
  </w:compat>
  <w:rsids>
    <w:rsidRoot w:val="2F5F4D45"/>
    <w:rsid w:val="059C2DDA"/>
    <w:rsid w:val="287C120D"/>
    <w:rsid w:val="2F5F4D45"/>
    <w:rsid w:val="58EF7D1B"/>
    <w:rsid w:val="6DFD238B"/>
    <w:rsid w:val="71FE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  <w:hyphenationZone xmlns:w="http://schemas.openxmlformats.org/wordprocessingml/2006/main" w:val="360"/>
  <w:decimalSymbol xmlns:w="http://schemas.openxmlformats.org/wordprocessingml/2006/main" w:val="."/>
  <w:listSeparator xmlns:w="http://schemas.openxmlformats.org/wordprocessingml/2006/main" w:val=";"/>
  <w:evenAndOddHeaders xmlns:w="http://schemas.openxmlformats.org/wordprocessingml/2006/main" w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
<Relationships  xmlns="http://schemas.openxmlformats.org/package/2006/relationships">
<Relationship Id="rId8" Type="http://schemas.openxmlformats.org/officeDocument/2006/relationships/fontTable" Target="fontTable.xml"/>
<Relationship Id="rId7" Type="http://schemas.openxmlformats.org/officeDocument/2006/relationships/image" Target="media/image4.png"/>
<Relationship Id="rId6" Type="http://schemas.openxmlformats.org/officeDocument/2006/relationships/image" Target="media/image3.png"/>
<Relationship Id="rId5" Type="http://schemas.openxmlformats.org/officeDocument/2006/relationships/image" Target="media/image2.png"/>
<Relationship Id="rId4" Type="http://schemas.openxmlformats.org/officeDocument/2006/relationships/image" Target="media/image1.png"/>
<Relationship Id="rId3" Type="http://schemas.openxmlformats.org/officeDocument/2006/relationships/theme" Target="theme/theme1.xml"/>
<Relationship Id="rId2" Type="http://schemas.openxmlformats.org/officeDocument/2006/relationships/settings" Target="settings.xml"/>
<Relationship Id="rId1" Type="http://schemas.openxmlformats.org/officeDocument/2006/relationships/styles" Target="styles.xml"/>
</Relationships>
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2026-07-29T17:54:00Z</dcterms:created>
  <dc:creator>ForestflyL</dc:creator>
  <cp:lastModifiedBy/>
  <dcterms:modified xsi:type="dcterms:W3CDTF">2026-07-31T10:15:57Z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AC18E317623C42468318C20CFE8C3878_11</vt:lpwstr>
  </property>
</Properties>
</file>