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98712" w14:textId="77777777" w:rsidR="006E489C" w:rsidRPr="00B657FE" w:rsidRDefault="006E489C" w:rsidP="006E489C">
      <w:pPr>
        <w:pStyle w:val="Heading1"/>
        <w:spacing w:before="340" w:after="160"/>
        <w:rPr>
          <w:color w:val="auto"/>
        </w:rPr>
      </w:pPr>
      <w:r w:rsidRPr="00B657FE">
        <w:rPr>
          <w:rFonts w:eastAsia="Cambria"/>
          <w:b/>
          <w:bCs/>
          <w:color w:val="auto"/>
          <w:sz w:val="26"/>
          <w:szCs w:val="26"/>
        </w:rPr>
        <w:t>Appendix. Notation</w:t>
      </w:r>
    </w:p>
    <w:tbl>
      <w:tblPr>
        <w:tblStyle w:val="TableGrid"/>
        <w:tblW w:w="9500" w:type="dxa"/>
        <w:tblLook w:val="0000" w:firstRow="0" w:lastRow="0" w:firstColumn="0" w:lastColumn="0" w:noHBand="0" w:noVBand="0"/>
      </w:tblPr>
      <w:tblGrid>
        <w:gridCol w:w="2600"/>
        <w:gridCol w:w="6900"/>
      </w:tblGrid>
      <w:tr w:rsidR="006E489C" w:rsidRPr="00B657FE" w14:paraId="23FC29E5" w14:textId="77777777" w:rsidTr="00304FC6">
        <w:tc>
          <w:tcPr>
            <w:tcW w:w="2600" w:type="dxa"/>
          </w:tcPr>
          <w:p w14:paraId="3C9F9163" w14:textId="77777777" w:rsidR="006E489C" w:rsidRPr="00B657FE" w:rsidRDefault="006E489C" w:rsidP="00304FC6">
            <w:r w:rsidRPr="00B657FE">
              <w:rPr>
                <w:rFonts w:eastAsia="Cambria"/>
                <w:b/>
                <w:bCs/>
              </w:rPr>
              <w:t>Symbol</w:t>
            </w:r>
          </w:p>
        </w:tc>
        <w:tc>
          <w:tcPr>
            <w:tcW w:w="6900" w:type="dxa"/>
          </w:tcPr>
          <w:p w14:paraId="50994BC2" w14:textId="77777777" w:rsidR="006E489C" w:rsidRPr="00B657FE" w:rsidRDefault="006E489C" w:rsidP="00304FC6">
            <w:r w:rsidRPr="00B657FE">
              <w:rPr>
                <w:rFonts w:eastAsia="Cambria"/>
                <w:b/>
                <w:bCs/>
              </w:rPr>
              <w:t>Meaning</w:t>
            </w:r>
          </w:p>
        </w:tc>
      </w:tr>
      <w:tr w:rsidR="006E489C" w:rsidRPr="00B657FE" w14:paraId="4D0A6854" w14:textId="77777777" w:rsidTr="00304FC6">
        <w:tc>
          <w:tcPr>
            <w:tcW w:w="2600" w:type="dxa"/>
          </w:tcPr>
          <w:p w14:paraId="1BDFF68F" w14:textId="77777777" w:rsidR="006E489C" w:rsidRPr="00B657FE" w:rsidRDefault="006E489C" w:rsidP="00304FC6">
            <w:r w:rsidRPr="00B657FE">
              <w:rPr>
                <w:rFonts w:eastAsia="Cambria"/>
              </w:rPr>
              <w:t>p(t), q(t)</w:t>
            </w:r>
          </w:p>
        </w:tc>
        <w:tc>
          <w:tcPr>
            <w:tcW w:w="6900" w:type="dxa"/>
          </w:tcPr>
          <w:p w14:paraId="7A02808C" w14:textId="77777777" w:rsidR="006E489C" w:rsidRPr="00B657FE" w:rsidRDefault="006E489C" w:rsidP="00304FC6">
            <w:r w:rsidRPr="00B657FE">
              <w:rPr>
                <w:rFonts w:eastAsia="Cambria"/>
              </w:rPr>
              <w:t>Generalized (modal) coordinates of the deck (girder) mode and the cable mode</w:t>
            </w:r>
          </w:p>
        </w:tc>
      </w:tr>
      <w:tr w:rsidR="006E489C" w:rsidRPr="00B657FE" w14:paraId="6B763A1C" w14:textId="77777777" w:rsidTr="00304FC6">
        <w:tc>
          <w:tcPr>
            <w:tcW w:w="2600" w:type="dxa"/>
          </w:tcPr>
          <w:p w14:paraId="235146E5" w14:textId="77777777" w:rsidR="006E489C" w:rsidRPr="00B657FE" w:rsidRDefault="006E489C" w:rsidP="00304FC6">
            <w:r w:rsidRPr="00B657FE">
              <w:rPr>
                <w:rFonts w:eastAsia="Cambria"/>
              </w:rPr>
              <w:t>ω</w:t>
            </w:r>
            <w:r w:rsidRPr="00B657FE">
              <w:rPr>
                <w:rFonts w:eastAsia="Cambria"/>
                <w:vertAlign w:val="subscript"/>
              </w:rPr>
              <w:t>p</w:t>
            </w:r>
            <w:r w:rsidRPr="00B657FE">
              <w:rPr>
                <w:rFonts w:eastAsia="Cambria"/>
              </w:rPr>
              <w:t>, ω</w:t>
            </w:r>
            <w:r w:rsidRPr="00B657FE">
              <w:rPr>
                <w:rFonts w:eastAsia="Cambria"/>
                <w:vertAlign w:val="subscript"/>
              </w:rPr>
              <w:t>q</w:t>
            </w:r>
          </w:p>
        </w:tc>
        <w:tc>
          <w:tcPr>
            <w:tcW w:w="6900" w:type="dxa"/>
          </w:tcPr>
          <w:p w14:paraId="001973A5" w14:textId="77777777" w:rsidR="006E489C" w:rsidRPr="00B657FE" w:rsidRDefault="006E489C" w:rsidP="00304FC6">
            <w:r w:rsidRPr="00B657FE">
              <w:rPr>
                <w:rFonts w:eastAsia="Cambria"/>
              </w:rPr>
              <w:t>Linear natural frequencies of the deck mode and cable mode (2:1 internal resonance: ω</w:t>
            </w:r>
            <w:r w:rsidRPr="00B657FE">
              <w:rPr>
                <w:rFonts w:eastAsia="Cambria"/>
                <w:vertAlign w:val="subscript"/>
              </w:rPr>
              <w:t>p</w:t>
            </w:r>
            <w:r w:rsidRPr="00B657FE">
              <w:rPr>
                <w:rFonts w:eastAsia="Cambria"/>
              </w:rPr>
              <w:t xml:space="preserve"> ≈ 2ω</w:t>
            </w:r>
            <w:r w:rsidRPr="00B657FE">
              <w:rPr>
                <w:rFonts w:eastAsia="Cambria"/>
                <w:vertAlign w:val="subscript"/>
              </w:rPr>
              <w:t>q</w:t>
            </w:r>
            <w:r w:rsidRPr="00B657FE">
              <w:rPr>
                <w:rFonts w:eastAsia="Cambria"/>
              </w:rPr>
              <w:t>)</w:t>
            </w:r>
          </w:p>
        </w:tc>
      </w:tr>
      <w:tr w:rsidR="006E489C" w:rsidRPr="00B657FE" w14:paraId="7D59914D" w14:textId="77777777" w:rsidTr="00304FC6">
        <w:tc>
          <w:tcPr>
            <w:tcW w:w="2600" w:type="dxa"/>
          </w:tcPr>
          <w:p w14:paraId="31A034B7" w14:textId="77777777" w:rsidR="006E489C" w:rsidRPr="00B657FE" w:rsidRDefault="006E489C" w:rsidP="00304FC6">
            <w:r w:rsidRPr="00B657FE">
              <w:rPr>
                <w:rFonts w:eastAsia="Cambria"/>
              </w:rPr>
              <w:t>Ω</w:t>
            </w:r>
          </w:p>
        </w:tc>
        <w:tc>
          <w:tcPr>
            <w:tcW w:w="6900" w:type="dxa"/>
          </w:tcPr>
          <w:p w14:paraId="6A13315C" w14:textId="77777777" w:rsidR="006E489C" w:rsidRPr="00B657FE" w:rsidRDefault="006E489C" w:rsidP="00304FC6">
            <w:r w:rsidRPr="00B657FE">
              <w:rPr>
                <w:rFonts w:eastAsia="Cambria"/>
              </w:rPr>
              <w:t>External excitation frequency, near the deck's primary resonance (Ω ≈ ω</w:t>
            </w:r>
            <w:r w:rsidRPr="00B657FE">
              <w:rPr>
                <w:rFonts w:eastAsia="Cambria"/>
                <w:vertAlign w:val="subscript"/>
              </w:rPr>
              <w:t>p</w:t>
            </w:r>
            <w:r w:rsidRPr="00B657FE">
              <w:rPr>
                <w:rFonts w:eastAsia="Cambria"/>
              </w:rPr>
              <w:t>)</w:t>
            </w:r>
          </w:p>
        </w:tc>
      </w:tr>
      <w:tr w:rsidR="006E489C" w:rsidRPr="00B657FE" w14:paraId="0252CE47" w14:textId="77777777" w:rsidTr="00304FC6">
        <w:tc>
          <w:tcPr>
            <w:tcW w:w="2600" w:type="dxa"/>
          </w:tcPr>
          <w:p w14:paraId="702832FA" w14:textId="77777777" w:rsidR="006E489C" w:rsidRPr="00B657FE" w:rsidRDefault="006E489C" w:rsidP="00304FC6">
            <w:r w:rsidRPr="00B657FE">
              <w:rPr>
                <w:rFonts w:eastAsia="Cambria"/>
              </w:rPr>
              <w:t>σ</w:t>
            </w:r>
            <w:r w:rsidRPr="00B657FE">
              <w:rPr>
                <w:rFonts w:eastAsia="Cambria"/>
                <w:vertAlign w:val="subscript"/>
              </w:rPr>
              <w:t>1</w:t>
            </w:r>
            <w:r w:rsidRPr="00B657FE">
              <w:rPr>
                <w:rFonts w:eastAsia="Cambria"/>
              </w:rPr>
              <w:t>, σ</w:t>
            </w:r>
            <w:r w:rsidRPr="00B657FE">
              <w:rPr>
                <w:rFonts w:eastAsia="Cambria"/>
                <w:vertAlign w:val="subscript"/>
              </w:rPr>
              <w:t>2</w:t>
            </w:r>
          </w:p>
        </w:tc>
        <w:tc>
          <w:tcPr>
            <w:tcW w:w="6900" w:type="dxa"/>
          </w:tcPr>
          <w:p w14:paraId="51389256" w14:textId="77777777" w:rsidR="006E489C" w:rsidRPr="00B657FE" w:rsidRDefault="006E489C" w:rsidP="00304FC6">
            <w:r w:rsidRPr="00B657FE">
              <w:rPr>
                <w:rFonts w:eastAsia="Cambria"/>
              </w:rPr>
              <w:t>External and internal detuning parameters</w:t>
            </w:r>
          </w:p>
        </w:tc>
      </w:tr>
      <w:tr w:rsidR="006E489C" w:rsidRPr="00B657FE" w14:paraId="5C40B17A" w14:textId="77777777" w:rsidTr="00304FC6">
        <w:tc>
          <w:tcPr>
            <w:tcW w:w="2600" w:type="dxa"/>
          </w:tcPr>
          <w:p w14:paraId="3DC035E3" w14:textId="77777777" w:rsidR="006E489C" w:rsidRPr="00B657FE" w:rsidRDefault="006E489C" w:rsidP="00304FC6">
            <w:r w:rsidRPr="00B657FE">
              <w:rPr>
                <w:rFonts w:eastAsia="Cambria"/>
              </w:rPr>
              <w:t>μ</w:t>
            </w:r>
            <w:r w:rsidRPr="00B657FE">
              <w:rPr>
                <w:rFonts w:eastAsia="Cambria"/>
                <w:vertAlign w:val="subscript"/>
              </w:rPr>
              <w:t>p</w:t>
            </w:r>
          </w:p>
        </w:tc>
        <w:tc>
          <w:tcPr>
            <w:tcW w:w="6900" w:type="dxa"/>
          </w:tcPr>
          <w:p w14:paraId="11E012DF" w14:textId="77777777" w:rsidR="006E489C" w:rsidRPr="00B657FE" w:rsidRDefault="006E489C" w:rsidP="00304FC6">
            <w:r w:rsidRPr="00B657FE">
              <w:rPr>
                <w:rFonts w:eastAsia="Cambria"/>
              </w:rPr>
              <w:t>Classical linear damping ratio-type coefficient of the deck mode</w:t>
            </w:r>
          </w:p>
        </w:tc>
      </w:tr>
      <w:tr w:rsidR="006E489C" w:rsidRPr="00B657FE" w14:paraId="6DDEC65F" w14:textId="77777777" w:rsidTr="00304FC6">
        <w:tc>
          <w:tcPr>
            <w:tcW w:w="2600" w:type="dxa"/>
          </w:tcPr>
          <w:p w14:paraId="38E58590" w14:textId="77777777" w:rsidR="006E489C" w:rsidRPr="00B657FE" w:rsidRDefault="006E489C" w:rsidP="00304FC6">
            <w:r w:rsidRPr="00B657FE">
              <w:rPr>
                <w:rFonts w:eastAsia="Cambria"/>
              </w:rPr>
              <w:t>c</w:t>
            </w:r>
            <w:r w:rsidRPr="00B657FE">
              <w:rPr>
                <w:rFonts w:eastAsia="Cambria"/>
                <w:vertAlign w:val="subscript"/>
              </w:rPr>
              <w:t>f</w:t>
            </w:r>
            <w:r w:rsidRPr="00B657FE">
              <w:rPr>
                <w:rFonts w:eastAsia="Cambria"/>
              </w:rPr>
              <w:t>, α</w:t>
            </w:r>
          </w:p>
        </w:tc>
        <w:tc>
          <w:tcPr>
            <w:tcW w:w="6900" w:type="dxa"/>
          </w:tcPr>
          <w:p w14:paraId="5841C2E6" w14:textId="77777777" w:rsidR="006E489C" w:rsidRPr="00B657FE" w:rsidRDefault="006E489C" w:rsidP="00304FC6">
            <w:r w:rsidRPr="00B657FE">
              <w:rPr>
                <w:rFonts w:eastAsia="Cambria"/>
              </w:rPr>
              <w:t>Fractional (Caputo) damping coefficient and order applied to the cable mode</w:t>
            </w:r>
          </w:p>
        </w:tc>
      </w:tr>
      <w:tr w:rsidR="006E489C" w:rsidRPr="00B657FE" w14:paraId="0DB6FEDD" w14:textId="77777777" w:rsidTr="00304FC6">
        <w:tc>
          <w:tcPr>
            <w:tcW w:w="2600" w:type="dxa"/>
          </w:tcPr>
          <w:p w14:paraId="166D1C08" w14:textId="77777777" w:rsidR="006E489C" w:rsidRPr="00B657FE" w:rsidRDefault="006E489C" w:rsidP="00304FC6">
            <w:r w:rsidRPr="00B657FE">
              <w:rPr>
                <w:rFonts w:eastAsia="Cambria"/>
              </w:rPr>
              <w:t>ν</w:t>
            </w:r>
            <w:r w:rsidRPr="00B657FE">
              <w:rPr>
                <w:rFonts w:eastAsia="Cambria"/>
                <w:vertAlign w:val="subscript"/>
              </w:rPr>
              <w:t>p</w:t>
            </w:r>
            <w:r w:rsidRPr="00B657FE">
              <w:rPr>
                <w:rFonts w:eastAsia="Cambria"/>
              </w:rPr>
              <w:t>, ν</w:t>
            </w:r>
            <w:r w:rsidRPr="00B657FE">
              <w:rPr>
                <w:rFonts w:eastAsia="Cambria"/>
                <w:vertAlign w:val="subscript"/>
              </w:rPr>
              <w:t>q</w:t>
            </w:r>
          </w:p>
        </w:tc>
        <w:tc>
          <w:tcPr>
            <w:tcW w:w="6900" w:type="dxa"/>
          </w:tcPr>
          <w:p w14:paraId="72D91993" w14:textId="77777777" w:rsidR="006E489C" w:rsidRPr="00B657FE" w:rsidRDefault="006E489C" w:rsidP="00304FC6">
            <w:r w:rsidRPr="00B657FE">
              <w:rPr>
                <w:rFonts w:eastAsia="Cambria"/>
              </w:rPr>
              <w:t>Quadratic nonlinear coupling coefficients (deck-cable autoparametric interaction)</w:t>
            </w:r>
          </w:p>
        </w:tc>
      </w:tr>
      <w:tr w:rsidR="006E489C" w:rsidRPr="00B657FE" w14:paraId="400F55E9" w14:textId="77777777" w:rsidTr="00304FC6">
        <w:tc>
          <w:tcPr>
            <w:tcW w:w="2600" w:type="dxa"/>
          </w:tcPr>
          <w:p w14:paraId="405C0B79" w14:textId="77777777" w:rsidR="006E489C" w:rsidRPr="00B657FE" w:rsidRDefault="006E489C" w:rsidP="00304FC6">
            <w:r w:rsidRPr="00B657FE">
              <w:rPr>
                <w:rFonts w:eastAsia="Cambria"/>
              </w:rPr>
              <w:t>D</w:t>
            </w:r>
            <w:r w:rsidRPr="00B657FE">
              <w:rPr>
                <w:rFonts w:eastAsia="Cambria"/>
                <w:vertAlign w:val="subscript"/>
              </w:rPr>
              <w:t>t</w:t>
            </w:r>
            <w:r w:rsidRPr="00B657FE">
              <w:rPr>
                <w:rFonts w:eastAsia="Cambria"/>
                <w:vertAlign w:val="superscript"/>
              </w:rPr>
              <w:t>α</w:t>
            </w:r>
            <w:r w:rsidRPr="00B657FE">
              <w:rPr>
                <w:rFonts w:eastAsia="Cambria"/>
              </w:rPr>
              <w:t xml:space="preserve"> x(t)</w:t>
            </w:r>
          </w:p>
        </w:tc>
        <w:tc>
          <w:tcPr>
            <w:tcW w:w="6900" w:type="dxa"/>
          </w:tcPr>
          <w:p w14:paraId="2630FAB9" w14:textId="77777777" w:rsidR="006E489C" w:rsidRPr="00B657FE" w:rsidRDefault="006E489C" w:rsidP="00304FC6">
            <w:r w:rsidRPr="00B657FE">
              <w:rPr>
                <w:rFonts w:eastAsia="Cambria"/>
              </w:rPr>
              <w:t>Caputo fractional derivative of x(t) of order α with respect to time t</w:t>
            </w:r>
          </w:p>
        </w:tc>
      </w:tr>
      <w:tr w:rsidR="006E489C" w:rsidRPr="00B657FE" w14:paraId="5C184BE0" w14:textId="77777777" w:rsidTr="00304FC6">
        <w:tc>
          <w:tcPr>
            <w:tcW w:w="2600" w:type="dxa"/>
          </w:tcPr>
          <w:p w14:paraId="275FA928" w14:textId="77777777" w:rsidR="006E489C" w:rsidRPr="00B657FE" w:rsidRDefault="006E489C" w:rsidP="00304FC6">
            <w:r w:rsidRPr="00B657FE">
              <w:rPr>
                <w:rFonts w:eastAsia="Cambria"/>
              </w:rPr>
              <w:t>a, b</w:t>
            </w:r>
          </w:p>
        </w:tc>
        <w:tc>
          <w:tcPr>
            <w:tcW w:w="6900" w:type="dxa"/>
          </w:tcPr>
          <w:p w14:paraId="1BE93162" w14:textId="77777777" w:rsidR="006E489C" w:rsidRPr="00B657FE" w:rsidRDefault="006E489C" w:rsidP="00304FC6">
            <w:r w:rsidRPr="00B657FE">
              <w:rPr>
                <w:rFonts w:eastAsia="Cambria"/>
              </w:rPr>
              <w:t>Slowly varying amplitudes of the deck mode and cable mode (polar modulation variables)</w:t>
            </w:r>
          </w:p>
        </w:tc>
      </w:tr>
      <w:tr w:rsidR="006E489C" w:rsidRPr="00B657FE" w14:paraId="604A0737" w14:textId="77777777" w:rsidTr="00304FC6">
        <w:tc>
          <w:tcPr>
            <w:tcW w:w="2600" w:type="dxa"/>
          </w:tcPr>
          <w:p w14:paraId="2B23B0F6" w14:textId="77777777" w:rsidR="006E489C" w:rsidRPr="00B657FE" w:rsidRDefault="006E489C" w:rsidP="00304FC6">
            <w:r w:rsidRPr="00B657FE">
              <w:rPr>
                <w:rFonts w:eastAsia="Cambria"/>
              </w:rPr>
              <w:t>γ</w:t>
            </w:r>
            <w:r w:rsidRPr="00B657FE">
              <w:rPr>
                <w:rFonts w:eastAsia="Cambria"/>
                <w:vertAlign w:val="subscript"/>
              </w:rPr>
              <w:t>1</w:t>
            </w:r>
            <w:r w:rsidRPr="00B657FE">
              <w:rPr>
                <w:rFonts w:eastAsia="Cambria"/>
              </w:rPr>
              <w:t>, γ</w:t>
            </w:r>
            <w:r w:rsidRPr="00B657FE">
              <w:rPr>
                <w:rFonts w:eastAsia="Cambria"/>
                <w:vertAlign w:val="subscript"/>
              </w:rPr>
              <w:t>2</w:t>
            </w:r>
          </w:p>
        </w:tc>
        <w:tc>
          <w:tcPr>
            <w:tcW w:w="6900" w:type="dxa"/>
          </w:tcPr>
          <w:p w14:paraId="13488604" w14:textId="77777777" w:rsidR="006E489C" w:rsidRPr="00B657FE" w:rsidRDefault="006E489C" w:rsidP="00304FC6">
            <w:r w:rsidRPr="00B657FE">
              <w:rPr>
                <w:rFonts w:eastAsia="Cambria"/>
              </w:rPr>
              <w:t>External and internal resonance phase-mismatch variables</w:t>
            </w:r>
          </w:p>
        </w:tc>
      </w:tr>
      <w:tr w:rsidR="006E489C" w:rsidRPr="00B657FE" w14:paraId="1AB67381" w14:textId="77777777" w:rsidTr="00304FC6">
        <w:tc>
          <w:tcPr>
            <w:tcW w:w="2600" w:type="dxa"/>
          </w:tcPr>
          <w:p w14:paraId="1303B8ED" w14:textId="77777777" w:rsidR="006E489C" w:rsidRPr="00B657FE" w:rsidRDefault="006E489C" w:rsidP="00304FC6">
            <w:r w:rsidRPr="00B657FE">
              <w:rPr>
                <w:rFonts w:eastAsia="Cambria"/>
              </w:rPr>
              <w:t>μ</w:t>
            </w:r>
            <w:r w:rsidRPr="00B657FE">
              <w:rPr>
                <w:rFonts w:eastAsia="Cambria"/>
                <w:vertAlign w:val="subscript"/>
              </w:rPr>
              <w:t>q,eff</w:t>
            </w:r>
            <w:r w:rsidRPr="00B657FE">
              <w:rPr>
                <w:rFonts w:eastAsia="Cambria"/>
              </w:rPr>
              <w:t>(α), Δω</w:t>
            </w:r>
            <w:r w:rsidRPr="00B657FE">
              <w:rPr>
                <w:rFonts w:eastAsia="Cambria"/>
                <w:vertAlign w:val="subscript"/>
              </w:rPr>
              <w:t>q,eff</w:t>
            </w:r>
            <w:r w:rsidRPr="00B657FE">
              <w:rPr>
                <w:rFonts w:eastAsia="Cambria"/>
              </w:rPr>
              <w:t>(α)</w:t>
            </w:r>
          </w:p>
        </w:tc>
        <w:tc>
          <w:tcPr>
            <w:tcW w:w="6900" w:type="dxa"/>
          </w:tcPr>
          <w:p w14:paraId="10DA1DD0" w14:textId="77777777" w:rsidR="006E489C" w:rsidRPr="00B657FE" w:rsidRDefault="006E489C" w:rsidP="00304FC6">
            <w:r w:rsidRPr="00B657FE">
              <w:rPr>
                <w:rFonts w:eastAsia="Cambria"/>
              </w:rPr>
              <w:t>Effective damping and effective frequency shift induced by the fractional cable term</w:t>
            </w:r>
          </w:p>
        </w:tc>
      </w:tr>
      <w:tr w:rsidR="006E489C" w:rsidRPr="00B657FE" w14:paraId="0DDF02D2" w14:textId="77777777" w:rsidTr="00304FC6">
        <w:tc>
          <w:tcPr>
            <w:tcW w:w="2600" w:type="dxa"/>
          </w:tcPr>
          <w:p w14:paraId="6479E584" w14:textId="77777777" w:rsidR="006E489C" w:rsidRPr="00B657FE" w:rsidRDefault="006E489C" w:rsidP="00304FC6">
            <w:r w:rsidRPr="00B657FE">
              <w:rPr>
                <w:rFonts w:eastAsia="Cambria"/>
              </w:rPr>
              <w:t>a</w:t>
            </w:r>
            <w:r w:rsidRPr="00B657FE">
              <w:rPr>
                <w:rFonts w:eastAsia="Cambria"/>
                <w:vertAlign w:val="subscript"/>
              </w:rPr>
              <w:t>0</w:t>
            </w:r>
            <w:r w:rsidRPr="00B657FE">
              <w:rPr>
                <w:rFonts w:eastAsia="Cambria"/>
              </w:rPr>
              <w:t>(σ</w:t>
            </w:r>
            <w:r w:rsidRPr="00B657FE">
              <w:rPr>
                <w:rFonts w:eastAsia="Cambria"/>
                <w:vertAlign w:val="subscript"/>
              </w:rPr>
              <w:t>1</w:t>
            </w:r>
            <w:r w:rsidRPr="00B657FE">
              <w:rPr>
                <w:rFonts w:eastAsia="Cambria"/>
              </w:rPr>
              <w:t>)</w:t>
            </w:r>
          </w:p>
        </w:tc>
        <w:tc>
          <w:tcPr>
            <w:tcW w:w="6900" w:type="dxa"/>
          </w:tcPr>
          <w:p w14:paraId="3366E7FF" w14:textId="77777777" w:rsidR="006E489C" w:rsidRPr="00B657FE" w:rsidRDefault="006E489C" w:rsidP="00304FC6">
            <w:r w:rsidRPr="00B657FE">
              <w:rPr>
                <w:rFonts w:eastAsia="Cambria"/>
              </w:rPr>
              <w:t>Forced ("trivial", deck-only) steady-state response amplitude</w:t>
            </w:r>
          </w:p>
        </w:tc>
      </w:tr>
      <w:tr w:rsidR="006E489C" w:rsidRPr="00B657FE" w14:paraId="10C428DB" w14:textId="77777777" w:rsidTr="00304FC6">
        <w:tc>
          <w:tcPr>
            <w:tcW w:w="2600" w:type="dxa"/>
          </w:tcPr>
          <w:p w14:paraId="3F7BFC52" w14:textId="77777777" w:rsidR="006E489C" w:rsidRPr="00B657FE" w:rsidRDefault="006E489C" w:rsidP="00304FC6">
            <w:r w:rsidRPr="00B657FE">
              <w:rPr>
                <w:rFonts w:eastAsia="Cambria"/>
              </w:rPr>
              <w:t>a</w:t>
            </w:r>
            <w:r w:rsidRPr="00B657FE">
              <w:rPr>
                <w:rFonts w:eastAsia="Cambria"/>
                <w:vertAlign w:val="subscript"/>
              </w:rPr>
              <w:t>0,crit</w:t>
            </w:r>
            <w:r w:rsidRPr="00B657FE">
              <w:rPr>
                <w:rFonts w:eastAsia="Cambria"/>
              </w:rPr>
              <w:t>(σ</w:t>
            </w:r>
            <w:r w:rsidRPr="00B657FE">
              <w:rPr>
                <w:rFonts w:eastAsia="Cambria"/>
                <w:vertAlign w:val="subscript"/>
              </w:rPr>
              <w:t>1</w:t>
            </w:r>
            <w:r w:rsidRPr="00B657FE">
              <w:rPr>
                <w:rFonts w:eastAsia="Cambria"/>
              </w:rPr>
              <w:t>,σ</w:t>
            </w:r>
            <w:r w:rsidRPr="00B657FE">
              <w:rPr>
                <w:rFonts w:eastAsia="Cambria"/>
                <w:vertAlign w:val="subscript"/>
              </w:rPr>
              <w:t>2</w:t>
            </w:r>
            <w:r w:rsidRPr="00B657FE">
              <w:rPr>
                <w:rFonts w:eastAsia="Cambria"/>
              </w:rPr>
              <w:t>;α)</w:t>
            </w:r>
          </w:p>
        </w:tc>
        <w:tc>
          <w:tcPr>
            <w:tcW w:w="6900" w:type="dxa"/>
          </w:tcPr>
          <w:p w14:paraId="128B9AF3" w14:textId="77777777" w:rsidR="006E489C" w:rsidRPr="00B657FE" w:rsidRDefault="006E489C" w:rsidP="00304FC6">
            <w:r w:rsidRPr="00B657FE">
              <w:rPr>
                <w:rFonts w:eastAsia="Cambria"/>
              </w:rPr>
              <w:t>Critical deck amplitude at which the trivial branch loses stability (autoparametric onset)</w:t>
            </w:r>
          </w:p>
        </w:tc>
      </w:tr>
      <w:tr w:rsidR="006E489C" w:rsidRPr="00B657FE" w14:paraId="2F40464C" w14:textId="77777777" w:rsidTr="00304FC6">
        <w:tc>
          <w:tcPr>
            <w:tcW w:w="2600" w:type="dxa"/>
          </w:tcPr>
          <w:p w14:paraId="50602576" w14:textId="77777777" w:rsidR="006E489C" w:rsidRPr="00B657FE" w:rsidRDefault="006E489C" w:rsidP="00304FC6">
            <w:r w:rsidRPr="00B657FE">
              <w:rPr>
                <w:rFonts w:eastAsia="Cambria"/>
              </w:rPr>
              <w:t>M, C, K, Cf</w:t>
            </w:r>
          </w:p>
        </w:tc>
        <w:tc>
          <w:tcPr>
            <w:tcW w:w="6900" w:type="dxa"/>
          </w:tcPr>
          <w:p w14:paraId="1389F9C9" w14:textId="77777777" w:rsidR="006E489C" w:rsidRPr="00B657FE" w:rsidRDefault="006E489C" w:rsidP="00304FC6">
            <w:r w:rsidRPr="00B657FE">
              <w:rPr>
                <w:rFonts w:eastAsia="Cambria"/>
              </w:rPr>
              <w:t>Global mass, classical damping, stiffness, and fractional damping matrices (finite-element extension, Section 4.3)</w:t>
            </w:r>
          </w:p>
        </w:tc>
      </w:tr>
    </w:tbl>
    <w:p w14:paraId="4FD5A6E1" w14:textId="77777777" w:rsidR="006E489C" w:rsidRPr="00B657FE" w:rsidRDefault="006E489C" w:rsidP="006E489C"/>
    <w:p w14:paraId="3C860F38" w14:textId="77777777" w:rsidR="00DE6AE2" w:rsidRDefault="00DE6AE2"/>
    <w:sectPr w:rsidR="00DE6AE2" w:rsidSect="006E489C">
      <w:headerReference w:type="default" r:id="rId4"/>
      <w:footerReference w:type="default" r:id="rId5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5507A" w14:textId="77777777" w:rsidR="006E489C" w:rsidRDefault="006E489C">
    <w:pPr>
      <w:jc w:val="center"/>
    </w:pPr>
    <w:r>
      <w:rPr>
        <w:rFonts w:ascii="Cambria" w:eastAsia="Cambria" w:hAnsi="Cambria" w:cs="Cambria"/>
        <w:sz w:val="18"/>
        <w:szCs w:val="18"/>
      </w:rPr>
      <w:fldChar w:fldCharType="begin"/>
    </w:r>
    <w:r>
      <w:rPr>
        <w:rFonts w:ascii="Cambria" w:eastAsia="Cambria" w:hAnsi="Cambria" w:cs="Cambria"/>
        <w:sz w:val="18"/>
        <w:szCs w:val="18"/>
      </w:rPr>
      <w:instrText>PAGE</w:instrText>
    </w:r>
    <w:r>
      <w:rPr>
        <w:rFonts w:ascii="Cambria" w:eastAsia="Cambria" w:hAnsi="Cambria" w:cs="Cambria"/>
        <w:sz w:val="18"/>
        <w:szCs w:val="18"/>
      </w:rPr>
      <w:fldChar w:fldCharType="separate"/>
    </w:r>
    <w:r>
      <w:rPr>
        <w:rFonts w:ascii="Cambria" w:eastAsia="Cambria" w:hAnsi="Cambria" w:cs="Cambria"/>
        <w:noProof/>
        <w:sz w:val="18"/>
        <w:szCs w:val="18"/>
      </w:rPr>
      <w:t>1</w:t>
    </w:r>
    <w:r>
      <w:rPr>
        <w:rFonts w:ascii="Cambria" w:eastAsia="Cambria" w:hAnsi="Cambria" w:cs="Cambria"/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FD456" w14:textId="77777777" w:rsidR="006E489C" w:rsidRDefault="006E489C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89C"/>
    <w:rsid w:val="00195413"/>
    <w:rsid w:val="003A03A7"/>
    <w:rsid w:val="003D0186"/>
    <w:rsid w:val="006E489C"/>
    <w:rsid w:val="007278E4"/>
    <w:rsid w:val="00A3738C"/>
    <w:rsid w:val="00A940DB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F6757"/>
  <w15:chartTrackingRefBased/>
  <w15:docId w15:val="{88DF088A-4CD3-4B61-8561-117A32630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89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489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489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489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489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489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489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489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489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489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48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48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48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48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48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48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48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48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48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48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E48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489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E48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489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E48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489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E48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48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48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489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E489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1065</Characters>
  <Application>Microsoft Office Word</Application>
  <DocSecurity>0</DocSecurity>
  <Lines>8</Lines>
  <Paragraphs>2</Paragraphs>
  <ScaleCrop>false</ScaleCrop>
  <Company>Springer Nature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2026-08-04T05:37:00Z</dcterms:created>
  <dcterms:modified xsi:type="dcterms:W3CDTF">2026-08-04T05:37:00Z</dcterms:modified>
</cp:coreProperties>
</file>