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F49" w:rsidRPr="00183BC5" w:rsidRDefault="00000F49" w:rsidP="00000F49">
      <w:pPr>
        <w:pStyle w:val="Heading1"/>
      </w:pPr>
      <w:r w:rsidRPr="00183BC5">
        <w:t>Supplementary information</w:t>
      </w:r>
    </w:p>
    <w:p w:rsidR="00000F49" w:rsidRPr="00183BC5" w:rsidRDefault="00000F49" w:rsidP="00000F49">
      <w:pPr>
        <w:pStyle w:val="NormalWeb"/>
        <w:spacing w:before="240" w:beforeAutospacing="0" w:after="0" w:afterAutospacing="0" w:line="480" w:lineRule="auto"/>
        <w:jc w:val="both"/>
        <w:rPr>
          <w:color w:val="000000"/>
          <w:shd w:val="clear" w:color="auto" w:fill="FFFFFF"/>
        </w:rPr>
      </w:pPr>
      <w:r w:rsidRPr="00183BC5">
        <w:rPr>
          <w:color w:val="000000"/>
          <w:shd w:val="clear" w:color="auto" w:fill="FFFFFF"/>
        </w:rPr>
        <w:t>Supplementary information is provided in two files: Supplementary Information 1 (SI1), containing methodological details and additional results, and Supplementary Information 2 (SI2), providing complete LCIs</w:t>
      </w:r>
      <w:r>
        <w:rPr>
          <w:color w:val="000000"/>
          <w:shd w:val="clear" w:color="auto" w:fill="FFFFFF"/>
        </w:rPr>
        <w:t xml:space="preserve">, full LCIA, </w:t>
      </w:r>
      <w:r w:rsidRPr="00183BC5">
        <w:rPr>
          <w:color w:val="000000"/>
          <w:shd w:val="clear" w:color="auto" w:fill="FFFFFF"/>
        </w:rPr>
        <w:t>and other extensive tables.</w:t>
      </w:r>
    </w:p>
    <w:p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49"/>
    <w:rsid w:val="00000F49"/>
    <w:rsid w:val="000C4033"/>
    <w:rsid w:val="00173ED8"/>
    <w:rsid w:val="002F50B1"/>
    <w:rsid w:val="004B42CB"/>
    <w:rsid w:val="005F2B46"/>
    <w:rsid w:val="006E1731"/>
    <w:rsid w:val="008651BB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D317B-B5D9-4CAE-B6D0-A7AF0594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F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0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2026-08-21T14:11:00Z</dcterms:created>
  <dcterms:modified xsi:type="dcterms:W3CDTF">2026-08-21T14:11:00Z</dcterms:modified>
</cp:coreProperties>
</file>