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E1AFF7" w14:textId="77777777" w:rsidR="0075340A" w:rsidRDefault="0075340A" w:rsidP="008E716F">
      <w:pPr>
        <w:spacing w:before="120" w:after="120" w:line="360" w:lineRule="auto"/>
        <w:ind w:left="360"/>
        <w:jc w:val="both"/>
      </w:pPr>
      <w:r w:rsidRPr="0075340A">
        <w:t xml:space="preserve">Etoricoxib Versus Diclofenac Sodium Intramuscular Injections in Acute </w:t>
      </w:r>
      <w:proofErr w:type="spellStart"/>
      <w:r w:rsidRPr="0075340A">
        <w:t>Orthopaedic</w:t>
      </w:r>
      <w:proofErr w:type="spellEnd"/>
      <w:r w:rsidRPr="0075340A">
        <w:t xml:space="preserve"> Pain Management: A Randomized, Open-Label Pilot </w:t>
      </w:r>
      <w:proofErr w:type="spellStart"/>
      <w:r w:rsidRPr="0075340A">
        <w:t>Trial.</w:t>
      </w:r>
    </w:p>
    <w:p w14:paraId="43D9C43B" w14:textId="16D4D450" w:rsidR="008E716F" w:rsidRPr="008E716F" w:rsidRDefault="008E716F" w:rsidP="008E716F">
      <w:pPr>
        <w:spacing w:before="120" w:after="120" w:line="360" w:lineRule="auto"/>
        <w:ind w:left="360"/>
        <w:jc w:val="both"/>
      </w:pPr>
      <w:r w:rsidRPr="008E716F">
        <w:t>Pravi</w:t>
      </w:r>
      <w:proofErr w:type="spellEnd"/>
      <w:r w:rsidRPr="008E716F">
        <w:t xml:space="preserve">n Selvi Saravanan1, Aishwaryaa Anand1, Lokesh R1, </w:t>
      </w:r>
      <w:proofErr w:type="spellStart"/>
      <w:r w:rsidRPr="008E716F">
        <w:t>Lithesh.S</w:t>
      </w:r>
      <w:proofErr w:type="spellEnd"/>
      <w:r w:rsidRPr="008E716F">
        <w:t>. K1, N. Gowthaman2, Sarumathy. S1*</w:t>
      </w:r>
    </w:p>
    <w:p w14:paraId="1449E0EE" w14:textId="77777777" w:rsidR="008E716F" w:rsidRPr="008E716F" w:rsidRDefault="008E716F" w:rsidP="008E716F">
      <w:pPr>
        <w:spacing w:before="120" w:after="120" w:line="360" w:lineRule="auto"/>
        <w:ind w:left="360"/>
        <w:jc w:val="both"/>
      </w:pPr>
      <w:r w:rsidRPr="008E716F">
        <w:t>1.</w:t>
      </w:r>
      <w:r w:rsidRPr="008E716F">
        <w:tab/>
        <w:t>Department of Pharmacy Practice, SRM College of Pharmacy, SRM Institute of Science and Technology, Kattankulathur-603203, Chengalpattu (DT), Tamil Nadu.</w:t>
      </w:r>
    </w:p>
    <w:p w14:paraId="271BAEA4" w14:textId="77777777" w:rsidR="008E716F" w:rsidRPr="008E716F" w:rsidRDefault="008E716F" w:rsidP="008E716F">
      <w:pPr>
        <w:spacing w:before="120" w:after="120" w:line="360" w:lineRule="auto"/>
        <w:ind w:left="360"/>
        <w:jc w:val="both"/>
      </w:pPr>
      <w:r w:rsidRPr="008E716F">
        <w:t>2.</w:t>
      </w:r>
      <w:r w:rsidRPr="008E716F">
        <w:tab/>
        <w:t xml:space="preserve">Department of </w:t>
      </w:r>
      <w:proofErr w:type="spellStart"/>
      <w:r w:rsidRPr="008E716F">
        <w:t>Orthopaedics</w:t>
      </w:r>
      <w:proofErr w:type="spellEnd"/>
      <w:r w:rsidRPr="008E716F">
        <w:t>, SRM Medical College Hospital and Research Centre, Faculty of Medicine and Health Sciences, SRM Institute of Science and Technology, Kattankulathur-603203, Chengalpattu (DT), Tamil Nadu</w:t>
      </w:r>
    </w:p>
    <w:p w14:paraId="7929B32A" w14:textId="77777777" w:rsidR="008E716F" w:rsidRDefault="008E716F" w:rsidP="008E716F">
      <w:pPr>
        <w:spacing w:before="120" w:after="120" w:line="360" w:lineRule="auto"/>
        <w:ind w:left="360"/>
        <w:jc w:val="both"/>
        <w:rPr>
          <w:b/>
          <w:bCs/>
          <w:i/>
          <w:iCs/>
        </w:rPr>
      </w:pPr>
    </w:p>
    <w:p w14:paraId="5E9574C9" w14:textId="6C078FEF" w:rsidR="00C50182" w:rsidRDefault="00C50182" w:rsidP="008E716F">
      <w:pPr>
        <w:spacing w:before="120" w:after="120" w:line="360" w:lineRule="auto"/>
        <w:ind w:left="360"/>
        <w:jc w:val="both"/>
      </w:pPr>
      <w:r>
        <w:rPr>
          <w:b/>
          <w:bCs/>
          <w:i/>
          <w:iCs/>
        </w:rPr>
        <w:t>TABLE S1: Shapiro-Wilk Test for Normality of VAS and VNRS Scores at Each Time Point</w:t>
      </w:r>
    </w:p>
    <w:tbl>
      <w:tblPr>
        <w:tblStyle w:val="TableGrid"/>
        <w:tblW w:w="8820" w:type="dxa"/>
        <w:jc w:val="center"/>
        <w:tblLook w:val="04A0" w:firstRow="1" w:lastRow="0" w:firstColumn="1" w:lastColumn="0" w:noHBand="0" w:noVBand="1"/>
      </w:tblPr>
      <w:tblGrid>
        <w:gridCol w:w="1798"/>
        <w:gridCol w:w="1982"/>
        <w:gridCol w:w="1531"/>
        <w:gridCol w:w="2005"/>
        <w:gridCol w:w="1504"/>
      </w:tblGrid>
      <w:tr w:rsidR="00C50182" w:rsidRPr="00C50182" w14:paraId="295FD3C5" w14:textId="77777777" w:rsidTr="00C50182">
        <w:trPr>
          <w:trHeight w:val="462"/>
          <w:jc w:val="center"/>
        </w:trPr>
        <w:tc>
          <w:tcPr>
            <w:tcW w:w="1798" w:type="dxa"/>
          </w:tcPr>
          <w:p w14:paraId="26AE36DC" w14:textId="77777777" w:rsidR="00C50182" w:rsidRPr="00C50182" w:rsidRDefault="00C50182" w:rsidP="00C50182">
            <w:pPr>
              <w:spacing w:line="360" w:lineRule="auto"/>
              <w:ind w:left="360" w:right="-64"/>
              <w:jc w:val="center"/>
              <w:rPr>
                <w:b/>
                <w:bCs/>
                <w:color w:val="000000" w:themeColor="text1"/>
                <w:sz w:val="40"/>
                <w:szCs w:val="40"/>
              </w:rPr>
            </w:pPr>
            <w:r w:rsidRPr="00C50182">
              <w:rPr>
                <w:b/>
                <w:bCs/>
                <w:color w:val="000000" w:themeColor="text1"/>
              </w:rPr>
              <w:t>Time Point</w:t>
            </w:r>
          </w:p>
        </w:tc>
        <w:tc>
          <w:tcPr>
            <w:tcW w:w="1982" w:type="dxa"/>
          </w:tcPr>
          <w:p w14:paraId="047B68B9" w14:textId="77777777" w:rsidR="00C50182" w:rsidRPr="00C50182" w:rsidRDefault="00C50182" w:rsidP="00C50182">
            <w:pPr>
              <w:spacing w:line="360" w:lineRule="auto"/>
              <w:ind w:left="360" w:right="-64"/>
              <w:jc w:val="center"/>
              <w:rPr>
                <w:b/>
                <w:bCs/>
                <w:color w:val="000000" w:themeColor="text1"/>
              </w:rPr>
            </w:pPr>
            <w:r w:rsidRPr="00C50182">
              <w:rPr>
                <w:b/>
                <w:bCs/>
                <w:color w:val="000000" w:themeColor="text1"/>
              </w:rPr>
              <w:t>Group-A W</w:t>
            </w:r>
          </w:p>
          <w:p w14:paraId="0D6D29AC" w14:textId="77777777" w:rsidR="00C50182" w:rsidRPr="00C50182" w:rsidRDefault="00C50182" w:rsidP="00C50182">
            <w:pPr>
              <w:spacing w:line="360" w:lineRule="auto"/>
              <w:ind w:left="360" w:right="-64"/>
              <w:jc w:val="center"/>
              <w:rPr>
                <w:b/>
                <w:bCs/>
                <w:color w:val="000000" w:themeColor="text1"/>
              </w:rPr>
            </w:pPr>
            <w:r w:rsidRPr="00C50182">
              <w:rPr>
                <w:b/>
                <w:bCs/>
                <w:color w:val="000000" w:themeColor="text1"/>
              </w:rPr>
              <w:t>(n=35)</w:t>
            </w:r>
          </w:p>
        </w:tc>
        <w:tc>
          <w:tcPr>
            <w:tcW w:w="1531" w:type="dxa"/>
          </w:tcPr>
          <w:p w14:paraId="2FE46242" w14:textId="2F6D0C00" w:rsidR="00C50182" w:rsidRPr="00C50182" w:rsidRDefault="00C50182" w:rsidP="00C50182">
            <w:pPr>
              <w:spacing w:line="360" w:lineRule="auto"/>
              <w:ind w:left="360" w:right="-64"/>
              <w:jc w:val="center"/>
              <w:rPr>
                <w:b/>
                <w:bCs/>
                <w:color w:val="000000" w:themeColor="text1"/>
                <w:sz w:val="40"/>
                <w:szCs w:val="40"/>
              </w:rPr>
            </w:pPr>
            <w:r w:rsidRPr="00C50182">
              <w:rPr>
                <w:b/>
                <w:bCs/>
                <w:i/>
                <w:iCs/>
                <w:color w:val="000000" w:themeColor="text1"/>
              </w:rPr>
              <w:t>p</w:t>
            </w:r>
            <w:r w:rsidRPr="00C50182">
              <w:rPr>
                <w:b/>
                <w:bCs/>
                <w:color w:val="000000" w:themeColor="text1"/>
              </w:rPr>
              <w:t>-</w:t>
            </w:r>
            <w:r>
              <w:rPr>
                <w:b/>
                <w:bCs/>
                <w:color w:val="000000" w:themeColor="text1"/>
              </w:rPr>
              <w:t xml:space="preserve"> </w:t>
            </w:r>
            <w:r w:rsidRPr="00C50182">
              <w:rPr>
                <w:b/>
                <w:bCs/>
                <w:color w:val="000000" w:themeColor="text1"/>
              </w:rPr>
              <w:t>value</w:t>
            </w:r>
          </w:p>
        </w:tc>
        <w:tc>
          <w:tcPr>
            <w:tcW w:w="2005" w:type="dxa"/>
          </w:tcPr>
          <w:p w14:paraId="679A4F59" w14:textId="77777777" w:rsidR="00C50182" w:rsidRPr="00C50182" w:rsidRDefault="00C50182" w:rsidP="00C50182">
            <w:pPr>
              <w:spacing w:line="360" w:lineRule="auto"/>
              <w:ind w:left="360" w:right="-64"/>
              <w:jc w:val="center"/>
              <w:rPr>
                <w:b/>
                <w:bCs/>
                <w:color w:val="000000" w:themeColor="text1"/>
              </w:rPr>
            </w:pPr>
            <w:r w:rsidRPr="00C50182">
              <w:rPr>
                <w:b/>
                <w:bCs/>
                <w:color w:val="000000" w:themeColor="text1"/>
              </w:rPr>
              <w:t>Group-B W</w:t>
            </w:r>
          </w:p>
          <w:p w14:paraId="25E2ED37" w14:textId="77777777" w:rsidR="00C50182" w:rsidRPr="00C50182" w:rsidRDefault="00C50182" w:rsidP="00C50182">
            <w:pPr>
              <w:spacing w:line="360" w:lineRule="auto"/>
              <w:ind w:left="360" w:right="-64"/>
              <w:jc w:val="center"/>
              <w:rPr>
                <w:b/>
                <w:bCs/>
                <w:color w:val="000000" w:themeColor="text1"/>
              </w:rPr>
            </w:pPr>
            <w:r w:rsidRPr="00C50182">
              <w:rPr>
                <w:b/>
                <w:bCs/>
                <w:color w:val="000000" w:themeColor="text1"/>
              </w:rPr>
              <w:t>(n=35)</w:t>
            </w:r>
          </w:p>
        </w:tc>
        <w:tc>
          <w:tcPr>
            <w:tcW w:w="1504" w:type="dxa"/>
          </w:tcPr>
          <w:p w14:paraId="0DB30F54" w14:textId="0572177F" w:rsidR="00C50182" w:rsidRPr="00C50182" w:rsidRDefault="00C50182" w:rsidP="00C50182">
            <w:pPr>
              <w:spacing w:line="360" w:lineRule="auto"/>
              <w:ind w:left="360" w:right="-64"/>
              <w:jc w:val="center"/>
              <w:rPr>
                <w:b/>
                <w:bCs/>
                <w:color w:val="000000" w:themeColor="text1"/>
                <w:sz w:val="40"/>
                <w:szCs w:val="40"/>
              </w:rPr>
            </w:pPr>
            <w:r w:rsidRPr="00C50182">
              <w:rPr>
                <w:b/>
                <w:bCs/>
                <w:i/>
                <w:iCs/>
                <w:color w:val="000000" w:themeColor="text1"/>
              </w:rPr>
              <w:t>p</w:t>
            </w:r>
            <w:r w:rsidRPr="00C50182">
              <w:rPr>
                <w:b/>
                <w:bCs/>
                <w:color w:val="000000" w:themeColor="text1"/>
              </w:rPr>
              <w:t>-</w:t>
            </w:r>
            <w:r>
              <w:rPr>
                <w:b/>
                <w:bCs/>
                <w:color w:val="000000" w:themeColor="text1"/>
              </w:rPr>
              <w:t xml:space="preserve"> </w:t>
            </w:r>
            <w:r w:rsidRPr="00C50182">
              <w:rPr>
                <w:b/>
                <w:bCs/>
                <w:color w:val="000000" w:themeColor="text1"/>
              </w:rPr>
              <w:t>value</w:t>
            </w:r>
          </w:p>
        </w:tc>
      </w:tr>
      <w:tr w:rsidR="00C50182" w:rsidRPr="00C50182" w14:paraId="40550C01" w14:textId="77777777" w:rsidTr="00C50182">
        <w:trPr>
          <w:trHeight w:val="494"/>
          <w:jc w:val="center"/>
        </w:trPr>
        <w:tc>
          <w:tcPr>
            <w:tcW w:w="1798" w:type="dxa"/>
          </w:tcPr>
          <w:p w14:paraId="5C4C06A1"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 min</w:t>
            </w:r>
          </w:p>
        </w:tc>
        <w:tc>
          <w:tcPr>
            <w:tcW w:w="1982" w:type="dxa"/>
          </w:tcPr>
          <w:p w14:paraId="6BA73510"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0.939</w:t>
            </w:r>
          </w:p>
        </w:tc>
        <w:tc>
          <w:tcPr>
            <w:tcW w:w="1531" w:type="dxa"/>
          </w:tcPr>
          <w:p w14:paraId="08AB9A35"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 xml:space="preserve">0.0521 </w:t>
            </w:r>
          </w:p>
        </w:tc>
        <w:tc>
          <w:tcPr>
            <w:tcW w:w="2005" w:type="dxa"/>
          </w:tcPr>
          <w:p w14:paraId="3A478C3E"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0.9262</w:t>
            </w:r>
          </w:p>
        </w:tc>
        <w:tc>
          <w:tcPr>
            <w:tcW w:w="1504" w:type="dxa"/>
          </w:tcPr>
          <w:p w14:paraId="65DBE7B6"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0.0215*</w:t>
            </w:r>
          </w:p>
        </w:tc>
      </w:tr>
      <w:tr w:rsidR="00C50182" w:rsidRPr="00C50182" w14:paraId="3573AC56" w14:textId="77777777" w:rsidTr="00C50182">
        <w:trPr>
          <w:trHeight w:val="494"/>
          <w:jc w:val="center"/>
        </w:trPr>
        <w:tc>
          <w:tcPr>
            <w:tcW w:w="1798" w:type="dxa"/>
          </w:tcPr>
          <w:p w14:paraId="19BA68DE"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30 min</w:t>
            </w:r>
          </w:p>
        </w:tc>
        <w:tc>
          <w:tcPr>
            <w:tcW w:w="1982" w:type="dxa"/>
          </w:tcPr>
          <w:p w14:paraId="1F55D2B5"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0.920</w:t>
            </w:r>
          </w:p>
        </w:tc>
        <w:tc>
          <w:tcPr>
            <w:tcW w:w="1531" w:type="dxa"/>
          </w:tcPr>
          <w:p w14:paraId="3A813D3A"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0.0143*</w:t>
            </w:r>
          </w:p>
        </w:tc>
        <w:tc>
          <w:tcPr>
            <w:tcW w:w="2005" w:type="dxa"/>
          </w:tcPr>
          <w:p w14:paraId="0B169AE3"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0.9533</w:t>
            </w:r>
          </w:p>
        </w:tc>
        <w:tc>
          <w:tcPr>
            <w:tcW w:w="1504" w:type="dxa"/>
          </w:tcPr>
          <w:p w14:paraId="7D40AE82"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 xml:space="preserve">0.1436 </w:t>
            </w:r>
          </w:p>
        </w:tc>
      </w:tr>
      <w:tr w:rsidR="00C50182" w:rsidRPr="00C50182" w14:paraId="3F985E48" w14:textId="77777777" w:rsidTr="00C50182">
        <w:trPr>
          <w:trHeight w:val="494"/>
          <w:jc w:val="center"/>
        </w:trPr>
        <w:tc>
          <w:tcPr>
            <w:tcW w:w="1798" w:type="dxa"/>
          </w:tcPr>
          <w:p w14:paraId="31A72381"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60 min</w:t>
            </w:r>
          </w:p>
        </w:tc>
        <w:tc>
          <w:tcPr>
            <w:tcW w:w="1982" w:type="dxa"/>
          </w:tcPr>
          <w:p w14:paraId="7409D18B"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0.8941</w:t>
            </w:r>
          </w:p>
        </w:tc>
        <w:tc>
          <w:tcPr>
            <w:tcW w:w="1531" w:type="dxa"/>
          </w:tcPr>
          <w:p w14:paraId="37B8BEDA"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0.0028*</w:t>
            </w:r>
          </w:p>
        </w:tc>
        <w:tc>
          <w:tcPr>
            <w:tcW w:w="2005" w:type="dxa"/>
          </w:tcPr>
          <w:p w14:paraId="457E86B0"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0.9151</w:t>
            </w:r>
          </w:p>
        </w:tc>
        <w:tc>
          <w:tcPr>
            <w:tcW w:w="1504" w:type="dxa"/>
          </w:tcPr>
          <w:p w14:paraId="2201F172"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0.0104*</w:t>
            </w:r>
          </w:p>
        </w:tc>
      </w:tr>
      <w:tr w:rsidR="00C50182" w:rsidRPr="00C50182" w14:paraId="5004BCCF" w14:textId="77777777" w:rsidTr="00C50182">
        <w:trPr>
          <w:trHeight w:val="494"/>
          <w:jc w:val="center"/>
        </w:trPr>
        <w:tc>
          <w:tcPr>
            <w:tcW w:w="1798" w:type="dxa"/>
          </w:tcPr>
          <w:p w14:paraId="5365CF04"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 xml:space="preserve">12 </w:t>
            </w:r>
            <w:proofErr w:type="spellStart"/>
            <w:r w:rsidRPr="00C50182">
              <w:rPr>
                <w:color w:val="000000" w:themeColor="text1"/>
              </w:rPr>
              <w:t>hrs</w:t>
            </w:r>
            <w:proofErr w:type="spellEnd"/>
          </w:p>
        </w:tc>
        <w:tc>
          <w:tcPr>
            <w:tcW w:w="1982" w:type="dxa"/>
          </w:tcPr>
          <w:p w14:paraId="03C3A4A6"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0.8763</w:t>
            </w:r>
          </w:p>
        </w:tc>
        <w:tc>
          <w:tcPr>
            <w:tcW w:w="1531" w:type="dxa"/>
          </w:tcPr>
          <w:p w14:paraId="03901FC4"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0.0010*</w:t>
            </w:r>
          </w:p>
        </w:tc>
        <w:tc>
          <w:tcPr>
            <w:tcW w:w="2005" w:type="dxa"/>
          </w:tcPr>
          <w:p w14:paraId="4B1F632A"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0.6782</w:t>
            </w:r>
          </w:p>
        </w:tc>
        <w:tc>
          <w:tcPr>
            <w:tcW w:w="1504" w:type="dxa"/>
          </w:tcPr>
          <w:p w14:paraId="0E2C2E9C"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&lt;0.0001*</w:t>
            </w:r>
          </w:p>
        </w:tc>
      </w:tr>
      <w:tr w:rsidR="00C50182" w:rsidRPr="00C50182" w14:paraId="19DA0A77" w14:textId="77777777" w:rsidTr="00C50182">
        <w:trPr>
          <w:trHeight w:val="527"/>
          <w:jc w:val="center"/>
        </w:trPr>
        <w:tc>
          <w:tcPr>
            <w:tcW w:w="1798" w:type="dxa"/>
          </w:tcPr>
          <w:p w14:paraId="60CC3C7F"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 xml:space="preserve">24 </w:t>
            </w:r>
            <w:proofErr w:type="spellStart"/>
            <w:r w:rsidRPr="00C50182">
              <w:rPr>
                <w:color w:val="000000" w:themeColor="text1"/>
              </w:rPr>
              <w:t>hrs</w:t>
            </w:r>
            <w:proofErr w:type="spellEnd"/>
          </w:p>
        </w:tc>
        <w:tc>
          <w:tcPr>
            <w:tcW w:w="1982" w:type="dxa"/>
          </w:tcPr>
          <w:p w14:paraId="1639B22D"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0.9361</w:t>
            </w:r>
          </w:p>
        </w:tc>
        <w:tc>
          <w:tcPr>
            <w:tcW w:w="1531" w:type="dxa"/>
          </w:tcPr>
          <w:p w14:paraId="3E751A40"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0.0426*</w:t>
            </w:r>
          </w:p>
        </w:tc>
        <w:tc>
          <w:tcPr>
            <w:tcW w:w="2005" w:type="dxa"/>
          </w:tcPr>
          <w:p w14:paraId="2D7CE20B"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0.7310</w:t>
            </w:r>
          </w:p>
        </w:tc>
        <w:tc>
          <w:tcPr>
            <w:tcW w:w="1504" w:type="dxa"/>
          </w:tcPr>
          <w:p w14:paraId="2AF87CD7" w14:textId="77777777" w:rsidR="00C50182" w:rsidRPr="00C50182" w:rsidRDefault="00C50182" w:rsidP="00C50182">
            <w:pPr>
              <w:spacing w:line="360" w:lineRule="auto"/>
              <w:ind w:left="360" w:right="-64"/>
              <w:rPr>
                <w:color w:val="000000" w:themeColor="text1"/>
                <w:sz w:val="40"/>
                <w:szCs w:val="40"/>
              </w:rPr>
            </w:pPr>
            <w:r w:rsidRPr="00C50182">
              <w:rPr>
                <w:color w:val="000000" w:themeColor="text1"/>
              </w:rPr>
              <w:t>&lt;0.0001*</w:t>
            </w:r>
          </w:p>
        </w:tc>
      </w:tr>
    </w:tbl>
    <w:p w14:paraId="1896EB21" w14:textId="77777777" w:rsidR="00C50182" w:rsidRDefault="00C50182" w:rsidP="00C50182">
      <w:pPr>
        <w:spacing w:before="60" w:after="120" w:line="360" w:lineRule="auto"/>
        <w:ind w:left="360"/>
        <w:rPr>
          <w:i/>
          <w:iCs/>
          <w:sz w:val="20"/>
          <w:szCs w:val="20"/>
        </w:rPr>
      </w:pPr>
      <w:r>
        <w:rPr>
          <w:i/>
          <w:iCs/>
          <w:sz w:val="20"/>
          <w:szCs w:val="20"/>
        </w:rPr>
        <w:t xml:space="preserve">*  </w:t>
      </w:r>
      <w:r w:rsidRPr="00C50182">
        <w:rPr>
          <w:i/>
          <w:iCs/>
          <w:sz w:val="20"/>
          <w:szCs w:val="20"/>
        </w:rPr>
        <w:t>p &lt; 0.05 indicates significant deviation from normality</w:t>
      </w:r>
    </w:p>
    <w:p w14:paraId="1EFA4FC8" w14:textId="77777777" w:rsidR="00C50182" w:rsidRDefault="00C50182" w:rsidP="00C50182">
      <w:pPr>
        <w:spacing w:before="60" w:after="120" w:line="360" w:lineRule="auto"/>
        <w:ind w:left="360"/>
        <w:rPr>
          <w:i/>
          <w:iCs/>
          <w:sz w:val="20"/>
          <w:szCs w:val="20"/>
        </w:rPr>
      </w:pPr>
    </w:p>
    <w:p w14:paraId="5CD04036" w14:textId="70C70AE8" w:rsidR="00C50182" w:rsidRDefault="00C50182" w:rsidP="00C50182">
      <w:pPr>
        <w:spacing w:before="60" w:after="120" w:line="360" w:lineRule="auto"/>
        <w:ind w:left="360"/>
        <w:jc w:val="center"/>
      </w:pPr>
      <w:r>
        <w:rPr>
          <w:i/>
          <w:iCs/>
          <w:noProof/>
          <w:sz w:val="20"/>
          <w:szCs w:val="20"/>
          <w14:ligatures w14:val="standardContextual"/>
        </w:rPr>
        <w:lastRenderedPageBreak/>
        <w:drawing>
          <wp:inline distT="0" distB="0" distL="0" distR="0" wp14:anchorId="3DD6355B" wp14:editId="6973D582">
            <wp:extent cx="5040776" cy="4186106"/>
            <wp:effectExtent l="0" t="0" r="1270" b="5080"/>
            <wp:docPr id="2063927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27292" name="Picture 206392729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137866" cy="4266735"/>
                    </a:xfrm>
                    <a:prstGeom prst="rect">
                      <a:avLst/>
                    </a:prstGeom>
                  </pic:spPr>
                </pic:pic>
              </a:graphicData>
            </a:graphic>
          </wp:inline>
        </w:drawing>
      </w:r>
      <w:r>
        <w:rPr>
          <w:i/>
          <w:iCs/>
          <w:sz w:val="20"/>
          <w:szCs w:val="20"/>
        </w:rPr>
        <w:t>.</w:t>
      </w:r>
    </w:p>
    <w:p w14:paraId="24698EB4" w14:textId="259CC99A" w:rsidR="00C50182" w:rsidRDefault="00C50182" w:rsidP="00C50182">
      <w:pPr>
        <w:spacing w:line="360" w:lineRule="auto"/>
        <w:jc w:val="both"/>
      </w:pPr>
      <w:r>
        <w:rPr>
          <w:rStyle w:val="Strong"/>
          <w:color w:val="000000"/>
        </w:rPr>
        <w:t>Figure S1: Quantile–Quantile (Q–Q) Plot of Standardized Residuals for Pain Score Analysis.</w:t>
      </w:r>
      <w:r>
        <w:rPr>
          <w:rStyle w:val="apple-converted-space"/>
          <w:color w:val="000000"/>
        </w:rPr>
        <w:t> </w:t>
      </w:r>
      <w:r>
        <w:rPr>
          <w:color w:val="000000"/>
        </w:rPr>
        <w:t>The Q–Q plot demonstrates the distribution of standardized residuals relative to the theoretical normal distribution. Most observations closely follow the reference line, indicating approximate normality of residuals, with only minor deviations observed at the distribution tails. No substantial skewness or extreme outliers were identified, supporting the use of parametric statistical analyses.</w:t>
      </w:r>
    </w:p>
    <w:sectPr w:rsidR="00C501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82"/>
    <w:rsid w:val="005C78DC"/>
    <w:rsid w:val="00736937"/>
    <w:rsid w:val="0075340A"/>
    <w:rsid w:val="008E716F"/>
    <w:rsid w:val="00A02CD9"/>
    <w:rsid w:val="00C50182"/>
    <w:rsid w:val="00E57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7E94D5"/>
  <w15:chartTrackingRefBased/>
  <w15:docId w15:val="{7873C172-F87F-BC4C-8E0E-61C88F2B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18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501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01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01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01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01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01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01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01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01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01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01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01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01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01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01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01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01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0182"/>
    <w:rPr>
      <w:rFonts w:eastAsiaTheme="majorEastAsia" w:cstheme="majorBidi"/>
      <w:color w:val="272727" w:themeColor="text1" w:themeTint="D8"/>
    </w:rPr>
  </w:style>
  <w:style w:type="paragraph" w:styleId="Title">
    <w:name w:val="Title"/>
    <w:basedOn w:val="Normal"/>
    <w:next w:val="Normal"/>
    <w:link w:val="TitleChar"/>
    <w:uiPriority w:val="10"/>
    <w:qFormat/>
    <w:rsid w:val="00C501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01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01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01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0182"/>
    <w:pPr>
      <w:spacing w:before="160"/>
      <w:jc w:val="center"/>
    </w:pPr>
    <w:rPr>
      <w:i/>
      <w:iCs/>
      <w:color w:val="404040" w:themeColor="text1" w:themeTint="BF"/>
    </w:rPr>
  </w:style>
  <w:style w:type="character" w:customStyle="1" w:styleId="QuoteChar">
    <w:name w:val="Quote Char"/>
    <w:basedOn w:val="DefaultParagraphFont"/>
    <w:link w:val="Quote"/>
    <w:uiPriority w:val="29"/>
    <w:rsid w:val="00C50182"/>
    <w:rPr>
      <w:i/>
      <w:iCs/>
      <w:color w:val="404040" w:themeColor="text1" w:themeTint="BF"/>
    </w:rPr>
  </w:style>
  <w:style w:type="paragraph" w:styleId="ListParagraph">
    <w:name w:val="List Paragraph"/>
    <w:basedOn w:val="Normal"/>
    <w:uiPriority w:val="34"/>
    <w:qFormat/>
    <w:rsid w:val="00C50182"/>
    <w:pPr>
      <w:ind w:left="720"/>
      <w:contextualSpacing/>
    </w:pPr>
  </w:style>
  <w:style w:type="character" w:styleId="IntenseEmphasis">
    <w:name w:val="Intense Emphasis"/>
    <w:basedOn w:val="DefaultParagraphFont"/>
    <w:uiPriority w:val="21"/>
    <w:qFormat/>
    <w:rsid w:val="00C50182"/>
    <w:rPr>
      <w:i/>
      <w:iCs/>
      <w:color w:val="0F4761" w:themeColor="accent1" w:themeShade="BF"/>
    </w:rPr>
  </w:style>
  <w:style w:type="paragraph" w:styleId="IntenseQuote">
    <w:name w:val="Intense Quote"/>
    <w:basedOn w:val="Normal"/>
    <w:next w:val="Normal"/>
    <w:link w:val="IntenseQuoteChar"/>
    <w:uiPriority w:val="30"/>
    <w:qFormat/>
    <w:rsid w:val="00C501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0182"/>
    <w:rPr>
      <w:i/>
      <w:iCs/>
      <w:color w:val="0F4761" w:themeColor="accent1" w:themeShade="BF"/>
    </w:rPr>
  </w:style>
  <w:style w:type="character" w:styleId="IntenseReference">
    <w:name w:val="Intense Reference"/>
    <w:basedOn w:val="DefaultParagraphFont"/>
    <w:uiPriority w:val="32"/>
    <w:qFormat/>
    <w:rsid w:val="00C50182"/>
    <w:rPr>
      <w:b/>
      <w:bCs/>
      <w:smallCaps/>
      <w:color w:val="0F4761" w:themeColor="accent1" w:themeShade="BF"/>
      <w:spacing w:val="5"/>
    </w:rPr>
  </w:style>
  <w:style w:type="table" w:styleId="ListTable3-Accent2">
    <w:name w:val="List Table 3 Accent 2"/>
    <w:basedOn w:val="TableNormal"/>
    <w:uiPriority w:val="48"/>
    <w:rsid w:val="00C50182"/>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C50182"/>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TableGrid">
    <w:name w:val="Table Grid"/>
    <w:basedOn w:val="TableNormal"/>
    <w:uiPriority w:val="39"/>
    <w:rsid w:val="00C50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50182"/>
    <w:rPr>
      <w:b/>
      <w:bCs/>
    </w:rPr>
  </w:style>
  <w:style w:type="character" w:customStyle="1" w:styleId="apple-converted-space">
    <w:name w:val="apple-converted-space"/>
    <w:basedOn w:val="DefaultParagraphFont"/>
    <w:rsid w:val="00C50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Pravin Selvi Saravanan</dc:creator>
  <cp:keywords/>
  <dc:description/>
  <cp:lastModifiedBy>lokesh R</cp:lastModifiedBy>
  <cp:revision>2</cp:revision>
  <dcterms:created xsi:type="dcterms:W3CDTF">2026-07-17T12:51:00Z</dcterms:created>
  <dcterms:modified xsi:type="dcterms:W3CDTF">2026-07-17T12:51:00Z</dcterms:modified>
</cp:coreProperties>
</file>