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openxmlformats.org/officedocument/2006/relationships/metadata/core-properties" Target="docProps/core0.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E22" w:rsidRDefault="00D95E5C" w:rsidP="009C7DD3">
      <w:pPr>
        <w:spacing w:before="86" w:after="86" w:line="276" w:lineRule="auto"/>
        <w:jc w:val="center"/>
        <w:rPr>
          <w:rFonts w:ascii="Times New Roman" w:hAnsi="Times New Roman" w:cs="Times New Roman"/>
          <w:b/>
          <w:bCs/>
          <w:color w:val="C00000"/>
          <w:lang w:val="en-GB"/>
        </w:rPr>
      </w:pPr>
      <w:r w:rsidRPr="009C7DD3">
        <w:rPr>
          <w:rFonts w:ascii="Times New Roman" w:hAnsi="Times New Roman" w:cs="Times New Roman"/>
          <w:b/>
          <w:bCs/>
          <w:color w:val="C00000"/>
          <w:lang w:val="en-GB"/>
        </w:rPr>
        <w:t>Title:  Role of Tropical Easterly Jet and IOD on Chlorophyll-a Variability over South Eastern Arabian Sea (</w:t>
      </w:r>
      <w:r w:rsidR="00731CDA" w:rsidRPr="009C7DD3">
        <w:rPr>
          <w:rFonts w:ascii="Times New Roman" w:hAnsi="Times New Roman" w:cs="Times New Roman"/>
          <w:b/>
          <w:bCs/>
          <w:color w:val="C00000"/>
          <w:lang w:val="en-GB"/>
        </w:rPr>
        <w:t>Ms. No. CLDY-D-25-00801R2</w:t>
      </w:r>
      <w:r w:rsidRPr="009C7DD3">
        <w:rPr>
          <w:rFonts w:ascii="Times New Roman" w:hAnsi="Times New Roman" w:cs="Times New Roman"/>
          <w:b/>
          <w:bCs/>
          <w:color w:val="C00000"/>
          <w:lang w:val="en-GB"/>
        </w:rPr>
        <w:t>)</w:t>
      </w:r>
    </w:p>
    <w:p w:rsidR="009C7DD3" w:rsidRPr="009C7DD3" w:rsidRDefault="009C7DD3" w:rsidP="009C7DD3">
      <w:pPr>
        <w:spacing w:before="86" w:after="86" w:line="276" w:lineRule="auto"/>
        <w:jc w:val="center"/>
        <w:rPr>
          <w:rFonts w:ascii="Times New Roman" w:hAnsi="Times New Roman" w:cs="Times New Roman"/>
          <w:b/>
          <w:bCs/>
          <w:color w:val="C00000"/>
        </w:rPr>
      </w:pPr>
    </w:p>
    <w:p w:rsidR="00A23E22" w:rsidRPr="00603CF1" w:rsidRDefault="00D95E5C" w:rsidP="00603CF1">
      <w:pPr>
        <w:spacing w:before="86" w:after="86" w:line="276" w:lineRule="auto"/>
        <w:jc w:val="both"/>
        <w:rPr>
          <w:rFonts w:ascii="Times New Roman" w:hAnsi="Times New Roman" w:cs="Times New Roman"/>
          <w:b/>
          <w:bCs/>
          <w:color w:val="000000"/>
        </w:rPr>
      </w:pPr>
      <w:r w:rsidRPr="00603CF1">
        <w:rPr>
          <w:rFonts w:ascii="Times New Roman" w:hAnsi="Times New Roman" w:cs="Times New Roman"/>
          <w:b/>
          <w:bCs/>
          <w:color w:val="000000"/>
          <w:u w:val="single"/>
          <w:lang w:val="en-GB"/>
        </w:rPr>
        <w:t>A point-by-point response to the Reviewer</w:t>
      </w:r>
    </w:p>
    <w:p w:rsidR="00145814" w:rsidRPr="00603CF1" w:rsidRDefault="00145814" w:rsidP="00603CF1">
      <w:pPr>
        <w:spacing w:before="86" w:after="86" w:line="276" w:lineRule="auto"/>
        <w:jc w:val="both"/>
        <w:rPr>
          <w:rFonts w:ascii="Times New Roman" w:hAnsi="Times New Roman" w:cs="Times New Roman"/>
          <w:b/>
          <w:bCs/>
          <w:color w:val="000000"/>
          <w:lang w:val="en-GB"/>
        </w:rPr>
      </w:pPr>
      <w:r w:rsidRPr="00603CF1">
        <w:rPr>
          <w:rFonts w:ascii="Times New Roman" w:hAnsi="Times New Roman" w:cs="Times New Roman"/>
          <w:b/>
          <w:bCs/>
          <w:color w:val="000000"/>
          <w:lang w:val="en-GB"/>
        </w:rPr>
        <w:t>We sincerely thank the reviewer for the careful evaluation of our manuscript and for the constructive comments and suggestions. We have thoroughly revised the manuscript in accordance with the reviewer's recommendations. All changes have been incorporated into the revised version.</w:t>
      </w:r>
    </w:p>
    <w:p w:rsidR="00A23E22" w:rsidRPr="00603CF1" w:rsidRDefault="00D95E5C" w:rsidP="009257B0">
      <w:pPr>
        <w:spacing w:before="86" w:after="86" w:line="276" w:lineRule="auto"/>
        <w:jc w:val="center"/>
        <w:rPr>
          <w:rFonts w:ascii="Times New Roman" w:hAnsi="Times New Roman" w:cs="Times New Roman"/>
        </w:rPr>
      </w:pPr>
      <w:r w:rsidRPr="00603CF1">
        <w:rPr>
          <w:rFonts w:ascii="Times New Roman" w:hAnsi="Times New Roman" w:cs="Times New Roman"/>
          <w:b/>
          <w:color w:val="C00000"/>
          <w:u w:val="single"/>
          <w:lang w:val="en-GB"/>
        </w:rPr>
        <w:t>Response to Reviewer 2</w:t>
      </w:r>
    </w:p>
    <w:p w:rsidR="00A23E22" w:rsidRPr="00603CF1" w:rsidRDefault="00D95E5C" w:rsidP="00603CF1">
      <w:pPr>
        <w:spacing w:before="86" w:after="86" w:line="276" w:lineRule="auto"/>
        <w:jc w:val="both"/>
        <w:rPr>
          <w:rFonts w:ascii="Times New Roman" w:hAnsi="Times New Roman" w:cs="Times New Roman"/>
        </w:rPr>
      </w:pPr>
      <w:r w:rsidRPr="00603CF1">
        <w:rPr>
          <w:rFonts w:ascii="Times New Roman" w:hAnsi="Times New Roman" w:cs="Times New Roman"/>
          <w:b/>
          <w:bCs/>
          <w:color w:val="000000"/>
          <w:lang w:val="en-GB"/>
        </w:rPr>
        <w:t>Major comments</w:t>
      </w:r>
    </w:p>
    <w:p w:rsidR="002B13E0" w:rsidRPr="00603CF1" w:rsidRDefault="002B13E0" w:rsidP="00603CF1">
      <w:pPr>
        <w:spacing w:before="86" w:after="86" w:line="276" w:lineRule="auto"/>
        <w:jc w:val="both"/>
        <w:rPr>
          <w:rFonts w:ascii="Times New Roman" w:hAnsi="Times New Roman" w:cs="Times New Roman"/>
        </w:rPr>
      </w:pPr>
    </w:p>
    <w:p w:rsidR="002B13E0" w:rsidRPr="00603CF1" w:rsidRDefault="002B13E0" w:rsidP="00603CF1">
      <w:pPr>
        <w:pStyle w:val="ListParagraph"/>
        <w:numPr>
          <w:ilvl w:val="0"/>
          <w:numId w:val="1"/>
        </w:numPr>
        <w:spacing w:before="86" w:after="86" w:line="276" w:lineRule="auto"/>
        <w:ind w:left="288"/>
        <w:jc w:val="both"/>
        <w:rPr>
          <w:rFonts w:ascii="Times New Roman" w:hAnsi="Times New Roman" w:cs="Times New Roman"/>
          <w:szCs w:val="24"/>
        </w:rPr>
      </w:pPr>
      <w:r w:rsidRPr="00603CF1">
        <w:rPr>
          <w:rFonts w:ascii="Times New Roman" w:hAnsi="Times New Roman" w:cs="Times New Roman"/>
          <w:szCs w:val="24"/>
        </w:rPr>
        <w:t>The strong/weak TEJ and negative/positive IOD conditions enhanced the surface westerly/easterly wind</w:t>
      </w:r>
      <w:r w:rsidR="00A653B0" w:rsidRPr="00603CF1">
        <w:rPr>
          <w:rFonts w:ascii="Times New Roman" w:hAnsi="Times New Roman" w:cs="Times New Roman"/>
          <w:szCs w:val="24"/>
        </w:rPr>
        <w:t xml:space="preserve"> </w:t>
      </w:r>
      <w:r w:rsidRPr="00603CF1">
        <w:rPr>
          <w:rFonts w:ascii="Times New Roman" w:hAnsi="Times New Roman" w:cs="Times New Roman"/>
          <w:szCs w:val="24"/>
        </w:rPr>
        <w:t>anomalies over the West Coast of India (WCI), Southern Tip of India (STI), and Eastern Equatorial Indian</w:t>
      </w:r>
      <w:r w:rsidR="00A653B0" w:rsidRPr="00603CF1">
        <w:rPr>
          <w:rFonts w:ascii="Times New Roman" w:hAnsi="Times New Roman" w:cs="Times New Roman"/>
          <w:szCs w:val="24"/>
        </w:rPr>
        <w:t xml:space="preserve"> </w:t>
      </w:r>
      <w:r w:rsidRPr="00603CF1">
        <w:rPr>
          <w:rFonts w:ascii="Times New Roman" w:hAnsi="Times New Roman" w:cs="Times New Roman"/>
          <w:szCs w:val="24"/>
        </w:rPr>
        <w:t xml:space="preserve">Ocean (EEIO), and created a favorable/unfavorable condition (upwelling/downwelling) for anomalous </w:t>
      </w:r>
      <w:proofErr w:type="spellStart"/>
      <w:r w:rsidRPr="00603CF1">
        <w:rPr>
          <w:rFonts w:ascii="Times New Roman" w:hAnsi="Times New Roman" w:cs="Times New Roman"/>
          <w:szCs w:val="24"/>
        </w:rPr>
        <w:t>Chl</w:t>
      </w:r>
      <w:proofErr w:type="spellEnd"/>
      <w:r w:rsidRPr="00603CF1">
        <w:rPr>
          <w:rFonts w:ascii="Times New Roman" w:hAnsi="Times New Roman" w:cs="Times New Roman"/>
          <w:szCs w:val="24"/>
        </w:rPr>
        <w:t>-a</w:t>
      </w:r>
      <w:r w:rsidR="00A653B0" w:rsidRPr="00603CF1">
        <w:rPr>
          <w:rFonts w:ascii="Times New Roman" w:hAnsi="Times New Roman" w:cs="Times New Roman"/>
          <w:szCs w:val="24"/>
        </w:rPr>
        <w:t xml:space="preserve"> </w:t>
      </w:r>
      <w:r w:rsidRPr="00603CF1">
        <w:rPr>
          <w:rFonts w:ascii="Times New Roman" w:hAnsi="Times New Roman" w:cs="Times New Roman"/>
          <w:szCs w:val="24"/>
        </w:rPr>
        <w:t>concentration over SEAS. First of all, there are no westerlies in WCI and STI regions. Winds are</w:t>
      </w:r>
      <w:r w:rsidR="00A653B0" w:rsidRPr="00603CF1">
        <w:rPr>
          <w:rFonts w:ascii="Times New Roman" w:hAnsi="Times New Roman" w:cs="Times New Roman"/>
          <w:szCs w:val="24"/>
        </w:rPr>
        <w:t xml:space="preserve"> </w:t>
      </w:r>
      <w:r w:rsidRPr="00603CF1">
        <w:rPr>
          <w:rFonts w:ascii="Times New Roman" w:hAnsi="Times New Roman" w:cs="Times New Roman"/>
          <w:szCs w:val="24"/>
        </w:rPr>
        <w:t>north</w:t>
      </w:r>
      <w:r w:rsidR="00A653B0" w:rsidRPr="00603CF1">
        <w:rPr>
          <w:rFonts w:ascii="Times New Roman" w:hAnsi="Times New Roman" w:cs="Times New Roman"/>
          <w:szCs w:val="24"/>
        </w:rPr>
        <w:t xml:space="preserve"> </w:t>
      </w:r>
      <w:r w:rsidRPr="00603CF1">
        <w:rPr>
          <w:rFonts w:ascii="Times New Roman" w:hAnsi="Times New Roman" w:cs="Times New Roman"/>
          <w:szCs w:val="24"/>
        </w:rPr>
        <w:t>westerlies there! Westerlies over the EEIO never produce upwelling.</w:t>
      </w:r>
    </w:p>
    <w:p w:rsidR="00145814" w:rsidRPr="00603CF1" w:rsidRDefault="00145814" w:rsidP="00603CF1">
      <w:pPr>
        <w:pStyle w:val="ListParagraph"/>
        <w:spacing w:before="86" w:after="86" w:line="276" w:lineRule="auto"/>
        <w:ind w:left="288"/>
        <w:jc w:val="both"/>
        <w:rPr>
          <w:rFonts w:ascii="Times New Roman" w:hAnsi="Times New Roman" w:cs="Times New Roman"/>
          <w:szCs w:val="24"/>
        </w:rPr>
      </w:pPr>
    </w:p>
    <w:p w:rsidR="00145814" w:rsidRPr="00603CF1" w:rsidRDefault="00145814" w:rsidP="00603CF1">
      <w:pPr>
        <w:pStyle w:val="ListParagraph"/>
        <w:spacing w:before="86" w:after="86" w:line="276" w:lineRule="auto"/>
        <w:ind w:left="288"/>
        <w:jc w:val="both"/>
        <w:rPr>
          <w:rFonts w:ascii="Times New Roman" w:hAnsi="Times New Roman" w:cs="Times New Roman"/>
          <w:color w:val="0070C0"/>
          <w:szCs w:val="24"/>
        </w:rPr>
      </w:pPr>
      <w:r w:rsidRPr="00603CF1">
        <w:rPr>
          <w:rFonts w:ascii="Times New Roman" w:hAnsi="Times New Roman" w:cs="Times New Roman"/>
          <w:color w:val="0070C0"/>
          <w:szCs w:val="24"/>
        </w:rPr>
        <w:t>We thank the reviewer for this important observation. We have carefully revised the description of the wind anomalies to correctly represent the regional wind direction. These revisions improve the physical interpretation and are reflected in the revised manuscript.</w:t>
      </w:r>
    </w:p>
    <w:p w:rsidR="002B13E0" w:rsidRPr="00603CF1" w:rsidRDefault="002B13E0" w:rsidP="00603CF1">
      <w:pPr>
        <w:pStyle w:val="ListParagraph"/>
        <w:spacing w:before="86" w:after="86" w:line="276" w:lineRule="auto"/>
        <w:ind w:left="288"/>
        <w:jc w:val="both"/>
        <w:rPr>
          <w:rFonts w:ascii="Times New Roman" w:hAnsi="Times New Roman" w:cs="Times New Roman"/>
          <w:szCs w:val="24"/>
        </w:rPr>
      </w:pPr>
    </w:p>
    <w:p w:rsidR="002B13E0" w:rsidRPr="00603CF1" w:rsidRDefault="002B13E0" w:rsidP="00603CF1">
      <w:pPr>
        <w:pStyle w:val="ListParagraph"/>
        <w:spacing w:before="86" w:after="86" w:line="276" w:lineRule="auto"/>
        <w:ind w:left="288"/>
        <w:jc w:val="both"/>
        <w:rPr>
          <w:rFonts w:ascii="Times New Roman" w:hAnsi="Times New Roman" w:cs="Times New Roman"/>
          <w:szCs w:val="24"/>
        </w:rPr>
      </w:pPr>
    </w:p>
    <w:p w:rsidR="002B13E0" w:rsidRPr="00603CF1" w:rsidRDefault="002B13E0" w:rsidP="00603CF1">
      <w:pPr>
        <w:pStyle w:val="ListParagraph"/>
        <w:numPr>
          <w:ilvl w:val="0"/>
          <w:numId w:val="1"/>
        </w:numPr>
        <w:spacing w:before="86" w:after="86" w:line="276" w:lineRule="auto"/>
        <w:ind w:left="288"/>
        <w:jc w:val="both"/>
        <w:rPr>
          <w:rFonts w:ascii="Times New Roman" w:hAnsi="Times New Roman" w:cs="Times New Roman"/>
          <w:szCs w:val="24"/>
        </w:rPr>
      </w:pPr>
      <w:r w:rsidRPr="00603CF1">
        <w:rPr>
          <w:rFonts w:ascii="Times New Roman" w:hAnsi="Times New Roman" w:cs="Times New Roman"/>
          <w:szCs w:val="24"/>
        </w:rPr>
        <w:t>There is no strong IOD in composites: For both positive and negative IOD cases (say Figure 7).</w:t>
      </w:r>
      <w:r w:rsidR="00731CDA" w:rsidRPr="00603CF1">
        <w:rPr>
          <w:rFonts w:ascii="Times New Roman" w:hAnsi="Times New Roman" w:cs="Times New Roman"/>
          <w:szCs w:val="24"/>
        </w:rPr>
        <w:t xml:space="preserve"> </w:t>
      </w:r>
      <w:r w:rsidRPr="00603CF1">
        <w:rPr>
          <w:rFonts w:ascii="Times New Roman" w:hAnsi="Times New Roman" w:cs="Times New Roman"/>
          <w:szCs w:val="24"/>
        </w:rPr>
        <w:t>Interaction of IOD induced circulation on TEJ is still not well explained.</w:t>
      </w:r>
    </w:p>
    <w:p w:rsidR="00731CDA" w:rsidRPr="00603CF1" w:rsidRDefault="00731CDA" w:rsidP="00603CF1">
      <w:pPr>
        <w:pStyle w:val="ListParagraph"/>
        <w:spacing w:before="86" w:after="86" w:line="276" w:lineRule="auto"/>
        <w:ind w:left="288"/>
        <w:jc w:val="both"/>
        <w:rPr>
          <w:rFonts w:ascii="Times New Roman" w:hAnsi="Times New Roman" w:cs="Times New Roman"/>
          <w:szCs w:val="24"/>
        </w:rPr>
      </w:pPr>
    </w:p>
    <w:p w:rsidR="00603CF1" w:rsidRPr="00603CF1" w:rsidRDefault="00603CF1" w:rsidP="00603CF1">
      <w:pPr>
        <w:pStyle w:val="ListParagraph"/>
        <w:spacing w:before="86" w:after="86" w:line="276" w:lineRule="auto"/>
        <w:ind w:left="288"/>
        <w:jc w:val="both"/>
        <w:rPr>
          <w:rFonts w:ascii="Times New Roman" w:hAnsi="Times New Roman" w:cs="Times New Roman"/>
          <w:color w:val="0070C0"/>
          <w:szCs w:val="24"/>
        </w:rPr>
      </w:pPr>
      <w:r w:rsidRPr="00603CF1">
        <w:rPr>
          <w:rFonts w:ascii="Times New Roman" w:hAnsi="Times New Roman" w:cs="Times New Roman"/>
          <w:color w:val="0070C0"/>
          <w:szCs w:val="24"/>
        </w:rPr>
        <w:t xml:space="preserve">We appreciate the reviewer's valuable suggestion. To better illustrate the interaction between the Tropical Easterly Jet (TEJ) and the Indian Ocean Dipole (IOD), we have substantially revised the analysis. The revised manuscript now includes velocity potential anomalies together with divergent wind vectors at 200 </w:t>
      </w:r>
      <w:proofErr w:type="spellStart"/>
      <w:r w:rsidRPr="00603CF1">
        <w:rPr>
          <w:rFonts w:ascii="Times New Roman" w:hAnsi="Times New Roman" w:cs="Times New Roman"/>
          <w:color w:val="0070C0"/>
          <w:szCs w:val="24"/>
        </w:rPr>
        <w:t>hPa</w:t>
      </w:r>
      <w:proofErr w:type="spellEnd"/>
      <w:r w:rsidRPr="00603CF1">
        <w:rPr>
          <w:rFonts w:ascii="Times New Roman" w:hAnsi="Times New Roman" w:cs="Times New Roman"/>
          <w:color w:val="0070C0"/>
          <w:szCs w:val="24"/>
        </w:rPr>
        <w:t xml:space="preserve"> and 850 </w:t>
      </w:r>
      <w:proofErr w:type="spellStart"/>
      <w:r w:rsidRPr="00603CF1">
        <w:rPr>
          <w:rFonts w:ascii="Times New Roman" w:hAnsi="Times New Roman" w:cs="Times New Roman"/>
          <w:color w:val="0070C0"/>
          <w:szCs w:val="24"/>
        </w:rPr>
        <w:t>hPa</w:t>
      </w:r>
      <w:proofErr w:type="spellEnd"/>
      <w:r w:rsidRPr="00603CF1">
        <w:rPr>
          <w:rFonts w:ascii="Times New Roman" w:hAnsi="Times New Roman" w:cs="Times New Roman"/>
          <w:color w:val="0070C0"/>
          <w:szCs w:val="24"/>
        </w:rPr>
        <w:t xml:space="preserve"> as well as vertical cross-sections of Walker circulation anomalies (vectors) and vertical velocity (shaded) under three scenarios: (</w:t>
      </w:r>
      <w:proofErr w:type="spellStart"/>
      <w:r w:rsidRPr="00603CF1">
        <w:rPr>
          <w:rFonts w:ascii="Times New Roman" w:hAnsi="Times New Roman" w:cs="Times New Roman"/>
          <w:color w:val="0070C0"/>
          <w:szCs w:val="24"/>
        </w:rPr>
        <w:t>i</w:t>
      </w:r>
      <w:proofErr w:type="spellEnd"/>
      <w:r w:rsidRPr="00603CF1">
        <w:rPr>
          <w:rFonts w:ascii="Times New Roman" w:hAnsi="Times New Roman" w:cs="Times New Roman"/>
          <w:color w:val="0070C0"/>
          <w:szCs w:val="24"/>
        </w:rPr>
        <w:t>) strong TEJ during neutral IOD conditions, (ii) strong IOD events, and (iii) concurrent strong TEJ and IOD events. These additional analyses clearly demonstrate how IOD-related Walker circulation anomalies influence the height, strength, and spatial extent of the TEJ, providing a more comprehensive explanation of their interaction.</w:t>
      </w:r>
    </w:p>
    <w:p w:rsidR="002B13E0" w:rsidRPr="00603CF1" w:rsidRDefault="00F83735" w:rsidP="00603CF1">
      <w:pPr>
        <w:pStyle w:val="ListParagraph"/>
        <w:spacing w:before="86" w:after="86" w:line="276" w:lineRule="auto"/>
        <w:ind w:left="288"/>
        <w:jc w:val="both"/>
        <w:rPr>
          <w:rFonts w:ascii="Times New Roman" w:hAnsi="Times New Roman" w:cs="Times New Roman"/>
          <w:szCs w:val="24"/>
        </w:rPr>
      </w:pPr>
      <w:r w:rsidRPr="00603CF1">
        <w:rPr>
          <w:rFonts w:ascii="Times New Roman" w:hAnsi="Times New Roman" w:cs="Times New Roman"/>
          <w:color w:val="0070C0"/>
          <w:szCs w:val="24"/>
        </w:rPr>
        <w:t xml:space="preserve">  </w:t>
      </w:r>
    </w:p>
    <w:p w:rsidR="002B13E0" w:rsidRPr="00603CF1" w:rsidRDefault="002B13E0" w:rsidP="00603CF1">
      <w:pPr>
        <w:pStyle w:val="ListParagraph"/>
        <w:numPr>
          <w:ilvl w:val="0"/>
          <w:numId w:val="1"/>
        </w:numPr>
        <w:spacing w:before="86" w:after="86" w:line="276" w:lineRule="auto"/>
        <w:ind w:left="288"/>
        <w:jc w:val="both"/>
        <w:rPr>
          <w:rFonts w:ascii="Times New Roman" w:hAnsi="Times New Roman" w:cs="Times New Roman"/>
          <w:szCs w:val="24"/>
        </w:rPr>
      </w:pPr>
      <w:r w:rsidRPr="00603CF1">
        <w:rPr>
          <w:rFonts w:ascii="Times New Roman" w:hAnsi="Times New Roman" w:cs="Times New Roman"/>
          <w:szCs w:val="24"/>
        </w:rPr>
        <w:t>Line 42: The composite analysis shows that the Ekman Pumping Velocity (EPV) was positive/negative,</w:t>
      </w:r>
      <w:r w:rsidR="00A653B0" w:rsidRPr="00603CF1">
        <w:rPr>
          <w:rFonts w:ascii="Times New Roman" w:hAnsi="Times New Roman" w:cs="Times New Roman"/>
          <w:szCs w:val="24"/>
        </w:rPr>
        <w:t xml:space="preserve"> </w:t>
      </w:r>
      <w:r w:rsidRPr="00603CF1">
        <w:rPr>
          <w:rFonts w:ascii="Times New Roman" w:hAnsi="Times New Roman" w:cs="Times New Roman"/>
          <w:szCs w:val="24"/>
        </w:rPr>
        <w:t>and the sea surface height anomalies (SSHA) were negative/positive during the strong/weak TEJ conditions,</w:t>
      </w:r>
      <w:r w:rsidR="00A653B0" w:rsidRPr="00603CF1">
        <w:rPr>
          <w:rFonts w:ascii="Times New Roman" w:hAnsi="Times New Roman" w:cs="Times New Roman"/>
          <w:szCs w:val="24"/>
        </w:rPr>
        <w:t xml:space="preserve"> </w:t>
      </w:r>
      <w:r w:rsidRPr="00603CF1">
        <w:rPr>
          <w:rFonts w:ascii="Times New Roman" w:hAnsi="Times New Roman" w:cs="Times New Roman"/>
          <w:szCs w:val="24"/>
        </w:rPr>
        <w:t>supporting upwelling/downwelling over the SEAS. Figure 8c shows positive SSH anomalies in strong TEJ</w:t>
      </w:r>
      <w:r w:rsidR="00A653B0" w:rsidRPr="00603CF1">
        <w:rPr>
          <w:rFonts w:ascii="Times New Roman" w:hAnsi="Times New Roman" w:cs="Times New Roman"/>
          <w:szCs w:val="24"/>
        </w:rPr>
        <w:t xml:space="preserve"> </w:t>
      </w:r>
      <w:r w:rsidRPr="00603CF1">
        <w:rPr>
          <w:rFonts w:ascii="Times New Roman" w:hAnsi="Times New Roman" w:cs="Times New Roman"/>
          <w:szCs w:val="24"/>
        </w:rPr>
        <w:t>years not consistent with what is written. Why EPV seen on the land region and values along the coast are</w:t>
      </w:r>
      <w:r w:rsidR="00A653B0" w:rsidRPr="00603CF1">
        <w:rPr>
          <w:rFonts w:ascii="Times New Roman" w:hAnsi="Times New Roman" w:cs="Times New Roman"/>
          <w:szCs w:val="24"/>
        </w:rPr>
        <w:t xml:space="preserve"> </w:t>
      </w:r>
      <w:r w:rsidRPr="00603CF1">
        <w:rPr>
          <w:rFonts w:ascii="Times New Roman" w:hAnsi="Times New Roman" w:cs="Times New Roman"/>
          <w:szCs w:val="24"/>
        </w:rPr>
        <w:t>strange!</w:t>
      </w:r>
    </w:p>
    <w:p w:rsidR="002B13E0" w:rsidRPr="00603CF1" w:rsidRDefault="002B13E0" w:rsidP="00603CF1">
      <w:pPr>
        <w:pStyle w:val="ListParagraph"/>
        <w:spacing w:line="276" w:lineRule="auto"/>
        <w:ind w:left="288"/>
        <w:rPr>
          <w:rFonts w:ascii="Times New Roman" w:hAnsi="Times New Roman" w:cs="Times New Roman"/>
          <w:szCs w:val="24"/>
        </w:rPr>
      </w:pPr>
    </w:p>
    <w:p w:rsidR="00603CF1" w:rsidRPr="00603CF1" w:rsidRDefault="00603CF1" w:rsidP="00603CF1">
      <w:pPr>
        <w:pStyle w:val="ListParagraph"/>
        <w:spacing w:before="86" w:after="86" w:line="276" w:lineRule="auto"/>
        <w:ind w:left="288"/>
        <w:jc w:val="both"/>
        <w:rPr>
          <w:rFonts w:ascii="Times New Roman" w:hAnsi="Times New Roman" w:cs="Times New Roman"/>
          <w:szCs w:val="24"/>
        </w:rPr>
      </w:pPr>
      <w:r w:rsidRPr="00603CF1">
        <w:rPr>
          <w:rFonts w:ascii="Times New Roman" w:hAnsi="Times New Roman" w:cs="Times New Roman"/>
          <w:color w:val="0070C0"/>
          <w:szCs w:val="24"/>
        </w:rPr>
        <w:lastRenderedPageBreak/>
        <w:t xml:space="preserve">We thank the reviewer for identifying these inconsistencies. We have carefully re-examined the composite analysis and </w:t>
      </w:r>
      <w:r w:rsidRPr="00603CF1">
        <w:rPr>
          <w:rFonts w:ascii="Times New Roman" w:hAnsi="Times New Roman" w:cs="Times New Roman"/>
          <w:color w:val="0070C0"/>
          <w:szCs w:val="24"/>
        </w:rPr>
        <w:t xml:space="preserve">regenerated the EPV fields </w:t>
      </w:r>
      <w:r w:rsidRPr="00603CF1">
        <w:rPr>
          <w:rFonts w:ascii="Times New Roman" w:hAnsi="Times New Roman" w:cs="Times New Roman"/>
          <w:color w:val="0070C0"/>
          <w:szCs w:val="24"/>
        </w:rPr>
        <w:t xml:space="preserve">using an improved land–sea mask and revised plotting procedures to remove spurious values over land. The updated figures and corresponding discussion now accurately represent the relationship </w:t>
      </w:r>
      <w:r w:rsidRPr="00603CF1">
        <w:rPr>
          <w:rFonts w:ascii="Times New Roman" w:hAnsi="Times New Roman" w:cs="Times New Roman"/>
          <w:color w:val="0070C0"/>
          <w:szCs w:val="24"/>
        </w:rPr>
        <w:t>between</w:t>
      </w:r>
      <w:r w:rsidRPr="00603CF1">
        <w:rPr>
          <w:rFonts w:ascii="Times New Roman" w:hAnsi="Times New Roman" w:cs="Times New Roman"/>
          <w:color w:val="0070C0"/>
          <w:szCs w:val="24"/>
        </w:rPr>
        <w:t xml:space="preserve"> EPV and coastal upwelling during strong and weak TEJ conditions</w:t>
      </w:r>
      <w:r w:rsidRPr="00603CF1">
        <w:rPr>
          <w:rFonts w:ascii="Times New Roman" w:hAnsi="Times New Roman" w:cs="Times New Roman"/>
          <w:szCs w:val="24"/>
        </w:rPr>
        <w:t>.</w:t>
      </w:r>
    </w:p>
    <w:p w:rsidR="002B13E0" w:rsidRPr="00603CF1" w:rsidRDefault="002B13E0" w:rsidP="00603CF1">
      <w:pPr>
        <w:pStyle w:val="ListParagraph"/>
        <w:spacing w:before="86" w:after="86" w:line="276" w:lineRule="auto"/>
        <w:ind w:left="288"/>
        <w:jc w:val="both"/>
        <w:rPr>
          <w:rFonts w:ascii="Times New Roman" w:hAnsi="Times New Roman" w:cs="Times New Roman"/>
          <w:szCs w:val="24"/>
        </w:rPr>
      </w:pPr>
    </w:p>
    <w:p w:rsidR="002B13E0" w:rsidRPr="00603CF1" w:rsidRDefault="002B13E0" w:rsidP="00603CF1">
      <w:pPr>
        <w:pStyle w:val="ListParagraph"/>
        <w:numPr>
          <w:ilvl w:val="0"/>
          <w:numId w:val="1"/>
        </w:numPr>
        <w:spacing w:before="86" w:after="86" w:line="276" w:lineRule="auto"/>
        <w:ind w:left="288"/>
        <w:jc w:val="both"/>
        <w:rPr>
          <w:rFonts w:ascii="Times New Roman" w:hAnsi="Times New Roman" w:cs="Times New Roman"/>
          <w:szCs w:val="24"/>
        </w:rPr>
      </w:pPr>
      <w:r w:rsidRPr="00603CF1">
        <w:rPr>
          <w:rFonts w:ascii="Times New Roman" w:hAnsi="Times New Roman" w:cs="Times New Roman"/>
          <w:szCs w:val="24"/>
        </w:rPr>
        <w:t>Very few individual IOD years are flowing the hypotheses presented here but not well explained. Authors</w:t>
      </w:r>
      <w:r w:rsidR="00731CDA" w:rsidRPr="00603CF1">
        <w:rPr>
          <w:rFonts w:ascii="Times New Roman" w:hAnsi="Times New Roman" w:cs="Times New Roman"/>
          <w:szCs w:val="24"/>
        </w:rPr>
        <w:t xml:space="preserve"> </w:t>
      </w:r>
      <w:r w:rsidRPr="00603CF1">
        <w:rPr>
          <w:rFonts w:ascii="Times New Roman" w:hAnsi="Times New Roman" w:cs="Times New Roman"/>
          <w:szCs w:val="24"/>
        </w:rPr>
        <w:t>should consider strong IOD or TEJ years for analysis and my help explaining hypotheses</w:t>
      </w:r>
      <w:proofErr w:type="gramStart"/>
      <w:r w:rsidRPr="00603CF1">
        <w:rPr>
          <w:rFonts w:ascii="Times New Roman" w:hAnsi="Times New Roman" w:cs="Times New Roman"/>
          <w:szCs w:val="24"/>
        </w:rPr>
        <w:t>…..</w:t>
      </w:r>
      <w:proofErr w:type="gramEnd"/>
    </w:p>
    <w:p w:rsidR="00731CDA" w:rsidRPr="00603CF1" w:rsidRDefault="00731CDA" w:rsidP="00603CF1">
      <w:pPr>
        <w:pStyle w:val="ListParagraph"/>
        <w:spacing w:before="86" w:after="86" w:line="276" w:lineRule="auto"/>
        <w:ind w:left="288"/>
        <w:jc w:val="both"/>
        <w:rPr>
          <w:rFonts w:ascii="Times New Roman" w:hAnsi="Times New Roman" w:cs="Times New Roman"/>
          <w:szCs w:val="24"/>
        </w:rPr>
      </w:pPr>
    </w:p>
    <w:p w:rsidR="002B13E0" w:rsidRPr="00603CF1" w:rsidRDefault="00603CF1" w:rsidP="00603CF1">
      <w:pPr>
        <w:pStyle w:val="ListParagraph"/>
        <w:spacing w:before="86" w:after="86" w:line="276" w:lineRule="auto"/>
        <w:ind w:left="288"/>
        <w:jc w:val="both"/>
        <w:rPr>
          <w:rFonts w:ascii="Times New Roman" w:hAnsi="Times New Roman" w:cs="Times New Roman"/>
          <w:color w:val="0070C0"/>
          <w:szCs w:val="24"/>
        </w:rPr>
      </w:pPr>
      <w:r w:rsidRPr="00603CF1">
        <w:rPr>
          <w:rFonts w:ascii="Times New Roman" w:hAnsi="Times New Roman" w:cs="Times New Roman"/>
          <w:color w:val="0070C0"/>
          <w:szCs w:val="24"/>
        </w:rPr>
        <w:t>We appreciate this constructive suggestion. Accordingly, we have revised the analysis by selecting only</w:t>
      </w:r>
      <w:r w:rsidRPr="00603CF1">
        <w:rPr>
          <w:rFonts w:ascii="Times New Roman" w:hAnsi="Times New Roman" w:cs="Times New Roman"/>
          <w:color w:val="0070C0"/>
          <w:szCs w:val="24"/>
        </w:rPr>
        <w:t xml:space="preserve"> </w:t>
      </w:r>
      <w:r w:rsidRPr="00603CF1">
        <w:rPr>
          <w:rFonts w:ascii="Times New Roman" w:hAnsi="Times New Roman" w:cs="Times New Roman"/>
          <w:color w:val="0070C0"/>
          <w:szCs w:val="24"/>
        </w:rPr>
        <w:t xml:space="preserve">strong TEJ and </w:t>
      </w:r>
      <w:r w:rsidR="009C7DD3">
        <w:rPr>
          <w:rFonts w:ascii="Times New Roman" w:hAnsi="Times New Roman" w:cs="Times New Roman"/>
          <w:color w:val="0070C0"/>
          <w:szCs w:val="24"/>
        </w:rPr>
        <w:t>IOD years based on standard indices, rather than</w:t>
      </w:r>
      <w:r w:rsidRPr="00603CF1">
        <w:rPr>
          <w:rFonts w:ascii="Times New Roman" w:hAnsi="Times New Roman" w:cs="Times New Roman"/>
          <w:color w:val="0070C0"/>
          <w:szCs w:val="24"/>
        </w:rPr>
        <w:t xml:space="preserve"> using all available events. The composite analysis has been updated to better represent the dominant atmospheric and oceanic signals. The discussion has also been expanded to clearly explain the proposed physical mechanisms linking TEJ, IOD, upper-ocean processes, and </w:t>
      </w:r>
      <w:r w:rsidR="009C7DD3">
        <w:rPr>
          <w:rFonts w:ascii="Times New Roman" w:hAnsi="Times New Roman" w:cs="Times New Roman"/>
          <w:color w:val="0070C0"/>
          <w:szCs w:val="24"/>
        </w:rPr>
        <w:t>chlorophyll a</w:t>
      </w:r>
      <w:bookmarkStart w:id="0" w:name="_GoBack"/>
      <w:bookmarkEnd w:id="0"/>
      <w:r w:rsidRPr="00603CF1">
        <w:rPr>
          <w:rFonts w:ascii="Times New Roman" w:hAnsi="Times New Roman" w:cs="Times New Roman"/>
          <w:color w:val="0070C0"/>
          <w:szCs w:val="24"/>
        </w:rPr>
        <w:t xml:space="preserve"> variability over the southeastern Arabian Sea</w:t>
      </w:r>
      <w:r w:rsidRPr="00603CF1">
        <w:rPr>
          <w:rFonts w:ascii="Times New Roman" w:hAnsi="Times New Roman" w:cs="Times New Roman"/>
          <w:color w:val="0070C0"/>
          <w:szCs w:val="24"/>
        </w:rPr>
        <w:t xml:space="preserve">. </w:t>
      </w:r>
    </w:p>
    <w:p w:rsidR="00603CF1" w:rsidRPr="00603CF1" w:rsidRDefault="00603CF1" w:rsidP="00603CF1">
      <w:pPr>
        <w:pStyle w:val="ListParagraph"/>
        <w:spacing w:before="86" w:after="86" w:line="276" w:lineRule="auto"/>
        <w:ind w:left="288"/>
        <w:jc w:val="both"/>
        <w:rPr>
          <w:rFonts w:ascii="Times New Roman" w:hAnsi="Times New Roman" w:cs="Times New Roman"/>
          <w:szCs w:val="24"/>
        </w:rPr>
      </w:pPr>
    </w:p>
    <w:p w:rsidR="00BF1B9E" w:rsidRPr="00603CF1" w:rsidRDefault="002B13E0" w:rsidP="00603CF1">
      <w:pPr>
        <w:pStyle w:val="ListParagraph"/>
        <w:numPr>
          <w:ilvl w:val="0"/>
          <w:numId w:val="1"/>
        </w:numPr>
        <w:spacing w:before="86" w:after="86" w:line="276" w:lineRule="auto"/>
        <w:ind w:left="288"/>
        <w:jc w:val="both"/>
        <w:rPr>
          <w:rFonts w:ascii="Times New Roman" w:hAnsi="Times New Roman" w:cs="Times New Roman"/>
          <w:szCs w:val="24"/>
        </w:rPr>
      </w:pPr>
      <w:r w:rsidRPr="00603CF1">
        <w:rPr>
          <w:rFonts w:ascii="Times New Roman" w:hAnsi="Times New Roman" w:cs="Times New Roman"/>
          <w:szCs w:val="24"/>
        </w:rPr>
        <w:t>Quality of the figures are not good even in the third review.</w:t>
      </w:r>
    </w:p>
    <w:p w:rsidR="00603CF1" w:rsidRPr="00603CF1" w:rsidRDefault="00603CF1" w:rsidP="00603CF1">
      <w:pPr>
        <w:pStyle w:val="ListParagraph"/>
        <w:spacing w:before="86" w:after="86" w:line="276" w:lineRule="auto"/>
        <w:ind w:left="288"/>
        <w:jc w:val="both"/>
        <w:rPr>
          <w:rFonts w:ascii="Times New Roman" w:hAnsi="Times New Roman" w:cs="Times New Roman"/>
          <w:b/>
          <w:color w:val="0070C0"/>
          <w:szCs w:val="24"/>
        </w:rPr>
      </w:pPr>
    </w:p>
    <w:p w:rsidR="00603CF1" w:rsidRPr="00603CF1" w:rsidRDefault="00603CF1" w:rsidP="00603CF1">
      <w:pPr>
        <w:pStyle w:val="ListParagraph"/>
        <w:spacing w:before="86" w:after="86" w:line="276" w:lineRule="auto"/>
        <w:ind w:left="288"/>
        <w:jc w:val="both"/>
        <w:rPr>
          <w:rFonts w:ascii="Times New Roman" w:hAnsi="Times New Roman" w:cs="Times New Roman"/>
          <w:color w:val="0070C0"/>
          <w:szCs w:val="24"/>
        </w:rPr>
      </w:pPr>
      <w:r w:rsidRPr="00603CF1">
        <w:rPr>
          <w:rFonts w:ascii="Times New Roman" w:hAnsi="Times New Roman" w:cs="Times New Roman"/>
          <w:color w:val="0070C0"/>
          <w:szCs w:val="24"/>
        </w:rPr>
        <w:t>We thank the reviewer for this comment. All figures have been regenerated at higher resolution with improved fonts, color scales, panel alignment, and labeling to enhance clarity and readability. The overall quality of the figures has been substantially improved in the revised manuscript.</w:t>
      </w:r>
    </w:p>
    <w:sectPr w:rsidR="00603CF1" w:rsidRPr="00603CF1">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altName w:val="Cambria"/>
    <w:panose1 w:val="00000000000000000000"/>
    <w:charset w:val="00"/>
    <w:family w:val="roman"/>
    <w:notTrueType/>
    <w:pitch w:val="default"/>
  </w:font>
  <w:font w:name="Noto Sans Devanagari">
    <w:altName w:val="Cambria"/>
    <w:charset w:val="00"/>
    <w:family w:val="swiss"/>
    <w:pitch w:val="variable"/>
    <w:sig w:usb0="80008023" w:usb1="00002046" w:usb2="00000000" w:usb3="00000000" w:csb0="00000001" w:csb1="00000000"/>
  </w:font>
  <w:font w:name="Liberation Sans">
    <w:altName w:val="Arial"/>
    <w:charset w:val="01"/>
    <w:family w:val="roman"/>
    <w:pitch w:val="variable"/>
  </w:font>
  <w:font w:name="Noto Sans CJK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8610A2"/>
    <w:multiLevelType w:val="hybridMultilevel"/>
    <w:tmpl w:val="E1CC0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Y1tTAyMDYyszQ2MDVQ0lEKTi0uzszPAykwqwUAweXiRiwAAAA="/>
  </w:docVars>
  <w:rsids>
    <w:rsidRoot w:val="00A23E22"/>
    <w:rsid w:val="000B50D7"/>
    <w:rsid w:val="000C38B4"/>
    <w:rsid w:val="00145814"/>
    <w:rsid w:val="0019466F"/>
    <w:rsid w:val="001C766F"/>
    <w:rsid w:val="002A0AF7"/>
    <w:rsid w:val="002B13E0"/>
    <w:rsid w:val="002C57C3"/>
    <w:rsid w:val="0038047C"/>
    <w:rsid w:val="003D631D"/>
    <w:rsid w:val="003F149E"/>
    <w:rsid w:val="004C0F9B"/>
    <w:rsid w:val="004D0706"/>
    <w:rsid w:val="00603CF1"/>
    <w:rsid w:val="006A6FAF"/>
    <w:rsid w:val="00731CDA"/>
    <w:rsid w:val="00747468"/>
    <w:rsid w:val="007B728A"/>
    <w:rsid w:val="00845A7B"/>
    <w:rsid w:val="00891531"/>
    <w:rsid w:val="009257B0"/>
    <w:rsid w:val="00991C73"/>
    <w:rsid w:val="009C7DD3"/>
    <w:rsid w:val="00A23E22"/>
    <w:rsid w:val="00A45880"/>
    <w:rsid w:val="00A653B0"/>
    <w:rsid w:val="00AA36DE"/>
    <w:rsid w:val="00B30BBA"/>
    <w:rsid w:val="00B432DA"/>
    <w:rsid w:val="00BF1B9E"/>
    <w:rsid w:val="00BF5ED2"/>
    <w:rsid w:val="00CF3D8F"/>
    <w:rsid w:val="00D46886"/>
    <w:rsid w:val="00D95E5C"/>
    <w:rsid w:val="00DD5AD3"/>
    <w:rsid w:val="00E14B5F"/>
    <w:rsid w:val="00E81B5C"/>
    <w:rsid w:val="00EE1819"/>
    <w:rsid w:val="00EF10DE"/>
    <w:rsid w:val="00F064A6"/>
    <w:rsid w:val="00F83735"/>
    <w:rsid w:val="00F9347F"/>
    <w:rsid w:val="00FA67EF"/>
    <w:rsid w:val="00FE0BB6"/>
    <w:rsid w:val="00FE555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CDC42"/>
  <w15:docId w15:val="{9BFCC1D8-9559-4CFE-9DB7-D42DD668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erif CJK SC" w:hAnsi="Liberation Serif" w:cs="Noto Sans Devanagari"/>
        <w:kern w:val="2"/>
        <w:sz w:val="24"/>
        <w:szCs w:val="24"/>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ListParagraph">
    <w:name w:val="List Paragraph"/>
    <w:basedOn w:val="Normal"/>
    <w:uiPriority w:val="34"/>
    <w:qFormat/>
    <w:rsid w:val="002B13E0"/>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Kantha</dc:creator>
  <cp:lastModifiedBy>4PI Kantha Rao</cp:lastModifiedBy>
  <cp:revision>2</cp:revision>
  <dcterms:created xsi:type="dcterms:W3CDTF">2026-07-31T05:50:00Z</dcterms:created>
  <dcterms:modified xsi:type="dcterms:W3CDTF">2026-07-31T05:50:00Z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2026-04-07T15:44:56Z</dcterms:created>
  <dc:creator/>
  <dc:description/>
  <dc:language>en-US</dc:language>
  <cp:lastModifiedBy/>
  <dcterms:modified xsi:type="dcterms:W3CDTF">2026-04-20T11:03:06Z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879de6dc-ba26-45ca-871f-a110d0f9afc9</vt:lpwstr>
  </property>
</Properties>
</file>