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55BF7" w14:textId="77777777" w:rsidR="006918E8" w:rsidRPr="000F31FF" w:rsidRDefault="006918E8" w:rsidP="006918E8">
      <w:pPr>
        <w:pStyle w:val="NormalWeb"/>
        <w:spacing w:line="480" w:lineRule="auto"/>
        <w:jc w:val="both"/>
        <w:rPr>
          <w:color w:val="000000"/>
          <w:lang w:val="en-GB"/>
        </w:rPr>
      </w:pPr>
      <w:r w:rsidRPr="000F31FF">
        <w:rPr>
          <w:b/>
          <w:bCs/>
          <w:color w:val="000000"/>
          <w:lang w:val="en-GB"/>
        </w:rPr>
        <w:t xml:space="preserve">Supplementary Figure S1. </w:t>
      </w:r>
      <w:r w:rsidRPr="000F31FF">
        <w:rPr>
          <w:color w:val="000000"/>
          <w:lang w:val="en-GB"/>
        </w:rPr>
        <w:t xml:space="preserve">Molecular validation of the PT22AV </w:t>
      </w:r>
      <w:r w:rsidRPr="000F31FF">
        <w:rPr>
          <w:i/>
          <w:iCs/>
          <w:color w:val="000000"/>
          <w:lang w:val="en-GB"/>
        </w:rPr>
        <w:t>gap1</w:t>
      </w:r>
      <w:r w:rsidRPr="000F31FF">
        <w:rPr>
          <w:color w:val="000000"/>
          <w:lang w:val="en-GB"/>
        </w:rPr>
        <w:t>Δ mutant and functional controls. (A)</w:t>
      </w:r>
      <w:r>
        <w:rPr>
          <w:color w:val="000000"/>
          <w:lang w:val="en-GB"/>
        </w:rPr>
        <w:t xml:space="preserve"> </w:t>
      </w:r>
      <w:r w:rsidRPr="000F31FF">
        <w:rPr>
          <w:color w:val="000000"/>
          <w:lang w:val="en-GB"/>
        </w:rPr>
        <w:t xml:space="preserve">Diagnostic PCR confirmation of the PT22AV </w:t>
      </w:r>
      <w:r w:rsidRPr="000F31FF">
        <w:rPr>
          <w:i/>
          <w:iCs/>
          <w:color w:val="000000"/>
          <w:lang w:val="en-GB"/>
        </w:rPr>
        <w:t>gap1Δ</w:t>
      </w:r>
      <w:r w:rsidRPr="000F31FF">
        <w:rPr>
          <w:color w:val="000000"/>
          <w:lang w:val="en-GB"/>
        </w:rPr>
        <w:t xml:space="preserve"> mutant. Correct homologous recombination was verified by amplification of the 5′ and 3′ recombination junctions, absence of the wild-type </w:t>
      </w:r>
      <w:r w:rsidRPr="000F31FF">
        <w:rPr>
          <w:i/>
          <w:iCs/>
          <w:color w:val="000000"/>
          <w:lang w:val="en-GB"/>
        </w:rPr>
        <w:t>GAP1</w:t>
      </w:r>
      <w:r w:rsidRPr="000F31FF">
        <w:rPr>
          <w:color w:val="000000"/>
          <w:lang w:val="en-GB"/>
        </w:rPr>
        <w:t xml:space="preserve"> allele (internal PCR), and amplification across the </w:t>
      </w:r>
      <w:r w:rsidRPr="000F31FF">
        <w:rPr>
          <w:i/>
          <w:iCs/>
          <w:color w:val="000000"/>
          <w:lang w:val="en-GB"/>
        </w:rPr>
        <w:t>GAP1</w:t>
      </w:r>
      <w:r w:rsidRPr="000F31FF">
        <w:rPr>
          <w:color w:val="000000"/>
          <w:lang w:val="en-GB"/>
        </w:rPr>
        <w:t xml:space="preserve"> locus (spanning PCR). Primer pairs used for each diagnostic assay are indicated above the corresponding gel panels and reported the Supplementary table S1. (B) VOC-mediated inhibition of </w:t>
      </w:r>
      <w:r w:rsidRPr="000F31FF">
        <w:rPr>
          <w:i/>
          <w:iCs/>
          <w:color w:val="000000"/>
          <w:lang w:val="en-GB"/>
        </w:rPr>
        <w:t>Rhizoctonia solani</w:t>
      </w:r>
      <w:r w:rsidRPr="000F31FF">
        <w:rPr>
          <w:color w:val="000000"/>
          <w:lang w:val="en-GB"/>
        </w:rPr>
        <w:t xml:space="preserve"> by the PT22AV wild type, the </w:t>
      </w:r>
      <w:r w:rsidRPr="000F31FF">
        <w:rPr>
          <w:i/>
          <w:iCs/>
          <w:color w:val="000000"/>
          <w:lang w:val="en-GB"/>
        </w:rPr>
        <w:t>gap1</w:t>
      </w:r>
      <w:r w:rsidRPr="000F31FF">
        <w:rPr>
          <w:color w:val="000000"/>
          <w:lang w:val="en-GB"/>
        </w:rPr>
        <w:t xml:space="preserve">Δ mutant, and an ectopic transformant grown on minimal medium supplemented with L-leucine.  Bars represent treatment means, error bars indicate standard deviation (SD), and dots represent individual biological replicates. Asterisk indicates a statistically significant difference according to Dunnett's multiple comparisons test (P &lt; 0.05), ns indicates not statistically significant difference. (C) Growth of the PT22AV wild type and </w:t>
      </w:r>
      <w:r w:rsidRPr="000F31FF">
        <w:rPr>
          <w:i/>
          <w:iCs/>
          <w:color w:val="000000"/>
          <w:lang w:val="en-GB"/>
        </w:rPr>
        <w:t>gap1</w:t>
      </w:r>
      <w:r w:rsidRPr="000F31FF">
        <w:rPr>
          <w:color w:val="000000"/>
          <w:lang w:val="en-GB"/>
        </w:rPr>
        <w:t xml:space="preserve">Δ mutant in minimal medium supplemented with branched-chain amino acids as the sole nitrogen source. Growth was monitored by measuring OD₆₀₀ over time. No significant differences between strains were detected according to an unpaired two-tailed Student's t-test (ns, P ≥ 0.05). Data are presented as mean ± SD. </w:t>
      </w:r>
    </w:p>
    <w:p w14:paraId="41D5FC88" w14:textId="77777777" w:rsidR="006918E8" w:rsidRPr="000F31FF" w:rsidRDefault="006918E8" w:rsidP="006918E8">
      <w:pPr>
        <w:pStyle w:val="NormalWeb"/>
        <w:spacing w:line="480" w:lineRule="auto"/>
        <w:jc w:val="both"/>
        <w:rPr>
          <w:color w:val="000000"/>
          <w:lang w:val="en-GB"/>
        </w:rPr>
      </w:pPr>
      <w:r w:rsidRPr="000F31FF">
        <w:rPr>
          <w:b/>
          <w:bCs/>
          <w:color w:val="000000"/>
          <w:lang w:val="en-GB"/>
        </w:rPr>
        <w:t>Supplementary Figure S2.</w:t>
      </w:r>
      <w:r w:rsidRPr="000F31FF">
        <w:rPr>
          <w:color w:val="000000"/>
          <w:lang w:val="en-GB"/>
        </w:rPr>
        <w:t xml:space="preserve"> Temporal changes in the microbial community of soil 2.3 following PT22AV application. In all panels, C0 and C120 represent untreated soil sampled before and 120 days after the start of the experiment, respectively, whereas T3, T28, and T120 represent PT22AV-treated soil sampled 3, 28, and 120 days after the yeast application. (A) Principal Coordinate Analysis (PCoA) based on Bray–Curtis distances. (B) Richness and (C) Shannon alpha-diversity indices. Statistical significance between groups was assessed using the Wilcoxon test.</w:t>
      </w:r>
    </w:p>
    <w:p w14:paraId="4945B32A" w14:textId="77777777" w:rsidR="006918E8" w:rsidRDefault="006918E8" w:rsidP="006918E8">
      <w:pPr>
        <w:pStyle w:val="NormalWeb"/>
        <w:spacing w:line="480" w:lineRule="auto"/>
        <w:jc w:val="both"/>
        <w:rPr>
          <w:color w:val="000000"/>
          <w:lang w:val="en-GB"/>
        </w:rPr>
      </w:pPr>
      <w:r w:rsidRPr="000F31FF">
        <w:rPr>
          <w:b/>
          <w:bCs/>
          <w:color w:val="000000"/>
          <w:lang w:val="en-GB"/>
        </w:rPr>
        <w:t>Supplementary Figure S3</w:t>
      </w:r>
      <w:r w:rsidRPr="000F31FF">
        <w:rPr>
          <w:color w:val="000000"/>
          <w:lang w:val="en-GB"/>
        </w:rPr>
        <w:t xml:space="preserve">. Temporal changes in the microbial community of soil 2.4 following PT22AV application. In all panels, C0 and C120 represent untreated soil sampled </w:t>
      </w:r>
      <w:r w:rsidRPr="000F31FF">
        <w:rPr>
          <w:color w:val="000000"/>
          <w:lang w:val="en-GB"/>
        </w:rPr>
        <w:lastRenderedPageBreak/>
        <w:t>before and 120 days after the start of the experiment, respectively, whereas T3, T28, and T120 represent PT22AV-treated soil sampled 3, 28, and 120 days after application. (A) Principal coordinate analysis (PCoA) based on Bray–Curtis distances. (B) Richness and (C) Shannon alpha-diversity indices. Statistical significance between groups was assessed using the Wilcoxon test.</w:t>
      </w:r>
    </w:p>
    <w:p w14:paraId="3C8E6FDE" w14:textId="77777777" w:rsidR="00EB4A2D" w:rsidRPr="006918E8" w:rsidRDefault="00EB4A2D" w:rsidP="006918E8"/>
    <w:sectPr w:rsidR="00EB4A2D" w:rsidRPr="006918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8E8"/>
    <w:rsid w:val="00026358"/>
    <w:rsid w:val="001D3053"/>
    <w:rsid w:val="001E3A92"/>
    <w:rsid w:val="00217E67"/>
    <w:rsid w:val="002C7D54"/>
    <w:rsid w:val="0033371E"/>
    <w:rsid w:val="005C0D39"/>
    <w:rsid w:val="006918E8"/>
    <w:rsid w:val="0070406C"/>
    <w:rsid w:val="00724754"/>
    <w:rsid w:val="007B36B1"/>
    <w:rsid w:val="00C321FA"/>
    <w:rsid w:val="00C97210"/>
    <w:rsid w:val="00EB4A2D"/>
    <w:rsid w:val="00EE513F"/>
    <w:rsid w:val="00FC50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75088"/>
  <w15:chartTrackingRefBased/>
  <w15:docId w15:val="{06388F62-D67D-4CA5-912A-837DDA739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18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18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18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18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18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18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18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18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18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18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18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18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18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18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18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18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18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18E8"/>
    <w:rPr>
      <w:rFonts w:eastAsiaTheme="majorEastAsia" w:cstheme="majorBidi"/>
      <w:color w:val="272727" w:themeColor="text1" w:themeTint="D8"/>
    </w:rPr>
  </w:style>
  <w:style w:type="paragraph" w:styleId="Title">
    <w:name w:val="Title"/>
    <w:basedOn w:val="Normal"/>
    <w:next w:val="Normal"/>
    <w:link w:val="TitleChar"/>
    <w:uiPriority w:val="10"/>
    <w:qFormat/>
    <w:rsid w:val="006918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18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18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18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18E8"/>
    <w:pPr>
      <w:spacing w:before="160"/>
      <w:jc w:val="center"/>
    </w:pPr>
    <w:rPr>
      <w:i/>
      <w:iCs/>
      <w:color w:val="404040" w:themeColor="text1" w:themeTint="BF"/>
    </w:rPr>
  </w:style>
  <w:style w:type="character" w:customStyle="1" w:styleId="QuoteChar">
    <w:name w:val="Quote Char"/>
    <w:basedOn w:val="DefaultParagraphFont"/>
    <w:link w:val="Quote"/>
    <w:uiPriority w:val="29"/>
    <w:rsid w:val="006918E8"/>
    <w:rPr>
      <w:i/>
      <w:iCs/>
      <w:color w:val="404040" w:themeColor="text1" w:themeTint="BF"/>
    </w:rPr>
  </w:style>
  <w:style w:type="paragraph" w:styleId="ListParagraph">
    <w:name w:val="List Paragraph"/>
    <w:basedOn w:val="Normal"/>
    <w:uiPriority w:val="34"/>
    <w:qFormat/>
    <w:rsid w:val="006918E8"/>
    <w:pPr>
      <w:ind w:left="720"/>
      <w:contextualSpacing/>
    </w:pPr>
  </w:style>
  <w:style w:type="character" w:styleId="IntenseEmphasis">
    <w:name w:val="Intense Emphasis"/>
    <w:basedOn w:val="DefaultParagraphFont"/>
    <w:uiPriority w:val="21"/>
    <w:qFormat/>
    <w:rsid w:val="006918E8"/>
    <w:rPr>
      <w:i/>
      <w:iCs/>
      <w:color w:val="0F4761" w:themeColor="accent1" w:themeShade="BF"/>
    </w:rPr>
  </w:style>
  <w:style w:type="paragraph" w:styleId="IntenseQuote">
    <w:name w:val="Intense Quote"/>
    <w:basedOn w:val="Normal"/>
    <w:next w:val="Normal"/>
    <w:link w:val="IntenseQuoteChar"/>
    <w:uiPriority w:val="30"/>
    <w:qFormat/>
    <w:rsid w:val="006918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18E8"/>
    <w:rPr>
      <w:i/>
      <w:iCs/>
      <w:color w:val="0F4761" w:themeColor="accent1" w:themeShade="BF"/>
    </w:rPr>
  </w:style>
  <w:style w:type="character" w:styleId="IntenseReference">
    <w:name w:val="Intense Reference"/>
    <w:basedOn w:val="DefaultParagraphFont"/>
    <w:uiPriority w:val="32"/>
    <w:qFormat/>
    <w:rsid w:val="006918E8"/>
    <w:rPr>
      <w:b/>
      <w:bCs/>
      <w:smallCaps/>
      <w:color w:val="0F4761" w:themeColor="accent1" w:themeShade="BF"/>
      <w:spacing w:val="5"/>
    </w:rPr>
  </w:style>
  <w:style w:type="paragraph" w:styleId="NormalWeb">
    <w:name w:val="Normal (Web)"/>
    <w:basedOn w:val="Normal"/>
    <w:uiPriority w:val="99"/>
    <w:unhideWhenUsed/>
    <w:rsid w:val="006918E8"/>
    <w:rPr>
      <w:rFonts w:ascii="Times New Roman" w:eastAsia="Times New Roman" w:hAnsi="Times New Roman" w:cs="Times New Roman"/>
      <w:kern w:val="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365</Words>
  <Characters>2082</Characters>
  <Application>Microsoft Office Word</Application>
  <DocSecurity>0</DocSecurity>
  <Lines>17</Lines>
  <Paragraphs>4</Paragraphs>
  <ScaleCrop>false</ScaleCrop>
  <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2026-08-26T11:37:00Z</dcterms:created>
  <dcterms:modified xsi:type="dcterms:W3CDTF">2026-08-26T11:37:00Z</dcterms:modified>
</cp:coreProperties>
</file>