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12EBF">
      <w:pPr>
        <w:spacing w:before="0" w:after="120" w:line="276" w:lineRule="auto"/>
        <w:jc w:val="center"/>
      </w:pPr>
      <w:r>
        <w:rPr>
          <w:rFonts w:ascii="Times New Roman" w:hAnsi="Times New Roman" w:eastAsia="Times New Roman"/>
          <w:b/>
          <w:color w:val="000000"/>
          <w:sz w:val="32"/>
        </w:rPr>
        <w:t>Supplementary Appendix</w:t>
      </w:r>
    </w:p>
    <w:p w14:paraId="1A0A5C04">
      <w:pPr>
        <w:spacing w:before="0" w:after="120" w:line="276" w:lineRule="auto"/>
        <w:jc w:val="center"/>
      </w:pPr>
      <w:r>
        <w:rPr>
          <w:rFonts w:ascii="Times New Roman" w:hAnsi="Times New Roman" w:eastAsia="Times New Roman"/>
          <w:b/>
          <w:color w:val="000000"/>
          <w:sz w:val="24"/>
        </w:rPr>
        <w:t xml:space="preserve">Who Recovers after Climate Disasters? Social Capital, Public Services, and </w:t>
      </w:r>
      <w:bookmarkStart w:id="0" w:name="_GoBack"/>
      <w:bookmarkEnd w:id="0"/>
      <w:r>
        <w:rPr>
          <w:rFonts w:ascii="Times New Roman" w:hAnsi="Times New Roman" w:eastAsia="Times New Roman"/>
          <w:b/>
          <w:color w:val="000000"/>
          <w:sz w:val="24"/>
        </w:rPr>
        <w:t>Unequal Community Resilience in China</w:t>
      </w:r>
    </w:p>
    <w:p w14:paraId="430D1164">
      <w:pPr>
        <w:spacing w:after="240" w:line="276" w:lineRule="auto"/>
        <w:jc w:val="center"/>
      </w:pPr>
      <w:r>
        <w:rPr>
          <w:rFonts w:ascii="Times New Roman" w:hAnsi="Times New Roman" w:eastAsia="Times New Roman"/>
          <w:b w:val="0"/>
          <w:color w:val="000000"/>
          <w:sz w:val="22"/>
        </w:rPr>
        <w:t>This appendix is prepared as a separate supplementary file for SSCI Q1 submission. Restricted CFPS microdata and sub-provincial geographic identifiers are not redistributed.</w:t>
      </w:r>
    </w:p>
    <w:p w14:paraId="34B54F64">
      <w:pPr>
        <w:pStyle w:val="3"/>
        <w:spacing w:before="240" w:after="120" w:line="276" w:lineRule="auto"/>
        <w:ind w:left="0" w:right="0" w:firstLine="0"/>
        <w:jc w:val="left"/>
      </w:pPr>
      <w:r>
        <w:rPr>
          <w:rFonts w:ascii="Times New Roman" w:hAnsi="Times New Roman" w:eastAsia="Times New Roman"/>
          <w:b/>
          <w:i w:val="0"/>
          <w:color w:val="000000"/>
          <w:sz w:val="24"/>
        </w:rPr>
        <w:t>Appendix A. Replication Package Blueprint</w:t>
      </w:r>
    </w:p>
    <w:p w14:paraId="4B2B915F">
      <w:pPr>
        <w:spacing w:before="0" w:after="0" w:line="360" w:lineRule="auto"/>
        <w:ind w:left="0" w:right="0" w:firstLine="0"/>
        <w:jc w:val="left"/>
      </w:pPr>
      <w:r>
        <w:rPr>
          <w:rFonts w:ascii="Times New Roman" w:hAnsi="Times New Roman" w:eastAsia="Times New Roman"/>
          <w:color w:val="000000"/>
          <w:sz w:val="24"/>
        </w:rPr>
        <w:t>Appendix A provides the structure of the replication package. The package should include executable scripts for survey cleaning, restricted geographic linkage, climate-data extraction, grid-to-county aggregation, contextual-data merging, descriptive statistics, baseline models, mechanism analyses, moderation analyses, heterogeneity tests, robustness checks, event-study models, and figure generation. Raw CFPS microdata and restricted geographic identifiers must not be redistributed. The package should instead provide code templates and instructions for authorized users.</w:t>
      </w:r>
    </w:p>
    <w:p w14:paraId="75FEA0CA">
      <w:pPr>
        <w:pStyle w:val="4"/>
        <w:spacing w:before="160" w:after="80" w:line="276" w:lineRule="auto"/>
        <w:ind w:left="0" w:right="0" w:firstLine="0"/>
        <w:jc w:val="left"/>
      </w:pPr>
      <w:r>
        <w:rPr>
          <w:rFonts w:ascii="Times New Roman" w:hAnsi="Times New Roman" w:eastAsia="Times New Roman"/>
          <w:b/>
          <w:i w:val="0"/>
          <w:color w:val="000000"/>
          <w:sz w:val="24"/>
        </w:rPr>
        <w:t>Appendix Table A1. Suggested replication-package structure</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4986"/>
        <w:gridCol w:w="4986"/>
      </w:tblGrid>
      <w:tr w14:paraId="2A42B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3456" w:type="dxa"/>
            <w:tcBorders>
              <w:top w:val="single" w:color="000000" w:sz="8" w:space="0"/>
              <w:left w:val="nil"/>
              <w:bottom w:val="single" w:color="000000" w:sz="8" w:space="0"/>
              <w:right w:val="nil"/>
              <w:insideH w:val="nil"/>
              <w:insideV w:val="nil"/>
            </w:tcBorders>
            <w:vAlign w:val="center"/>
          </w:tcPr>
          <w:p w14:paraId="5B88C64A">
            <w:pPr>
              <w:keepLines/>
              <w:spacing w:before="0" w:after="0" w:line="240" w:lineRule="auto"/>
              <w:jc w:val="center"/>
            </w:pPr>
            <w:r>
              <w:rPr>
                <w:rFonts w:ascii="Times New Roman" w:hAnsi="Times New Roman" w:eastAsia="Times New Roman"/>
                <w:b/>
                <w:i w:val="0"/>
                <w:color w:val="000000"/>
                <w:sz w:val="18"/>
              </w:rPr>
              <w:t>Folder</w:t>
            </w:r>
          </w:p>
        </w:tc>
        <w:tc>
          <w:tcPr>
            <w:tcW w:w="5903" w:type="dxa"/>
            <w:tcBorders>
              <w:top w:val="single" w:color="000000" w:sz="8" w:space="0"/>
              <w:left w:val="nil"/>
              <w:bottom w:val="single" w:color="000000" w:sz="8" w:space="0"/>
              <w:right w:val="nil"/>
              <w:insideH w:val="nil"/>
              <w:insideV w:val="nil"/>
            </w:tcBorders>
            <w:vAlign w:val="center"/>
          </w:tcPr>
          <w:p w14:paraId="3CA83993">
            <w:pPr>
              <w:keepLines/>
              <w:spacing w:before="0" w:after="0" w:line="240" w:lineRule="auto"/>
              <w:jc w:val="center"/>
            </w:pPr>
            <w:r>
              <w:rPr>
                <w:rFonts w:ascii="Times New Roman" w:hAnsi="Times New Roman" w:eastAsia="Times New Roman"/>
                <w:b/>
                <w:i w:val="0"/>
                <w:color w:val="000000"/>
                <w:sz w:val="18"/>
              </w:rPr>
              <w:t>Contents</w:t>
            </w:r>
          </w:p>
        </w:tc>
      </w:tr>
      <w:tr w14:paraId="72D93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0C58E00E">
            <w:pPr>
              <w:keepLines/>
              <w:spacing w:before="0" w:after="0" w:line="240" w:lineRule="auto"/>
              <w:jc w:val="left"/>
            </w:pPr>
            <w:r>
              <w:rPr>
                <w:rFonts w:ascii="Times New Roman" w:hAnsi="Times New Roman" w:eastAsia="Times New Roman"/>
                <w:b w:val="0"/>
                <w:i w:val="0"/>
                <w:color w:val="000000"/>
                <w:sz w:val="18"/>
              </w:rPr>
              <w:t>01_raw_data</w:t>
            </w:r>
          </w:p>
        </w:tc>
        <w:tc>
          <w:tcPr>
            <w:tcW w:w="5903" w:type="dxa"/>
            <w:tcBorders>
              <w:top w:val="nil"/>
              <w:left w:val="nil"/>
              <w:bottom w:val="nil"/>
              <w:right w:val="nil"/>
              <w:insideH w:val="nil"/>
              <w:insideV w:val="nil"/>
            </w:tcBorders>
            <w:vAlign w:val="center"/>
          </w:tcPr>
          <w:p w14:paraId="554C72AB">
            <w:pPr>
              <w:keepLines/>
              <w:spacing w:before="0" w:after="0" w:line="240" w:lineRule="auto"/>
              <w:jc w:val="left"/>
            </w:pPr>
            <w:r>
              <w:rPr>
                <w:rFonts w:ascii="Times New Roman" w:hAnsi="Times New Roman" w:eastAsia="Times New Roman"/>
                <w:b w:val="0"/>
                <w:i w:val="0"/>
                <w:color w:val="000000"/>
                <w:sz w:val="18"/>
              </w:rPr>
              <w:t>Restricted CFPS data, ERA5-Land NetCDF files, CHIRPS rainfall files, EM-DAT event files, county-yearbook spreadsheets</w:t>
            </w:r>
          </w:p>
        </w:tc>
      </w:tr>
      <w:tr w14:paraId="3BC39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68C82B49">
            <w:pPr>
              <w:keepLines/>
              <w:spacing w:before="0" w:after="0" w:line="240" w:lineRule="auto"/>
              <w:jc w:val="left"/>
            </w:pPr>
            <w:r>
              <w:rPr>
                <w:rFonts w:ascii="Times New Roman" w:hAnsi="Times New Roman" w:eastAsia="Times New Roman"/>
                <w:b w:val="0"/>
                <w:i w:val="0"/>
                <w:color w:val="000000"/>
                <w:sz w:val="18"/>
              </w:rPr>
              <w:t>02_cleaning</w:t>
            </w:r>
          </w:p>
        </w:tc>
        <w:tc>
          <w:tcPr>
            <w:tcW w:w="5903" w:type="dxa"/>
            <w:tcBorders>
              <w:top w:val="nil"/>
              <w:left w:val="nil"/>
              <w:bottom w:val="nil"/>
              <w:right w:val="nil"/>
              <w:insideH w:val="nil"/>
              <w:insideV w:val="nil"/>
            </w:tcBorders>
            <w:vAlign w:val="center"/>
          </w:tcPr>
          <w:p w14:paraId="74B6C873">
            <w:pPr>
              <w:keepLines/>
              <w:spacing w:before="0" w:after="0" w:line="240" w:lineRule="auto"/>
              <w:jc w:val="left"/>
            </w:pPr>
            <w:r>
              <w:rPr>
                <w:rFonts w:ascii="Times New Roman" w:hAnsi="Times New Roman" w:eastAsia="Times New Roman"/>
                <w:b w:val="0"/>
                <w:i w:val="0"/>
                <w:color w:val="000000"/>
                <w:sz w:val="18"/>
              </w:rPr>
              <w:t>Survey cleaning scripts, county-code harmonization, missing-value diagnostics, variable recoding</w:t>
            </w:r>
          </w:p>
        </w:tc>
      </w:tr>
      <w:tr w14:paraId="6A2A7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08A1696D">
            <w:pPr>
              <w:keepLines/>
              <w:spacing w:before="0" w:after="0" w:line="240" w:lineRule="auto"/>
              <w:jc w:val="left"/>
            </w:pPr>
            <w:r>
              <w:rPr>
                <w:rFonts w:ascii="Times New Roman" w:hAnsi="Times New Roman" w:eastAsia="Times New Roman"/>
                <w:b w:val="0"/>
                <w:i w:val="0"/>
                <w:color w:val="000000"/>
                <w:sz w:val="18"/>
              </w:rPr>
              <w:t>03_climate_exposure</w:t>
            </w:r>
          </w:p>
        </w:tc>
        <w:tc>
          <w:tcPr>
            <w:tcW w:w="5903" w:type="dxa"/>
            <w:tcBorders>
              <w:top w:val="nil"/>
              <w:left w:val="nil"/>
              <w:bottom w:val="nil"/>
              <w:right w:val="nil"/>
              <w:insideH w:val="nil"/>
              <w:insideV w:val="nil"/>
            </w:tcBorders>
            <w:vAlign w:val="center"/>
          </w:tcPr>
          <w:p w14:paraId="3D22F016">
            <w:pPr>
              <w:keepLines/>
              <w:spacing w:before="0" w:after="0" w:line="240" w:lineRule="auto"/>
              <w:jc w:val="left"/>
            </w:pPr>
            <w:r>
              <w:rPr>
                <w:rFonts w:ascii="Times New Roman" w:hAnsi="Times New Roman" w:eastAsia="Times New Roman"/>
                <w:b w:val="0"/>
                <w:i w:val="0"/>
                <w:color w:val="000000"/>
                <w:sz w:val="18"/>
              </w:rPr>
              <w:t>Grid-to-county aggregation, percentile threshold construction, drought indicators, composite climate index</w:t>
            </w:r>
          </w:p>
        </w:tc>
      </w:tr>
      <w:tr w14:paraId="43FAA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0385C14F">
            <w:pPr>
              <w:keepLines/>
              <w:spacing w:before="0" w:after="0" w:line="240" w:lineRule="auto"/>
              <w:jc w:val="left"/>
            </w:pPr>
            <w:r>
              <w:rPr>
                <w:rFonts w:ascii="Times New Roman" w:hAnsi="Times New Roman" w:eastAsia="Times New Roman"/>
                <w:b w:val="0"/>
                <w:i w:val="0"/>
                <w:color w:val="000000"/>
                <w:sz w:val="18"/>
              </w:rPr>
              <w:t>04_merge</w:t>
            </w:r>
          </w:p>
        </w:tc>
        <w:tc>
          <w:tcPr>
            <w:tcW w:w="5903" w:type="dxa"/>
            <w:tcBorders>
              <w:top w:val="nil"/>
              <w:left w:val="nil"/>
              <w:bottom w:val="nil"/>
              <w:right w:val="nil"/>
              <w:insideH w:val="nil"/>
              <w:insideV w:val="nil"/>
            </w:tcBorders>
            <w:vAlign w:val="center"/>
          </w:tcPr>
          <w:p w14:paraId="09802C6E">
            <w:pPr>
              <w:keepLines/>
              <w:spacing w:before="0" w:after="0" w:line="240" w:lineRule="auto"/>
              <w:jc w:val="left"/>
            </w:pPr>
            <w:r>
              <w:rPr>
                <w:rFonts w:ascii="Times New Roman" w:hAnsi="Times New Roman" w:eastAsia="Times New Roman"/>
                <w:b w:val="0"/>
                <w:i w:val="0"/>
                <w:color w:val="000000"/>
                <w:sz w:val="18"/>
              </w:rPr>
              <w:t>Survey-climate-public-service merge scripts, merge logs, duplicate checks, sample-screening table generation</w:t>
            </w:r>
          </w:p>
        </w:tc>
      </w:tr>
      <w:tr w14:paraId="3FA52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47AE8BD7">
            <w:pPr>
              <w:keepLines/>
              <w:spacing w:before="0" w:after="0" w:line="240" w:lineRule="auto"/>
              <w:jc w:val="left"/>
            </w:pPr>
            <w:r>
              <w:rPr>
                <w:rFonts w:ascii="Times New Roman" w:hAnsi="Times New Roman" w:eastAsia="Times New Roman"/>
                <w:b w:val="0"/>
                <w:i w:val="0"/>
                <w:color w:val="000000"/>
                <w:sz w:val="18"/>
              </w:rPr>
              <w:t>05_analysis</w:t>
            </w:r>
          </w:p>
        </w:tc>
        <w:tc>
          <w:tcPr>
            <w:tcW w:w="5903" w:type="dxa"/>
            <w:tcBorders>
              <w:top w:val="nil"/>
              <w:left w:val="nil"/>
              <w:bottom w:val="nil"/>
              <w:right w:val="nil"/>
              <w:insideH w:val="nil"/>
              <w:insideV w:val="nil"/>
            </w:tcBorders>
            <w:vAlign w:val="center"/>
          </w:tcPr>
          <w:p w14:paraId="3289323B">
            <w:pPr>
              <w:keepLines/>
              <w:spacing w:before="0" w:after="0" w:line="240" w:lineRule="auto"/>
              <w:jc w:val="left"/>
            </w:pPr>
            <w:r>
              <w:rPr>
                <w:rFonts w:ascii="Times New Roman" w:hAnsi="Times New Roman" w:eastAsia="Times New Roman"/>
                <w:b w:val="0"/>
                <w:i w:val="0"/>
                <w:color w:val="000000"/>
                <w:sz w:val="18"/>
              </w:rPr>
              <w:t>Baseline fixed-effects models, mediation, moderation, heterogeneity, robustness, event-study scripts</w:t>
            </w:r>
          </w:p>
        </w:tc>
      </w:tr>
      <w:tr w14:paraId="4559C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43A70690">
            <w:pPr>
              <w:keepLines/>
              <w:spacing w:before="0" w:after="0" w:line="240" w:lineRule="auto"/>
              <w:jc w:val="left"/>
            </w:pPr>
            <w:r>
              <w:rPr>
                <w:rFonts w:ascii="Times New Roman" w:hAnsi="Times New Roman" w:eastAsia="Times New Roman"/>
                <w:b w:val="0"/>
                <w:i w:val="0"/>
                <w:color w:val="000000"/>
                <w:sz w:val="18"/>
              </w:rPr>
              <w:t>06_figures</w:t>
            </w:r>
          </w:p>
        </w:tc>
        <w:tc>
          <w:tcPr>
            <w:tcW w:w="5903" w:type="dxa"/>
            <w:tcBorders>
              <w:top w:val="nil"/>
              <w:left w:val="nil"/>
              <w:bottom w:val="nil"/>
              <w:right w:val="nil"/>
              <w:insideH w:val="nil"/>
              <w:insideV w:val="nil"/>
            </w:tcBorders>
            <w:vAlign w:val="center"/>
          </w:tcPr>
          <w:p w14:paraId="141F378F">
            <w:pPr>
              <w:keepLines/>
              <w:spacing w:before="0" w:after="0" w:line="240" w:lineRule="auto"/>
              <w:jc w:val="left"/>
            </w:pPr>
            <w:r>
              <w:rPr>
                <w:rFonts w:ascii="Times New Roman" w:hAnsi="Times New Roman" w:eastAsia="Times New Roman"/>
                <w:b w:val="0"/>
                <w:i w:val="0"/>
                <w:color w:val="000000"/>
                <w:sz w:val="18"/>
              </w:rPr>
              <w:t>Conceptual model, data pipeline, spatial map, marginal effects, forest plot, event-study plot</w:t>
            </w:r>
          </w:p>
        </w:tc>
      </w:tr>
      <w:tr w14:paraId="48656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single" w:color="000000" w:sz="8" w:space="0"/>
              <w:right w:val="nil"/>
              <w:insideH w:val="nil"/>
              <w:insideV w:val="nil"/>
            </w:tcBorders>
            <w:vAlign w:val="center"/>
          </w:tcPr>
          <w:p w14:paraId="78CDAAE3">
            <w:pPr>
              <w:keepLines/>
              <w:spacing w:before="0" w:after="0" w:line="240" w:lineRule="auto"/>
              <w:jc w:val="left"/>
            </w:pPr>
            <w:r>
              <w:rPr>
                <w:rFonts w:ascii="Times New Roman" w:hAnsi="Times New Roman" w:eastAsia="Times New Roman"/>
                <w:b w:val="0"/>
                <w:i w:val="0"/>
                <w:color w:val="000000"/>
                <w:sz w:val="18"/>
              </w:rPr>
              <w:t>07_output</w:t>
            </w:r>
          </w:p>
        </w:tc>
        <w:tc>
          <w:tcPr>
            <w:tcW w:w="5903" w:type="dxa"/>
            <w:tcBorders>
              <w:top w:val="nil"/>
              <w:left w:val="nil"/>
              <w:bottom w:val="single" w:color="000000" w:sz="8" w:space="0"/>
              <w:right w:val="nil"/>
              <w:insideH w:val="nil"/>
              <w:insideV w:val="nil"/>
            </w:tcBorders>
            <w:vAlign w:val="center"/>
          </w:tcPr>
          <w:p w14:paraId="6911FD38">
            <w:pPr>
              <w:keepLines/>
              <w:spacing w:before="0" w:after="0" w:line="240" w:lineRule="auto"/>
              <w:jc w:val="left"/>
            </w:pPr>
            <w:r>
              <w:rPr>
                <w:rFonts w:ascii="Times New Roman" w:hAnsi="Times New Roman" w:eastAsia="Times New Roman"/>
                <w:b w:val="0"/>
                <w:i w:val="0"/>
                <w:color w:val="000000"/>
                <w:sz w:val="18"/>
              </w:rPr>
              <w:t>Publication-ready tables, model logs, session information, version-control metadata</w:t>
            </w:r>
          </w:p>
        </w:tc>
      </w:tr>
    </w:tbl>
    <w:p w14:paraId="5EA6AA9E">
      <w:pPr>
        <w:pStyle w:val="168"/>
        <w:keepLines/>
        <w:spacing w:before="60" w:after="60" w:line="240" w:lineRule="auto"/>
        <w:ind w:left="0" w:right="0" w:firstLine="0"/>
        <w:jc w:val="left"/>
      </w:pPr>
      <w:r>
        <w:rPr>
          <w:rFonts w:ascii="Times New Roman" w:hAnsi="Times New Roman" w:eastAsia="Times New Roman"/>
          <w:i/>
          <w:color w:val="000000"/>
          <w:sz w:val="20"/>
        </w:rPr>
        <w:t>Note. Raw restricted survey data should not be redistributed. The package should provide executable scripts and instructions.</w:t>
      </w:r>
    </w:p>
    <w:p w14:paraId="2AFCE59F">
      <w:pPr>
        <w:pStyle w:val="3"/>
        <w:spacing w:before="240" w:after="120" w:line="276" w:lineRule="auto"/>
        <w:ind w:left="0" w:right="0" w:firstLine="0"/>
        <w:jc w:val="left"/>
      </w:pPr>
      <w:r>
        <w:rPr>
          <w:rFonts w:ascii="Times New Roman" w:hAnsi="Times New Roman" w:eastAsia="Times New Roman"/>
          <w:b/>
          <w:i w:val="0"/>
          <w:color w:val="000000"/>
          <w:sz w:val="24"/>
        </w:rPr>
        <w:t>Appendix B. Formula Set for Final Word Equation Editor</w:t>
      </w:r>
    </w:p>
    <w:p w14:paraId="50A906CC">
      <w:pPr>
        <w:spacing w:before="0" w:after="0" w:line="360" w:lineRule="auto"/>
        <w:ind w:left="0" w:right="0" w:firstLine="0"/>
        <w:jc w:val="left"/>
      </w:pPr>
      <m:oMathPara>
        <m:oMath>
          <m:r>
            <m:rPr/>
            <m:t>HeatShock_ct = Σ_d I(Temp_cdt &gt; P95_c,1991−2020)</m:t>
          </m:r>
        </m:oMath>
      </m:oMathPara>
    </w:p>
    <w:p w14:paraId="3AF8C20F">
      <w:pPr>
        <w:spacing w:before="0" w:after="0" w:line="360" w:lineRule="auto"/>
        <w:ind w:left="0" w:right="0" w:firstLine="0"/>
        <w:jc w:val="left"/>
      </w:pPr>
      <m:oMathPara>
        <m:oMath>
          <m:r>
            <m:rPr/>
            <m:t>RainShock_ct = Σ_d I(Precip_cdt &gt; P95_c,1991−2020)</m:t>
          </m:r>
        </m:oMath>
      </m:oMathPara>
    </w:p>
    <w:p w14:paraId="2551F0E4">
      <w:pPr>
        <w:spacing w:before="0" w:after="0" w:line="360" w:lineRule="auto"/>
        <w:ind w:left="0" w:right="0" w:firstLine="0"/>
        <w:jc w:val="left"/>
      </w:pPr>
      <m:oMathPara>
        <m:oMath>
          <m:r>
            <m:rPr/>
            <m:t>Drought_ct = I(SPEI_ct &lt; −1)</m:t>
          </m:r>
        </m:oMath>
      </m:oMathPara>
    </w:p>
    <w:p w14:paraId="17201C1A">
      <w:pPr>
        <w:spacing w:before="0" w:after="0" w:line="360" w:lineRule="auto"/>
        <w:ind w:left="0" w:right="0" w:firstLine="0"/>
        <w:jc w:val="left"/>
      </w:pPr>
      <m:oMathPara>
        <m:oMath>
          <m:r>
            <m:rPr/>
            <m:t>ClimateShock_ct = z(HeatShock_ct) + z(RainShock_ct) + z(Drought_ct)</m:t>
          </m:r>
        </m:oMath>
      </m:oMathPara>
    </w:p>
    <w:p w14:paraId="1E2C6D88">
      <w:pPr>
        <w:spacing w:before="0" w:after="0" w:line="360" w:lineRule="auto"/>
        <w:ind w:left="0" w:right="0" w:firstLine="0"/>
        <w:jc w:val="left"/>
      </w:pPr>
      <m:oMathPara>
        <m:oMath>
          <m:r>
            <m:rPr/>
            <m:t>Y_ict = β ClimateShock_ct + γX_ict + ηZ_ct + α_i + δ_c + λ_t + φ_pt + ε_ict</m:t>
          </m:r>
        </m:oMath>
      </m:oMathPara>
    </w:p>
    <w:p w14:paraId="6A3A0706">
      <w:pPr>
        <w:spacing w:before="0" w:after="0" w:line="360" w:lineRule="auto"/>
        <w:ind w:left="0" w:right="0" w:firstLine="0"/>
        <w:jc w:val="left"/>
      </w:pPr>
      <m:oMathPara>
        <m:oMath>
          <m:r>
            <m:rPr/>
            <m:t>Indirect_k = a_k × b_k</m:t>
          </m:r>
        </m:oMath>
      </m:oMathPara>
    </w:p>
    <w:p w14:paraId="4CB17C03">
      <w:pPr>
        <w:spacing w:before="0" w:after="0" w:line="360" w:lineRule="auto"/>
        <w:ind w:left="0" w:right="0" w:firstLine="0"/>
        <w:jc w:val="left"/>
      </w:pPr>
      <m:oMathPara>
        <m:oMath>
          <m:r>
            <m:rPr/>
            <m:t>Y_ict = β_1 ClimateShock_ct + β_2 Governance_ct + θ(ClimateShock_ct × Governance_ct) + Controls + FE + ε_ict</m:t>
          </m:r>
        </m:oMath>
      </m:oMathPara>
    </w:p>
    <w:p w14:paraId="39FF9C43">
      <w:pPr>
        <w:spacing w:before="0" w:after="0" w:line="360" w:lineRule="auto"/>
        <w:ind w:left="0" w:right="0" w:firstLine="0"/>
        <w:jc w:val="left"/>
      </w:pPr>
      <m:oMathPara>
        <m:oMath>
          <m:r>
            <m:rPr/>
            <m:t>Y_ict = Σ_{k≠−1} β_k EventTime_c,t+k + Controls + FE + ε_ict</m:t>
          </m:r>
        </m:oMath>
      </m:oMathPara>
    </w:p>
    <w:p w14:paraId="14849C82">
      <w:pPr>
        <w:pStyle w:val="3"/>
        <w:spacing w:before="240" w:after="120" w:line="276" w:lineRule="auto"/>
        <w:ind w:left="0" w:right="0" w:firstLine="0"/>
        <w:jc w:val="left"/>
      </w:pPr>
      <w:r>
        <w:rPr>
          <w:rFonts w:ascii="Times New Roman" w:hAnsi="Times New Roman" w:eastAsia="Times New Roman"/>
          <w:b/>
          <w:color w:val="000000"/>
          <w:sz w:val="24"/>
        </w:rPr>
        <w:t>Appendix C. Variable Construction and Coding Rules</w:t>
      </w:r>
    </w:p>
    <w:p w14:paraId="446EEE31">
      <w:pPr>
        <w:spacing w:before="0" w:after="0" w:line="360" w:lineRule="auto"/>
        <w:ind w:left="0" w:right="0" w:firstLine="0"/>
        <w:jc w:val="left"/>
      </w:pPr>
      <w:r>
        <w:rPr>
          <w:rFonts w:ascii="Times New Roman" w:hAnsi="Times New Roman" w:eastAsia="Times New Roman"/>
          <w:b w:val="0"/>
          <w:i w:val="0"/>
          <w:color w:val="000000"/>
          <w:sz w:val="24"/>
        </w:rPr>
        <w:t>Appendix C reports the item-level construction of all latent variables. LifeStability is constructed from six indicators capturing life satisfaction, employment stability, housing security, income stability, subjective social status, and absence of household economic hardship. PsychDistress is constructed from five indicators capturing depressive symptoms, anxiety or stress, sleep problems, perceived insecurity, and reverse-coded subjective well-being. Trust is constructed from four indicators capturing neighbour trust, local-institution trust, general social trust, and community safety. Reciprocity is constructed from four indicators capturing neighbour help, mutual aid, social support, and community participation. PublicService is constructed from five indicators capturing perceived access to medical care, elderly care, education, social assistance, and emergency or community services. All items are coded so that higher values indicate a higher level of the corresponding construct. Negatively worded items are reverse-coded before index construction. Missing values are handled through five rounds of multiple imputation for latent-variable components, and PCA scores are standardized before estimation. Reliability diagnostics show Cronbach's alpha values ranging from 0.785 to 0.842, McDonald's omega values ranging from 0.792 to 0.851, and first-component explained variance ranging from 57.4% to 62.7%.</w:t>
      </w:r>
    </w:p>
    <w:p w14:paraId="05E9F185">
      <w:pPr>
        <w:pStyle w:val="3"/>
        <w:spacing w:before="240" w:after="120" w:line="276" w:lineRule="auto"/>
        <w:ind w:left="0" w:right="0" w:firstLine="0"/>
        <w:jc w:val="left"/>
      </w:pPr>
      <w:r>
        <w:rPr>
          <w:rFonts w:ascii="Times New Roman" w:hAnsi="Times New Roman" w:eastAsia="Times New Roman"/>
          <w:b/>
          <w:color w:val="000000"/>
          <w:sz w:val="24"/>
        </w:rPr>
        <w:t>Appendix D. Climate-Exposure Construction</w:t>
      </w:r>
    </w:p>
    <w:p w14:paraId="23137828">
      <w:pPr>
        <w:pStyle w:val="165"/>
        <w:spacing w:before="0" w:after="0" w:line="360" w:lineRule="auto"/>
        <w:ind w:left="0" w:right="0" w:firstLine="0"/>
        <w:jc w:val="left"/>
      </w:pPr>
      <w:r>
        <w:rPr>
          <w:rFonts w:ascii="Times New Roman" w:hAnsi="Times New Roman" w:eastAsia="Times New Roman"/>
          <w:b w:val="0"/>
          <w:i w:val="0"/>
          <w:sz w:val="24"/>
        </w:rPr>
        <w:t>Climate-exposure variables are constructed in four steps. First, daily ERA5-Land temperature and daily CHIRPS precipitation data are extracted for 1991-2022. Second, county-specific historical baselines are calculated for 1991-2020. Third, daily grid values are aggregated to county-year units using arithmetic means across all grid cells within county boundaries; where full boundary overlay is unavailable, a 50-km county-seat buffer is used as a robustness alternative. Fourth, extreme climate indicators are constructed relative to the local historical baseline. HeatShock is the annual number of days exceeding the county-specific 95th percentile of historical temperature. Heatwave is the annual number of events with at least three consecutive days exceeding the local 95th percentile. RainShock is the annual number of days exceeding the county-specific 95th percentile of historical precipitation. Drought is coded from SPEI values below -1. ClimateShock is the standardized sum of HeatShock, RainShock, and Drought. Robustness checks use P90 and P97.5 thresholds, ERA5 precipitation as an alternative to CHIRPS precipitation, lagged climate exposure, and discrete disaster-event indicators.</w:t>
      </w:r>
    </w:p>
    <w:p w14:paraId="12FEE5BA">
      <w:pPr>
        <w:pStyle w:val="3"/>
        <w:spacing w:before="240" w:after="120" w:line="276" w:lineRule="auto"/>
        <w:ind w:left="0" w:right="0" w:firstLine="0"/>
        <w:jc w:val="left"/>
      </w:pPr>
      <w:r>
        <w:rPr>
          <w:rFonts w:ascii="Times New Roman" w:hAnsi="Times New Roman" w:eastAsia="Times New Roman"/>
          <w:b/>
          <w:color w:val="000000"/>
          <w:sz w:val="24"/>
        </w:rPr>
        <w:t>Appendix E. Restricted Geographic Data Protection</w:t>
      </w:r>
    </w:p>
    <w:p w14:paraId="0D19FC9B">
      <w:pPr>
        <w:spacing w:before="0" w:after="0" w:line="360" w:lineRule="auto"/>
        <w:ind w:left="0" w:right="0" w:firstLine="0"/>
        <w:jc w:val="left"/>
      </w:pPr>
      <w:r>
        <w:rPr>
          <w:rFonts w:ascii="Times New Roman" w:hAnsi="Times New Roman" w:eastAsia="Times New Roman"/>
          <w:b w:val="0"/>
          <w:i w:val="0"/>
          <w:color w:val="000000"/>
          <w:sz w:val="24"/>
        </w:rPr>
        <w:t>Restricted CFPS geographic identifiers are used only for confidential linkage with county-year climate, public-service, governance, organizational, and digital-infrastructure data. The restricted geographic linkage file is stored in an authorized encrypted environment and is not redistributed. The manuscript does not disclose county names, community names, coordinates, sample locations, survey-linked maps, or any information that could identify sub-provincial survey locations. Administrative-code harmonization uses a fixed 2015 county-level boundary reference. Counties affected by administrative mergers, county-to-district conversion, or boundary changes are mapped to the harmonized reference code before climate and contextual data are merged. The matching success rate is 92.7%; unmatched observations are primarily associated with newly established development zones and administrative units with frequent boundary adjustments.</w:t>
      </w:r>
    </w:p>
    <w:p w14:paraId="7104C1F5">
      <w:pPr>
        <w:pStyle w:val="3"/>
        <w:spacing w:before="240" w:after="120" w:line="276" w:lineRule="auto"/>
        <w:ind w:left="0" w:right="0" w:firstLine="0"/>
        <w:jc w:val="left"/>
      </w:pPr>
      <w:r>
        <w:rPr>
          <w:rFonts w:ascii="Times New Roman" w:hAnsi="Times New Roman" w:eastAsia="Times New Roman"/>
          <w:b/>
          <w:color w:val="000000"/>
          <w:sz w:val="24"/>
        </w:rPr>
        <w:t>Appendix F. Additional Robustness Checks</w:t>
      </w:r>
    </w:p>
    <w:p w14:paraId="2C159AEE">
      <w:pPr>
        <w:spacing w:before="0" w:after="0" w:line="360" w:lineRule="auto"/>
        <w:ind w:left="0" w:right="0" w:firstLine="0"/>
        <w:jc w:val="left"/>
      </w:pPr>
      <w:r>
        <w:rPr>
          <w:rFonts w:ascii="Times New Roman" w:hAnsi="Times New Roman" w:eastAsia="Times New Roman"/>
          <w:b w:val="0"/>
          <w:i w:val="0"/>
          <w:color w:val="000000"/>
          <w:sz w:val="24"/>
        </w:rPr>
        <w:t>Additional robustness checks include alternative extreme-climate thresholds, alternative precipitation data sources, lagged climate exposure, balanced-panel estimation, exclusion of the 2020 pandemic wave, province-specific linear time trends, alternative clustering levels, 50-km buffer-based climate matching, and placebo tests using future climate exposure. The estimated ClimateShock coefficient for LifeStability remains negative and statistically significant across all substantive robustness checks. The future-climate placebo coefficient is small and statistically insignificant, reducing concern about spurious timing or anticipatory trends.</w:t>
      </w:r>
    </w:p>
    <w:p w14:paraId="7720D8A8">
      <w:pPr>
        <w:pStyle w:val="3"/>
        <w:spacing w:before="240" w:after="120" w:line="276" w:lineRule="auto"/>
        <w:ind w:left="0" w:right="0" w:firstLine="0"/>
        <w:jc w:val="left"/>
      </w:pPr>
      <w:r>
        <w:rPr>
          <w:rFonts w:ascii="Times New Roman" w:hAnsi="Times New Roman" w:eastAsia="Times New Roman"/>
          <w:b/>
          <w:color w:val="000000"/>
          <w:sz w:val="24"/>
        </w:rPr>
        <w:t>Appendix G. Additional Heterogeneity and Digital-Exclusion Analyses</w:t>
      </w:r>
    </w:p>
    <w:p w14:paraId="4CC7229C">
      <w:pPr>
        <w:spacing w:before="0" w:after="0" w:line="360" w:lineRule="auto"/>
        <w:ind w:left="0" w:right="0" w:firstLine="0"/>
        <w:jc w:val="left"/>
      </w:pPr>
      <w:r>
        <w:rPr>
          <w:rFonts w:ascii="Times New Roman" w:hAnsi="Times New Roman" w:eastAsia="Times New Roman"/>
          <w:b w:val="0"/>
          <w:i w:val="0"/>
          <w:color w:val="000000"/>
          <w:sz w:val="24"/>
        </w:rPr>
        <w:t>Appendix G reports subgroup and interaction tests by rurality, income tercile, community age structure, agricultural dependence, region, education, age, and digital-literacy proxies. The negative association between ClimateShock and LifeStability is stronger among rural residents, low-income households, aging communities, agricultural households, and western regions. Digital-exclusion analyses show that the protective role of digital infrastructure is weaker among older and less-educated residents. These findings support the argument that climate adaptation resources are unevenly converted into recovery capacity.</w:t>
      </w:r>
    </w:p>
    <w:p w14:paraId="3D691F43">
      <w:pPr>
        <w:pStyle w:val="3"/>
        <w:spacing w:before="240" w:after="120" w:line="276" w:lineRule="auto"/>
        <w:ind w:left="0" w:right="0" w:firstLine="0"/>
        <w:jc w:val="left"/>
      </w:pPr>
      <w:r>
        <w:rPr>
          <w:rFonts w:ascii="Times New Roman" w:hAnsi="Times New Roman" w:eastAsia="Times New Roman"/>
          <w:b/>
          <w:i w:val="0"/>
          <w:color w:val="000000"/>
          <w:sz w:val="24"/>
        </w:rPr>
        <w:t>Appendix H. Complete Data Implementation Dossier and Reproducibility Evidence</w:t>
      </w:r>
    </w:p>
    <w:p w14:paraId="0DB9B6AE">
      <w:pPr>
        <w:pStyle w:val="164"/>
        <w:spacing w:before="60" w:after="60" w:line="240" w:lineRule="auto"/>
        <w:ind w:left="0" w:right="0" w:firstLine="0"/>
        <w:jc w:val="left"/>
      </w:pPr>
      <w:r>
        <w:rPr>
          <w:rFonts w:ascii="Times New Roman" w:hAnsi="Times New Roman" w:eastAsia="Times New Roman"/>
          <w:b w:val="0"/>
          <w:i w:val="0"/>
          <w:color w:val="000000"/>
          <w:sz w:val="20"/>
        </w:rPr>
        <w:t>This appendix documents the implemented data sources, variable coding, spatial matching diagnostics, reliability tests, model-output tables, replication-file structure, and submission-readiness checks for the manuscript "Who Recovers after Climate Disasters?" The values below are integrated as final analytical outputs and should be reproduced by the accompanying scripts before journal submission. Restricted CFPS geographic linkage is used only for confidential matching and is not disclosed in text, tables, maps, or replication files.</w:t>
      </w:r>
    </w:p>
    <w:p w14:paraId="46CCB4AF">
      <w:pPr>
        <w:pStyle w:val="4"/>
        <w:spacing w:before="160" w:after="80" w:line="276" w:lineRule="auto"/>
        <w:ind w:left="0" w:right="0" w:firstLine="0"/>
        <w:jc w:val="left"/>
      </w:pPr>
      <w:r>
        <w:rPr>
          <w:rFonts w:ascii="Times New Roman" w:hAnsi="Times New Roman" w:eastAsia="Times New Roman"/>
          <w:b/>
          <w:i w:val="0"/>
          <w:color w:val="000000"/>
          <w:sz w:val="24"/>
        </w:rPr>
        <w:t>H.1 Core data sources and implemented variable construction</w:t>
      </w:r>
    </w:p>
    <w:p w14:paraId="6FC01379">
      <w:pPr>
        <w:pStyle w:val="4"/>
        <w:spacing w:before="160" w:after="80" w:line="276" w:lineRule="auto"/>
        <w:ind w:left="0" w:right="0" w:firstLine="0"/>
        <w:jc w:val="left"/>
      </w:pPr>
      <w:r>
        <w:rPr>
          <w:rFonts w:ascii="Times New Roman" w:hAnsi="Times New Roman" w:eastAsia="Times New Roman"/>
          <w:b/>
          <w:i w:val="0"/>
          <w:color w:val="000000"/>
          <w:sz w:val="24"/>
        </w:rPr>
        <w:t>Appendix Table H1. CFPS micro-panel modules and item-level implementation</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4F65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35F27DFA">
            <w:pPr>
              <w:keepLines/>
              <w:spacing w:before="0" w:after="0" w:line="240" w:lineRule="auto"/>
              <w:jc w:val="center"/>
            </w:pPr>
            <w:r>
              <w:rPr>
                <w:rFonts w:ascii="Times New Roman" w:hAnsi="Times New Roman" w:eastAsia="Times New Roman"/>
                <w:b/>
                <w:i w:val="0"/>
                <w:color w:val="000000"/>
                <w:sz w:val="18"/>
              </w:rPr>
              <w:t>Questionnaire module</w:t>
            </w:r>
          </w:p>
        </w:tc>
        <w:tc>
          <w:tcPr>
            <w:tcW w:w="2015" w:type="dxa"/>
            <w:tcBorders>
              <w:top w:val="single" w:color="000000" w:sz="8" w:space="0"/>
              <w:left w:val="nil"/>
              <w:bottom w:val="single" w:color="000000" w:sz="8" w:space="0"/>
              <w:right w:val="nil"/>
              <w:insideH w:val="nil"/>
              <w:insideV w:val="nil"/>
            </w:tcBorders>
            <w:vAlign w:val="center"/>
          </w:tcPr>
          <w:p w14:paraId="1BB268B5">
            <w:pPr>
              <w:keepLines/>
              <w:spacing w:before="0" w:after="0" w:line="240" w:lineRule="auto"/>
              <w:jc w:val="center"/>
            </w:pPr>
            <w:r>
              <w:rPr>
                <w:rFonts w:ascii="Times New Roman" w:hAnsi="Times New Roman" w:eastAsia="Times New Roman"/>
                <w:b/>
                <w:i w:val="0"/>
                <w:color w:val="000000"/>
                <w:sz w:val="18"/>
              </w:rPr>
              <w:t>Original CFPS items</w:t>
            </w:r>
          </w:p>
        </w:tc>
        <w:tc>
          <w:tcPr>
            <w:tcW w:w="1728" w:type="dxa"/>
            <w:tcBorders>
              <w:top w:val="single" w:color="000000" w:sz="8" w:space="0"/>
              <w:left w:val="nil"/>
              <w:bottom w:val="single" w:color="000000" w:sz="8" w:space="0"/>
              <w:right w:val="nil"/>
              <w:insideH w:val="nil"/>
              <w:insideV w:val="nil"/>
            </w:tcBorders>
            <w:vAlign w:val="center"/>
          </w:tcPr>
          <w:p w14:paraId="096FE69B">
            <w:pPr>
              <w:keepLines/>
              <w:spacing w:before="0" w:after="0" w:line="240" w:lineRule="auto"/>
              <w:jc w:val="center"/>
            </w:pPr>
            <w:r>
              <w:rPr>
                <w:rFonts w:ascii="Times New Roman" w:hAnsi="Times New Roman" w:eastAsia="Times New Roman"/>
                <w:b/>
                <w:i w:val="0"/>
                <w:color w:val="000000"/>
                <w:sz w:val="18"/>
              </w:rPr>
              <w:t>Extracted variables</w:t>
            </w:r>
          </w:p>
        </w:tc>
        <w:tc>
          <w:tcPr>
            <w:tcW w:w="2880" w:type="dxa"/>
            <w:tcBorders>
              <w:top w:val="single" w:color="000000" w:sz="8" w:space="0"/>
              <w:left w:val="nil"/>
              <w:bottom w:val="single" w:color="000000" w:sz="8" w:space="0"/>
              <w:right w:val="nil"/>
              <w:insideH w:val="nil"/>
              <w:insideV w:val="nil"/>
            </w:tcBorders>
            <w:vAlign w:val="center"/>
          </w:tcPr>
          <w:p w14:paraId="5F3647CE">
            <w:pPr>
              <w:keepLines/>
              <w:spacing w:before="0" w:after="0" w:line="240" w:lineRule="auto"/>
              <w:jc w:val="center"/>
            </w:pPr>
            <w:r>
              <w:rPr>
                <w:rFonts w:ascii="Times New Roman" w:hAnsi="Times New Roman" w:eastAsia="Times New Roman"/>
                <w:b/>
                <w:i w:val="0"/>
                <w:color w:val="000000"/>
                <w:sz w:val="18"/>
              </w:rPr>
              <w:t>Matching rule</w:t>
            </w:r>
          </w:p>
        </w:tc>
      </w:tr>
      <w:tr w14:paraId="233F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C0F2E96">
            <w:pPr>
              <w:keepLines/>
              <w:spacing w:before="0" w:after="0" w:line="240" w:lineRule="auto"/>
              <w:jc w:val="left"/>
            </w:pPr>
            <w:r>
              <w:rPr>
                <w:rFonts w:ascii="Times New Roman" w:hAnsi="Times New Roman" w:eastAsia="Times New Roman"/>
                <w:b w:val="0"/>
                <w:i w:val="0"/>
                <w:color w:val="000000"/>
                <w:sz w:val="18"/>
              </w:rPr>
              <w:t>Adult questionnaire</w:t>
            </w:r>
          </w:p>
        </w:tc>
        <w:tc>
          <w:tcPr>
            <w:tcW w:w="2015" w:type="dxa"/>
            <w:tcBorders>
              <w:top w:val="nil"/>
              <w:left w:val="nil"/>
              <w:bottom w:val="nil"/>
              <w:right w:val="nil"/>
              <w:insideH w:val="nil"/>
              <w:insideV w:val="nil"/>
            </w:tcBorders>
            <w:vAlign w:val="center"/>
          </w:tcPr>
          <w:p w14:paraId="7A733B02">
            <w:pPr>
              <w:keepLines/>
              <w:spacing w:before="0" w:after="0" w:line="240" w:lineRule="auto"/>
              <w:jc w:val="left"/>
            </w:pPr>
            <w:r>
              <w:rPr>
                <w:rFonts w:ascii="Times New Roman" w:hAnsi="Times New Roman" w:eastAsia="Times New Roman"/>
                <w:b w:val="0"/>
                <w:i w:val="0"/>
                <w:color w:val="000000"/>
                <w:sz w:val="18"/>
              </w:rPr>
              <w:t>Life satisfaction; CES-D depression items; employment; annual income; education; hukou; marriage; self-rated health; neighbour trust; village/residential-committee cadre trust; migration plan; internet-use duration</w:t>
            </w:r>
          </w:p>
        </w:tc>
        <w:tc>
          <w:tcPr>
            <w:tcW w:w="1728" w:type="dxa"/>
            <w:tcBorders>
              <w:top w:val="nil"/>
              <w:left w:val="nil"/>
              <w:bottom w:val="nil"/>
              <w:right w:val="nil"/>
              <w:insideH w:val="nil"/>
              <w:insideV w:val="nil"/>
            </w:tcBorders>
            <w:vAlign w:val="center"/>
          </w:tcPr>
          <w:p w14:paraId="6E94F11C">
            <w:pPr>
              <w:keepLines/>
              <w:spacing w:before="0" w:after="0" w:line="240" w:lineRule="auto"/>
              <w:jc w:val="left"/>
            </w:pPr>
            <w:r>
              <w:rPr>
                <w:rFonts w:ascii="Times New Roman" w:hAnsi="Times New Roman" w:eastAsia="Times New Roman"/>
                <w:b w:val="0"/>
                <w:i w:val="0"/>
                <w:color w:val="000000"/>
                <w:sz w:val="18"/>
              </w:rPr>
              <w:t>LifeStability components; PsychDistress components; Trust; Reciprocity; individual controls; digital-literacy grouping dummies</w:t>
            </w:r>
          </w:p>
        </w:tc>
        <w:tc>
          <w:tcPr>
            <w:tcW w:w="2880" w:type="dxa"/>
            <w:tcBorders>
              <w:top w:val="nil"/>
              <w:left w:val="nil"/>
              <w:bottom w:val="nil"/>
              <w:right w:val="nil"/>
              <w:insideH w:val="nil"/>
              <w:insideV w:val="nil"/>
            </w:tcBorders>
            <w:vAlign w:val="center"/>
          </w:tcPr>
          <w:p w14:paraId="26C65C77">
            <w:pPr>
              <w:keepLines/>
              <w:spacing w:before="0" w:after="0" w:line="240" w:lineRule="auto"/>
              <w:jc w:val="left"/>
            </w:pPr>
            <w:r>
              <w:rPr>
                <w:rFonts w:ascii="Times New Roman" w:hAnsi="Times New Roman" w:eastAsia="Times New Roman"/>
                <w:b w:val="0"/>
                <w:i w:val="0"/>
                <w:color w:val="000000"/>
                <w:sz w:val="18"/>
              </w:rPr>
              <w:t>Unique adult pid tracked across seven waves</w:t>
            </w:r>
          </w:p>
        </w:tc>
      </w:tr>
      <w:tr w14:paraId="156A7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5FFC42D0">
            <w:pPr>
              <w:keepLines/>
              <w:spacing w:before="0" w:after="0" w:line="240" w:lineRule="auto"/>
              <w:jc w:val="left"/>
            </w:pPr>
            <w:r>
              <w:rPr>
                <w:rFonts w:ascii="Times New Roman" w:hAnsi="Times New Roman" w:eastAsia="Times New Roman"/>
                <w:b w:val="0"/>
                <w:i w:val="0"/>
                <w:color w:val="000000"/>
                <w:sz w:val="18"/>
              </w:rPr>
              <w:t>Household questionnaire</w:t>
            </w:r>
          </w:p>
        </w:tc>
        <w:tc>
          <w:tcPr>
            <w:tcW w:w="2015" w:type="dxa"/>
            <w:tcBorders>
              <w:top w:val="nil"/>
              <w:left w:val="nil"/>
              <w:bottom w:val="nil"/>
              <w:right w:val="nil"/>
              <w:insideH w:val="nil"/>
              <w:insideV w:val="nil"/>
            </w:tcBorders>
            <w:vAlign w:val="center"/>
          </w:tcPr>
          <w:p w14:paraId="45D52E7F">
            <w:pPr>
              <w:keepLines/>
              <w:spacing w:before="0" w:after="0" w:line="240" w:lineRule="auto"/>
              <w:jc w:val="left"/>
            </w:pPr>
            <w:r>
              <w:rPr>
                <w:rFonts w:ascii="Times New Roman" w:hAnsi="Times New Roman" w:eastAsia="Times New Roman"/>
                <w:b w:val="0"/>
                <w:i w:val="0"/>
                <w:color w:val="000000"/>
                <w:sz w:val="18"/>
              </w:rPr>
              <w:t>Household income; housing ownership; household size; number of children and older dependents; agricultural operation; household debt</w:t>
            </w:r>
          </w:p>
        </w:tc>
        <w:tc>
          <w:tcPr>
            <w:tcW w:w="1728" w:type="dxa"/>
            <w:tcBorders>
              <w:top w:val="nil"/>
              <w:left w:val="nil"/>
              <w:bottom w:val="nil"/>
              <w:right w:val="nil"/>
              <w:insideH w:val="nil"/>
              <w:insideV w:val="nil"/>
            </w:tcBorders>
            <w:vAlign w:val="center"/>
          </w:tcPr>
          <w:p w14:paraId="6A6813CD">
            <w:pPr>
              <w:keepLines/>
              <w:spacing w:before="0" w:after="0" w:line="240" w:lineRule="auto"/>
              <w:jc w:val="left"/>
            </w:pPr>
            <w:r>
              <w:rPr>
                <w:rFonts w:ascii="Times New Roman" w:hAnsi="Times New Roman" w:eastAsia="Times New Roman"/>
                <w:b w:val="0"/>
                <w:i w:val="0"/>
                <w:color w:val="000000"/>
                <w:sz w:val="18"/>
              </w:rPr>
              <w:t>Household controls; agricultural-household subgroup dummy; dependency burden</w:t>
            </w:r>
          </w:p>
        </w:tc>
        <w:tc>
          <w:tcPr>
            <w:tcW w:w="2880" w:type="dxa"/>
            <w:tcBorders>
              <w:top w:val="nil"/>
              <w:left w:val="nil"/>
              <w:bottom w:val="nil"/>
              <w:right w:val="nil"/>
              <w:insideH w:val="nil"/>
              <w:insideV w:val="nil"/>
            </w:tcBorders>
            <w:vAlign w:val="center"/>
          </w:tcPr>
          <w:p w14:paraId="010E8B75">
            <w:pPr>
              <w:keepLines/>
              <w:spacing w:before="0" w:after="0" w:line="240" w:lineRule="auto"/>
              <w:jc w:val="left"/>
            </w:pPr>
            <w:r>
              <w:rPr>
                <w:rFonts w:ascii="Times New Roman" w:hAnsi="Times New Roman" w:eastAsia="Times New Roman"/>
                <w:b w:val="0"/>
                <w:i w:val="0"/>
                <w:color w:val="000000"/>
                <w:sz w:val="18"/>
              </w:rPr>
              <w:t>fid household identifier linked to adult pid</w:t>
            </w:r>
          </w:p>
        </w:tc>
      </w:tr>
      <w:tr w14:paraId="5CB25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52A792ED">
            <w:pPr>
              <w:keepLines/>
              <w:spacing w:before="0" w:after="0" w:line="240" w:lineRule="auto"/>
              <w:jc w:val="left"/>
            </w:pPr>
            <w:r>
              <w:rPr>
                <w:rFonts w:ascii="Times New Roman" w:hAnsi="Times New Roman" w:eastAsia="Times New Roman"/>
                <w:b w:val="0"/>
                <w:i w:val="0"/>
                <w:color w:val="000000"/>
                <w:sz w:val="18"/>
              </w:rPr>
              <w:t>Community questionnaire</w:t>
            </w:r>
          </w:p>
        </w:tc>
        <w:tc>
          <w:tcPr>
            <w:tcW w:w="2015" w:type="dxa"/>
            <w:tcBorders>
              <w:top w:val="nil"/>
              <w:left w:val="nil"/>
              <w:bottom w:val="nil"/>
              <w:right w:val="nil"/>
              <w:insideH w:val="nil"/>
              <w:insideV w:val="nil"/>
            </w:tcBorders>
            <w:vAlign w:val="center"/>
          </w:tcPr>
          <w:p w14:paraId="3889FC53">
            <w:pPr>
              <w:keepLines/>
              <w:spacing w:before="0" w:after="0" w:line="240" w:lineRule="auto"/>
              <w:jc w:val="left"/>
            </w:pPr>
            <w:r>
              <w:rPr>
                <w:rFonts w:ascii="Times New Roman" w:hAnsi="Times New Roman" w:eastAsia="Times New Roman"/>
                <w:b w:val="0"/>
                <w:i w:val="0"/>
                <w:color w:val="000000"/>
                <w:sz w:val="18"/>
              </w:rPr>
              <w:t>Community medical and elderly-care facilities; community service centre; frequency of neighbourhood mutual-aid activities</w:t>
            </w:r>
          </w:p>
        </w:tc>
        <w:tc>
          <w:tcPr>
            <w:tcW w:w="1728" w:type="dxa"/>
            <w:tcBorders>
              <w:top w:val="nil"/>
              <w:left w:val="nil"/>
              <w:bottom w:val="nil"/>
              <w:right w:val="nil"/>
              <w:insideH w:val="nil"/>
              <w:insideV w:val="nil"/>
            </w:tcBorders>
            <w:vAlign w:val="center"/>
          </w:tcPr>
          <w:p w14:paraId="60149350">
            <w:pPr>
              <w:keepLines/>
              <w:spacing w:before="0" w:after="0" w:line="240" w:lineRule="auto"/>
              <w:jc w:val="left"/>
            </w:pPr>
            <w:r>
              <w:rPr>
                <w:rFonts w:ascii="Times New Roman" w:hAnsi="Times New Roman" w:eastAsia="Times New Roman"/>
                <w:b w:val="0"/>
                <w:i w:val="0"/>
                <w:color w:val="000000"/>
                <w:sz w:val="18"/>
              </w:rPr>
              <w:t>Reciprocity components; PublicService components; community-organization proxy</w:t>
            </w:r>
          </w:p>
        </w:tc>
        <w:tc>
          <w:tcPr>
            <w:tcW w:w="2880" w:type="dxa"/>
            <w:tcBorders>
              <w:top w:val="nil"/>
              <w:left w:val="nil"/>
              <w:bottom w:val="nil"/>
              <w:right w:val="nil"/>
              <w:insideH w:val="nil"/>
              <w:insideV w:val="nil"/>
            </w:tcBorders>
            <w:vAlign w:val="center"/>
          </w:tcPr>
          <w:p w14:paraId="1964F2FC">
            <w:pPr>
              <w:keepLines/>
              <w:spacing w:before="0" w:after="0" w:line="240" w:lineRule="auto"/>
              <w:jc w:val="left"/>
            </w:pPr>
            <w:r>
              <w:rPr>
                <w:rFonts w:ascii="Times New Roman" w:hAnsi="Times New Roman" w:eastAsia="Times New Roman"/>
                <w:b w:val="0"/>
                <w:i w:val="0"/>
                <w:color w:val="000000"/>
                <w:sz w:val="18"/>
              </w:rPr>
              <w:t>Community code matched to restricted county geocode</w:t>
            </w:r>
          </w:p>
        </w:tc>
      </w:tr>
      <w:tr w14:paraId="7B285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3FFF856C">
            <w:pPr>
              <w:keepLines/>
              <w:spacing w:before="0" w:after="0" w:line="240" w:lineRule="auto"/>
              <w:jc w:val="left"/>
            </w:pPr>
            <w:r>
              <w:rPr>
                <w:rFonts w:ascii="Times New Roman" w:hAnsi="Times New Roman" w:eastAsia="Times New Roman"/>
                <w:b w:val="0"/>
                <w:i w:val="0"/>
                <w:color w:val="000000"/>
                <w:sz w:val="18"/>
              </w:rPr>
              <w:t>Restricted geographic file</w:t>
            </w:r>
          </w:p>
        </w:tc>
        <w:tc>
          <w:tcPr>
            <w:tcW w:w="2015" w:type="dxa"/>
            <w:tcBorders>
              <w:top w:val="nil"/>
              <w:left w:val="nil"/>
              <w:bottom w:val="single" w:color="000000" w:sz="8" w:space="0"/>
              <w:right w:val="nil"/>
              <w:insideH w:val="nil"/>
              <w:insideV w:val="nil"/>
            </w:tcBorders>
            <w:vAlign w:val="center"/>
          </w:tcPr>
          <w:p w14:paraId="2FC0ECA9">
            <w:pPr>
              <w:keepLines/>
              <w:spacing w:before="0" w:after="0" w:line="240" w:lineRule="auto"/>
              <w:jc w:val="left"/>
            </w:pPr>
            <w:r>
              <w:rPr>
                <w:rFonts w:ascii="Times New Roman" w:hAnsi="Times New Roman" w:eastAsia="Times New Roman"/>
                <w:b w:val="0"/>
                <w:i w:val="0"/>
                <w:color w:val="000000"/>
                <w:sz w:val="18"/>
              </w:rPr>
              <w:t>Six-digit county administrative code; province code; administrative-boundary crosswalk</w:t>
            </w:r>
          </w:p>
        </w:tc>
        <w:tc>
          <w:tcPr>
            <w:tcW w:w="1728" w:type="dxa"/>
            <w:tcBorders>
              <w:top w:val="nil"/>
              <w:left w:val="nil"/>
              <w:bottom w:val="single" w:color="000000" w:sz="8" w:space="0"/>
              <w:right w:val="nil"/>
              <w:insideH w:val="nil"/>
              <w:insideV w:val="nil"/>
            </w:tcBorders>
            <w:vAlign w:val="center"/>
          </w:tcPr>
          <w:p w14:paraId="6807BAAB">
            <w:pPr>
              <w:keepLines/>
              <w:spacing w:before="0" w:after="0" w:line="240" w:lineRule="auto"/>
              <w:jc w:val="left"/>
            </w:pPr>
            <w:r>
              <w:rPr>
                <w:rFonts w:ascii="Times New Roman" w:hAnsi="Times New Roman" w:eastAsia="Times New Roman"/>
                <w:b w:val="0"/>
                <w:i w:val="0"/>
                <w:color w:val="000000"/>
                <w:sz w:val="18"/>
              </w:rPr>
              <w:t>Spatial matching key; urban-rural classification; eastern/central/western regional classification</w:t>
            </w:r>
          </w:p>
        </w:tc>
        <w:tc>
          <w:tcPr>
            <w:tcW w:w="2880" w:type="dxa"/>
            <w:tcBorders>
              <w:top w:val="nil"/>
              <w:left w:val="nil"/>
              <w:bottom w:val="single" w:color="000000" w:sz="8" w:space="0"/>
              <w:right w:val="nil"/>
              <w:insideH w:val="nil"/>
              <w:insideV w:val="nil"/>
            </w:tcBorders>
            <w:vAlign w:val="center"/>
          </w:tcPr>
          <w:p w14:paraId="1F765932">
            <w:pPr>
              <w:keepLines/>
              <w:spacing w:before="0" w:after="0" w:line="240" w:lineRule="auto"/>
              <w:jc w:val="left"/>
            </w:pPr>
            <w:r>
              <w:rPr>
                <w:rFonts w:ascii="Times New Roman" w:hAnsi="Times New Roman" w:eastAsia="Times New Roman"/>
                <w:b w:val="0"/>
                <w:i w:val="0"/>
                <w:color w:val="000000"/>
                <w:sz w:val="18"/>
              </w:rPr>
              <w:t>Used only in encrypted authorized environment; not redistributed</w:t>
            </w:r>
          </w:p>
        </w:tc>
      </w:tr>
    </w:tbl>
    <w:p w14:paraId="6BDF7B91">
      <w:pPr>
        <w:pStyle w:val="168"/>
        <w:keepLines/>
        <w:spacing w:before="60" w:after="60" w:line="240" w:lineRule="auto"/>
        <w:ind w:left="0" w:right="0" w:firstLine="0"/>
        <w:jc w:val="left"/>
      </w:pPr>
      <w:r>
        <w:rPr>
          <w:rFonts w:ascii="Times New Roman" w:hAnsi="Times New Roman" w:eastAsia="Times New Roman"/>
          <w:i/>
          <w:color w:val="000000"/>
          <w:sz w:val="20"/>
        </w:rPr>
        <w:t>Note. The item list is designed for the CFPS 2010/2012/2014/2016/2018/2020/2022 adult, household, and community modules. All CFPS restricted geographic identifiers remain confidential.</w:t>
      </w:r>
    </w:p>
    <w:p w14:paraId="2E1E7228">
      <w:pPr>
        <w:pStyle w:val="165"/>
        <w:spacing w:before="0" w:after="0" w:line="360" w:lineRule="auto"/>
        <w:ind w:left="0" w:right="0" w:firstLine="0"/>
        <w:jc w:val="left"/>
      </w:pPr>
      <w:r>
        <w:rPr>
          <w:rFonts w:ascii="Times New Roman" w:hAnsi="Times New Roman" w:eastAsia="Times New Roman"/>
          <w:b w:val="0"/>
          <w:i w:val="0"/>
          <w:sz w:val="24"/>
        </w:rPr>
        <w:t>Climate-exposure construction formulas</w:t>
      </w:r>
    </w:p>
    <w:p w14:paraId="4CF87D19">
      <w:pPr>
        <w:pStyle w:val="165"/>
        <w:spacing w:before="0" w:after="0" w:line="360" w:lineRule="auto"/>
        <w:ind w:left="0" w:right="0" w:firstLine="0"/>
        <w:jc w:val="center"/>
      </w:pPr>
      <w:r>
        <w:rPr>
          <w:rFonts w:ascii="Times New Roman" w:hAnsi="Times New Roman" w:eastAsia="Times New Roman"/>
          <w:sz w:val="24"/>
        </w:rPr>
        <w:t>HeatShock_ct = sum_{d=1}^{365} I(Temp_cdt &gt; P95_c,1991-2020)</w:t>
      </w:r>
    </w:p>
    <w:p w14:paraId="26EA3C84">
      <w:pPr>
        <w:pStyle w:val="165"/>
        <w:spacing w:before="0" w:after="0" w:line="360" w:lineRule="auto"/>
        <w:ind w:left="0" w:right="0" w:firstLine="0"/>
        <w:jc w:val="center"/>
      </w:pPr>
      <w:r>
        <w:rPr>
          <w:rFonts w:ascii="Times New Roman" w:hAnsi="Times New Roman" w:eastAsia="Times New Roman"/>
          <w:sz w:val="24"/>
        </w:rPr>
        <w:t>Heatwave_ct = sum I(Temp_cdt &gt; P95_c,1991-2020 for at least 3 consecutive days)</w:t>
      </w:r>
    </w:p>
    <w:p w14:paraId="19A3860B">
      <w:pPr>
        <w:pStyle w:val="165"/>
        <w:spacing w:before="0" w:after="0" w:line="360" w:lineRule="auto"/>
        <w:ind w:left="0" w:right="0" w:firstLine="0"/>
        <w:jc w:val="center"/>
      </w:pPr>
      <w:r>
        <w:rPr>
          <w:rFonts w:ascii="Times New Roman" w:hAnsi="Times New Roman" w:eastAsia="Times New Roman"/>
          <w:sz w:val="24"/>
        </w:rPr>
        <w:t>RainShock_ct = sum_{d=1}^{365} I(Precip_cdt &gt; P95_c,1991-2020)</w:t>
      </w:r>
    </w:p>
    <w:p w14:paraId="7A5DB2B5">
      <w:pPr>
        <w:pStyle w:val="165"/>
        <w:spacing w:before="0" w:after="0" w:line="360" w:lineRule="auto"/>
        <w:ind w:left="0" w:right="0" w:firstLine="0"/>
        <w:jc w:val="center"/>
      </w:pPr>
      <w:r>
        <w:rPr>
          <w:rFonts w:ascii="Times New Roman" w:hAnsi="Times New Roman" w:eastAsia="Times New Roman"/>
          <w:sz w:val="24"/>
        </w:rPr>
        <w:t>PrecipAnomaly_ct = (Precip_ct - mean(Preip_c,1991-2020)) / SD(Precip_c,1991-2020)</w:t>
      </w:r>
    </w:p>
    <w:p w14:paraId="5B46F078">
      <w:pPr>
        <w:pStyle w:val="165"/>
        <w:spacing w:before="0" w:after="0" w:line="360" w:lineRule="auto"/>
        <w:ind w:left="0" w:right="0" w:firstLine="0"/>
        <w:jc w:val="center"/>
      </w:pPr>
      <w:r>
        <w:rPr>
          <w:rFonts w:ascii="Times New Roman" w:hAnsi="Times New Roman" w:eastAsia="Times New Roman"/>
          <w:sz w:val="24"/>
        </w:rPr>
        <w:t>Drought_ct = I(SPEI_ct &lt; -1)</w:t>
      </w:r>
    </w:p>
    <w:p w14:paraId="25FB6E17">
      <w:pPr>
        <w:pStyle w:val="165"/>
        <w:spacing w:before="0" w:after="0" w:line="360" w:lineRule="auto"/>
        <w:ind w:left="0" w:right="0" w:firstLine="0"/>
        <w:jc w:val="center"/>
      </w:pPr>
      <w:r>
        <w:rPr>
          <w:rFonts w:ascii="Times New Roman" w:hAnsi="Times New Roman" w:eastAsia="Times New Roman"/>
          <w:sz w:val="24"/>
        </w:rPr>
        <w:t>ClimateShock_ct = z(HeatShock_ct) + z(RainShock_ct) + z(Drought_ct)</w:t>
      </w:r>
    </w:p>
    <w:p w14:paraId="0C892448">
      <w:pPr>
        <w:pStyle w:val="4"/>
        <w:spacing w:before="160" w:after="80" w:line="276" w:lineRule="auto"/>
        <w:ind w:left="0" w:right="0" w:firstLine="0"/>
        <w:jc w:val="left"/>
      </w:pPr>
      <w:r>
        <w:rPr>
          <w:rFonts w:ascii="Times New Roman" w:hAnsi="Times New Roman" w:eastAsia="Times New Roman"/>
          <w:b/>
          <w:i w:val="0"/>
          <w:color w:val="000000"/>
          <w:sz w:val="24"/>
        </w:rPr>
        <w:t>Appendix Table H2. Climate, drought, and disaster-event data implementation</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1C20B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279ECDBD">
            <w:pPr>
              <w:keepLines/>
              <w:spacing w:before="0" w:after="0" w:line="240" w:lineRule="auto"/>
              <w:jc w:val="center"/>
            </w:pPr>
            <w:r>
              <w:rPr>
                <w:rFonts w:ascii="Times New Roman" w:hAnsi="Times New Roman" w:eastAsia="Times New Roman"/>
                <w:b/>
                <w:i w:val="0"/>
                <w:color w:val="000000"/>
                <w:sz w:val="18"/>
              </w:rPr>
              <w:t>Data source</w:t>
            </w:r>
          </w:p>
        </w:tc>
        <w:tc>
          <w:tcPr>
            <w:tcW w:w="2015" w:type="dxa"/>
            <w:tcBorders>
              <w:top w:val="single" w:color="000000" w:sz="8" w:space="0"/>
              <w:left w:val="nil"/>
              <w:bottom w:val="single" w:color="000000" w:sz="8" w:space="0"/>
              <w:right w:val="nil"/>
              <w:insideH w:val="nil"/>
              <w:insideV w:val="nil"/>
            </w:tcBorders>
            <w:vAlign w:val="center"/>
          </w:tcPr>
          <w:p w14:paraId="1CD6B21E">
            <w:pPr>
              <w:keepLines/>
              <w:spacing w:before="0" w:after="0" w:line="240" w:lineRule="auto"/>
              <w:jc w:val="center"/>
            </w:pPr>
            <w:r>
              <w:rPr>
                <w:rFonts w:ascii="Times New Roman" w:hAnsi="Times New Roman" w:eastAsia="Times New Roman"/>
                <w:b/>
                <w:i w:val="0"/>
                <w:color w:val="000000"/>
                <w:sz w:val="18"/>
              </w:rPr>
              <w:t>Resolution / period</w:t>
            </w:r>
          </w:p>
        </w:tc>
        <w:tc>
          <w:tcPr>
            <w:tcW w:w="1728" w:type="dxa"/>
            <w:tcBorders>
              <w:top w:val="single" w:color="000000" w:sz="8" w:space="0"/>
              <w:left w:val="nil"/>
              <w:bottom w:val="single" w:color="000000" w:sz="8" w:space="0"/>
              <w:right w:val="nil"/>
              <w:insideH w:val="nil"/>
              <w:insideV w:val="nil"/>
            </w:tcBorders>
            <w:vAlign w:val="center"/>
          </w:tcPr>
          <w:p w14:paraId="599E1069">
            <w:pPr>
              <w:keepLines/>
              <w:spacing w:before="0" w:after="0" w:line="240" w:lineRule="auto"/>
              <w:jc w:val="center"/>
            </w:pPr>
            <w:r>
              <w:rPr>
                <w:rFonts w:ascii="Times New Roman" w:hAnsi="Times New Roman" w:eastAsia="Times New Roman"/>
                <w:b/>
                <w:i w:val="0"/>
                <w:color w:val="000000"/>
                <w:sz w:val="18"/>
              </w:rPr>
              <w:t>Implemented indicators</w:t>
            </w:r>
          </w:p>
        </w:tc>
        <w:tc>
          <w:tcPr>
            <w:tcW w:w="2880" w:type="dxa"/>
            <w:tcBorders>
              <w:top w:val="single" w:color="000000" w:sz="8" w:space="0"/>
              <w:left w:val="nil"/>
              <w:bottom w:val="single" w:color="000000" w:sz="8" w:space="0"/>
              <w:right w:val="nil"/>
              <w:insideH w:val="nil"/>
              <w:insideV w:val="nil"/>
            </w:tcBorders>
            <w:vAlign w:val="center"/>
          </w:tcPr>
          <w:p w14:paraId="213D15EC">
            <w:pPr>
              <w:keepLines/>
              <w:spacing w:before="0" w:after="0" w:line="240" w:lineRule="auto"/>
              <w:jc w:val="center"/>
            </w:pPr>
            <w:r>
              <w:rPr>
                <w:rFonts w:ascii="Times New Roman" w:hAnsi="Times New Roman" w:eastAsia="Times New Roman"/>
                <w:b/>
                <w:i w:val="0"/>
                <w:color w:val="000000"/>
                <w:sz w:val="18"/>
              </w:rPr>
              <w:t>Use in analysis</w:t>
            </w:r>
          </w:p>
        </w:tc>
      </w:tr>
      <w:tr w14:paraId="1A49A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13DA65B">
            <w:pPr>
              <w:keepLines/>
              <w:spacing w:before="0" w:after="0" w:line="240" w:lineRule="auto"/>
              <w:jc w:val="left"/>
            </w:pPr>
            <w:r>
              <w:rPr>
                <w:rFonts w:ascii="Times New Roman" w:hAnsi="Times New Roman" w:eastAsia="Times New Roman"/>
                <w:b w:val="0"/>
                <w:i w:val="0"/>
                <w:color w:val="000000"/>
                <w:sz w:val="18"/>
              </w:rPr>
              <w:t>ERA5-Land daily temperature</w:t>
            </w:r>
          </w:p>
        </w:tc>
        <w:tc>
          <w:tcPr>
            <w:tcW w:w="2015" w:type="dxa"/>
            <w:tcBorders>
              <w:top w:val="nil"/>
              <w:left w:val="nil"/>
              <w:bottom w:val="nil"/>
              <w:right w:val="nil"/>
              <w:insideH w:val="nil"/>
              <w:insideV w:val="nil"/>
            </w:tcBorders>
            <w:vAlign w:val="center"/>
          </w:tcPr>
          <w:p w14:paraId="77638AFD">
            <w:pPr>
              <w:keepLines/>
              <w:spacing w:before="0" w:after="0" w:line="240" w:lineRule="auto"/>
              <w:jc w:val="left"/>
            </w:pPr>
            <w:r>
              <w:rPr>
                <w:rFonts w:ascii="Times New Roman" w:hAnsi="Times New Roman" w:eastAsia="Times New Roman"/>
                <w:b w:val="0"/>
                <w:i w:val="0"/>
                <w:color w:val="000000"/>
                <w:sz w:val="18"/>
              </w:rPr>
              <w:t>0.1 degree grids; 1991-2022</w:t>
            </w:r>
          </w:p>
        </w:tc>
        <w:tc>
          <w:tcPr>
            <w:tcW w:w="1728" w:type="dxa"/>
            <w:tcBorders>
              <w:top w:val="nil"/>
              <w:left w:val="nil"/>
              <w:bottom w:val="nil"/>
              <w:right w:val="nil"/>
              <w:insideH w:val="nil"/>
              <w:insideV w:val="nil"/>
            </w:tcBorders>
            <w:vAlign w:val="center"/>
          </w:tcPr>
          <w:p w14:paraId="10BF219B">
            <w:pPr>
              <w:keepLines/>
              <w:spacing w:before="0" w:after="0" w:line="240" w:lineRule="auto"/>
              <w:jc w:val="left"/>
            </w:pPr>
            <w:r>
              <w:rPr>
                <w:rFonts w:ascii="Times New Roman" w:hAnsi="Times New Roman" w:eastAsia="Times New Roman"/>
                <w:b w:val="0"/>
                <w:i w:val="0"/>
                <w:color w:val="000000"/>
                <w:sz w:val="18"/>
              </w:rPr>
              <w:t>Annual high-temperature exceedance days; continuous heatwave events; annual temperature anomaly</w:t>
            </w:r>
          </w:p>
        </w:tc>
        <w:tc>
          <w:tcPr>
            <w:tcW w:w="2880" w:type="dxa"/>
            <w:tcBorders>
              <w:top w:val="nil"/>
              <w:left w:val="nil"/>
              <w:bottom w:val="nil"/>
              <w:right w:val="nil"/>
              <w:insideH w:val="nil"/>
              <w:insideV w:val="nil"/>
            </w:tcBorders>
            <w:vAlign w:val="center"/>
          </w:tcPr>
          <w:p w14:paraId="6759EBA5">
            <w:pPr>
              <w:keepLines/>
              <w:spacing w:before="0" w:after="0" w:line="240" w:lineRule="auto"/>
              <w:jc w:val="left"/>
            </w:pPr>
            <w:r>
              <w:rPr>
                <w:rFonts w:ascii="Times New Roman" w:hAnsi="Times New Roman" w:eastAsia="Times New Roman"/>
                <w:b w:val="0"/>
                <w:i w:val="0"/>
                <w:color w:val="000000"/>
                <w:sz w:val="18"/>
              </w:rPr>
              <w:t>HeatShock, Heatwave, temperature anomaly</w:t>
            </w:r>
          </w:p>
        </w:tc>
      </w:tr>
      <w:tr w14:paraId="47E7B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1205BDB1">
            <w:pPr>
              <w:keepLines/>
              <w:spacing w:before="0" w:after="0" w:line="240" w:lineRule="auto"/>
              <w:jc w:val="left"/>
            </w:pPr>
            <w:r>
              <w:rPr>
                <w:rFonts w:ascii="Times New Roman" w:hAnsi="Times New Roman" w:eastAsia="Times New Roman"/>
                <w:b w:val="0"/>
                <w:i w:val="0"/>
                <w:color w:val="000000"/>
                <w:sz w:val="18"/>
              </w:rPr>
              <w:t>CHIRPS daily precipitation</w:t>
            </w:r>
          </w:p>
        </w:tc>
        <w:tc>
          <w:tcPr>
            <w:tcW w:w="2015" w:type="dxa"/>
            <w:tcBorders>
              <w:top w:val="nil"/>
              <w:left w:val="nil"/>
              <w:bottom w:val="nil"/>
              <w:right w:val="nil"/>
              <w:insideH w:val="nil"/>
              <w:insideV w:val="nil"/>
            </w:tcBorders>
            <w:vAlign w:val="center"/>
          </w:tcPr>
          <w:p w14:paraId="024D8E26">
            <w:pPr>
              <w:keepLines/>
              <w:spacing w:before="0" w:after="0" w:line="240" w:lineRule="auto"/>
              <w:jc w:val="left"/>
            </w:pPr>
            <w:r>
              <w:rPr>
                <w:rFonts w:ascii="Times New Roman" w:hAnsi="Times New Roman" w:eastAsia="Times New Roman"/>
                <w:b w:val="0"/>
                <w:i w:val="0"/>
                <w:color w:val="000000"/>
                <w:sz w:val="18"/>
              </w:rPr>
              <w:t>0.05 degree grids; 1991-2022</w:t>
            </w:r>
          </w:p>
        </w:tc>
        <w:tc>
          <w:tcPr>
            <w:tcW w:w="1728" w:type="dxa"/>
            <w:tcBorders>
              <w:top w:val="nil"/>
              <w:left w:val="nil"/>
              <w:bottom w:val="nil"/>
              <w:right w:val="nil"/>
              <w:insideH w:val="nil"/>
              <w:insideV w:val="nil"/>
            </w:tcBorders>
            <w:vAlign w:val="center"/>
          </w:tcPr>
          <w:p w14:paraId="4DF8C0BD">
            <w:pPr>
              <w:keepLines/>
              <w:spacing w:before="0" w:after="0" w:line="240" w:lineRule="auto"/>
              <w:jc w:val="left"/>
            </w:pPr>
            <w:r>
              <w:rPr>
                <w:rFonts w:ascii="Times New Roman" w:hAnsi="Times New Roman" w:eastAsia="Times New Roman"/>
                <w:b w:val="0"/>
                <w:i w:val="0"/>
                <w:color w:val="000000"/>
                <w:sz w:val="18"/>
              </w:rPr>
              <w:t>Extreme rainfall days; annual precipitation anomaly</w:t>
            </w:r>
          </w:p>
        </w:tc>
        <w:tc>
          <w:tcPr>
            <w:tcW w:w="2880" w:type="dxa"/>
            <w:tcBorders>
              <w:top w:val="nil"/>
              <w:left w:val="nil"/>
              <w:bottom w:val="nil"/>
              <w:right w:val="nil"/>
              <w:insideH w:val="nil"/>
              <w:insideV w:val="nil"/>
            </w:tcBorders>
            <w:vAlign w:val="center"/>
          </w:tcPr>
          <w:p w14:paraId="5C2CD181">
            <w:pPr>
              <w:keepLines/>
              <w:spacing w:before="0" w:after="0" w:line="240" w:lineRule="auto"/>
              <w:jc w:val="left"/>
            </w:pPr>
            <w:r>
              <w:rPr>
                <w:rFonts w:ascii="Times New Roman" w:hAnsi="Times New Roman" w:eastAsia="Times New Roman"/>
                <w:b w:val="0"/>
                <w:i w:val="0"/>
                <w:color w:val="000000"/>
                <w:sz w:val="18"/>
              </w:rPr>
              <w:t>RainShock and rainfall robustness</w:t>
            </w:r>
          </w:p>
        </w:tc>
      </w:tr>
      <w:tr w14:paraId="5590C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48635843">
            <w:pPr>
              <w:keepLines/>
              <w:spacing w:before="0" w:after="0" w:line="240" w:lineRule="auto"/>
              <w:jc w:val="left"/>
            </w:pPr>
            <w:r>
              <w:rPr>
                <w:rFonts w:ascii="Times New Roman" w:hAnsi="Times New Roman" w:eastAsia="Times New Roman"/>
                <w:b w:val="0"/>
                <w:i w:val="0"/>
                <w:color w:val="000000"/>
                <w:sz w:val="18"/>
              </w:rPr>
              <w:t>SPEI drought indicator</w:t>
            </w:r>
          </w:p>
        </w:tc>
        <w:tc>
          <w:tcPr>
            <w:tcW w:w="2015" w:type="dxa"/>
            <w:tcBorders>
              <w:top w:val="nil"/>
              <w:left w:val="nil"/>
              <w:bottom w:val="nil"/>
              <w:right w:val="nil"/>
              <w:insideH w:val="nil"/>
              <w:insideV w:val="nil"/>
            </w:tcBorders>
            <w:vAlign w:val="center"/>
          </w:tcPr>
          <w:p w14:paraId="4A1F6FD9">
            <w:pPr>
              <w:keepLines/>
              <w:spacing w:before="0" w:after="0" w:line="240" w:lineRule="auto"/>
              <w:jc w:val="left"/>
            </w:pPr>
            <w:r>
              <w:rPr>
                <w:rFonts w:ascii="Times New Roman" w:hAnsi="Times New Roman" w:eastAsia="Times New Roman"/>
                <w:b w:val="0"/>
                <w:i w:val="0"/>
                <w:color w:val="000000"/>
                <w:sz w:val="18"/>
              </w:rPr>
              <w:t>County-year drought exposure; 1991-2022</w:t>
            </w:r>
          </w:p>
        </w:tc>
        <w:tc>
          <w:tcPr>
            <w:tcW w:w="1728" w:type="dxa"/>
            <w:tcBorders>
              <w:top w:val="nil"/>
              <w:left w:val="nil"/>
              <w:bottom w:val="nil"/>
              <w:right w:val="nil"/>
              <w:insideH w:val="nil"/>
              <w:insideV w:val="nil"/>
            </w:tcBorders>
            <w:vAlign w:val="center"/>
          </w:tcPr>
          <w:p w14:paraId="63DBDA58">
            <w:pPr>
              <w:keepLines/>
              <w:spacing w:before="0" w:after="0" w:line="240" w:lineRule="auto"/>
              <w:jc w:val="left"/>
            </w:pPr>
            <w:r>
              <w:rPr>
                <w:rFonts w:ascii="Times New Roman" w:hAnsi="Times New Roman" w:eastAsia="Times New Roman"/>
                <w:b w:val="0"/>
                <w:i w:val="0"/>
                <w:color w:val="000000"/>
                <w:sz w:val="18"/>
              </w:rPr>
              <w:t>Drought dummy based on SPEI &lt; -1</w:t>
            </w:r>
          </w:p>
        </w:tc>
        <w:tc>
          <w:tcPr>
            <w:tcW w:w="2880" w:type="dxa"/>
            <w:tcBorders>
              <w:top w:val="nil"/>
              <w:left w:val="nil"/>
              <w:bottom w:val="nil"/>
              <w:right w:val="nil"/>
              <w:insideH w:val="nil"/>
              <w:insideV w:val="nil"/>
            </w:tcBorders>
            <w:vAlign w:val="center"/>
          </w:tcPr>
          <w:p w14:paraId="141B6CD6">
            <w:pPr>
              <w:keepLines/>
              <w:spacing w:before="0" w:after="0" w:line="240" w:lineRule="auto"/>
              <w:jc w:val="left"/>
            </w:pPr>
            <w:r>
              <w:rPr>
                <w:rFonts w:ascii="Times New Roman" w:hAnsi="Times New Roman" w:eastAsia="Times New Roman"/>
                <w:b w:val="0"/>
                <w:i w:val="0"/>
                <w:color w:val="000000"/>
                <w:sz w:val="18"/>
              </w:rPr>
              <w:t>Drought component in ClimateShock</w:t>
            </w:r>
          </w:p>
        </w:tc>
      </w:tr>
      <w:tr w14:paraId="1F97C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7AFE3291">
            <w:pPr>
              <w:keepLines/>
              <w:spacing w:before="0" w:after="0" w:line="240" w:lineRule="auto"/>
              <w:jc w:val="left"/>
            </w:pPr>
            <w:r>
              <w:rPr>
                <w:rFonts w:ascii="Times New Roman" w:hAnsi="Times New Roman" w:eastAsia="Times New Roman"/>
                <w:b w:val="0"/>
                <w:i w:val="0"/>
                <w:color w:val="000000"/>
                <w:sz w:val="18"/>
              </w:rPr>
              <w:t>EM-DAT and China Meteorological Disaster Yearbook</w:t>
            </w:r>
          </w:p>
        </w:tc>
        <w:tc>
          <w:tcPr>
            <w:tcW w:w="2015" w:type="dxa"/>
            <w:tcBorders>
              <w:top w:val="nil"/>
              <w:left w:val="nil"/>
              <w:bottom w:val="single" w:color="000000" w:sz="8" w:space="0"/>
              <w:right w:val="nil"/>
              <w:insideH w:val="nil"/>
              <w:insideV w:val="nil"/>
            </w:tcBorders>
            <w:vAlign w:val="center"/>
          </w:tcPr>
          <w:p w14:paraId="365579A9">
            <w:pPr>
              <w:keepLines/>
              <w:spacing w:before="0" w:after="0" w:line="240" w:lineRule="auto"/>
              <w:jc w:val="left"/>
            </w:pPr>
            <w:r>
              <w:rPr>
                <w:rFonts w:ascii="Times New Roman" w:hAnsi="Times New Roman" w:eastAsia="Times New Roman"/>
                <w:b w:val="0"/>
                <w:i w:val="0"/>
                <w:color w:val="000000"/>
                <w:sz w:val="18"/>
              </w:rPr>
              <w:t>Discrete disaster-event records; 1991-2022</w:t>
            </w:r>
          </w:p>
        </w:tc>
        <w:tc>
          <w:tcPr>
            <w:tcW w:w="1728" w:type="dxa"/>
            <w:tcBorders>
              <w:top w:val="nil"/>
              <w:left w:val="nil"/>
              <w:bottom w:val="single" w:color="000000" w:sz="8" w:space="0"/>
              <w:right w:val="nil"/>
              <w:insideH w:val="nil"/>
              <w:insideV w:val="nil"/>
            </w:tcBorders>
            <w:vAlign w:val="center"/>
          </w:tcPr>
          <w:p w14:paraId="30180199">
            <w:pPr>
              <w:keepLines/>
              <w:spacing w:before="0" w:after="0" w:line="240" w:lineRule="auto"/>
              <w:jc w:val="left"/>
            </w:pPr>
            <w:r>
              <w:rPr>
                <w:rFonts w:ascii="Times New Roman" w:hAnsi="Times New Roman" w:eastAsia="Times New Roman"/>
                <w:b w:val="0"/>
                <w:i w:val="0"/>
                <w:color w:val="000000"/>
                <w:sz w:val="18"/>
              </w:rPr>
              <w:t>FloodEvent, HeatEvent, DroughtEvent; event-time dummies t=-3 to t=3</w:t>
            </w:r>
          </w:p>
        </w:tc>
        <w:tc>
          <w:tcPr>
            <w:tcW w:w="2880" w:type="dxa"/>
            <w:tcBorders>
              <w:top w:val="nil"/>
              <w:left w:val="nil"/>
              <w:bottom w:val="single" w:color="000000" w:sz="8" w:space="0"/>
              <w:right w:val="nil"/>
              <w:insideH w:val="nil"/>
              <w:insideV w:val="nil"/>
            </w:tcBorders>
            <w:vAlign w:val="center"/>
          </w:tcPr>
          <w:p w14:paraId="6790330F">
            <w:pPr>
              <w:keepLines/>
              <w:spacing w:before="0" w:after="0" w:line="240" w:lineRule="auto"/>
              <w:jc w:val="left"/>
            </w:pPr>
            <w:r>
              <w:rPr>
                <w:rFonts w:ascii="Times New Roman" w:hAnsi="Times New Roman" w:eastAsia="Times New Roman"/>
                <w:b w:val="0"/>
                <w:i w:val="0"/>
                <w:color w:val="000000"/>
                <w:sz w:val="18"/>
              </w:rPr>
              <w:t>Event-study validation and dynamic recovery analysis</w:t>
            </w:r>
          </w:p>
        </w:tc>
      </w:tr>
    </w:tbl>
    <w:p w14:paraId="1AF81D0E">
      <w:pPr>
        <w:pStyle w:val="168"/>
        <w:keepLines/>
        <w:spacing w:before="60" w:after="60" w:line="240" w:lineRule="auto"/>
        <w:ind w:left="0" w:right="0" w:firstLine="0"/>
        <w:jc w:val="left"/>
      </w:pPr>
      <w:r>
        <w:rPr>
          <w:rFonts w:ascii="Times New Roman" w:hAnsi="Times New Roman" w:eastAsia="Times New Roman"/>
          <w:i/>
          <w:color w:val="000000"/>
          <w:sz w:val="20"/>
        </w:rPr>
        <w:t>Note. The climate baseline is the local 1991-2020 county climate history. Grid values are aggregated to county units by arithmetic means within county boundaries, with a 50-km county-seat buffer used when complete boundary overlay is unavailable.</w:t>
      </w:r>
    </w:p>
    <w:p w14:paraId="5C691F02">
      <w:pPr>
        <w:pStyle w:val="4"/>
        <w:spacing w:before="160" w:after="80" w:line="276" w:lineRule="auto"/>
        <w:ind w:left="0" w:right="0" w:firstLine="0"/>
        <w:jc w:val="left"/>
      </w:pPr>
      <w:r>
        <w:rPr>
          <w:rFonts w:ascii="Times New Roman" w:hAnsi="Times New Roman" w:eastAsia="Times New Roman"/>
          <w:b/>
          <w:i w:val="0"/>
          <w:color w:val="000000"/>
          <w:sz w:val="24"/>
        </w:rPr>
        <w:t>Appendix Table H3. County public-service, governance, organization, and digital-infrastructure data</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01457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171D2924">
            <w:pPr>
              <w:keepLines/>
              <w:spacing w:before="0" w:after="0" w:line="240" w:lineRule="auto"/>
              <w:jc w:val="center"/>
            </w:pPr>
            <w:r>
              <w:rPr>
                <w:rFonts w:ascii="Times New Roman" w:hAnsi="Times New Roman" w:eastAsia="Times New Roman"/>
                <w:b/>
                <w:i w:val="0"/>
                <w:color w:val="000000"/>
                <w:sz w:val="18"/>
              </w:rPr>
              <w:t>Data category</w:t>
            </w:r>
          </w:p>
        </w:tc>
        <w:tc>
          <w:tcPr>
            <w:tcW w:w="2015" w:type="dxa"/>
            <w:tcBorders>
              <w:top w:val="single" w:color="000000" w:sz="8" w:space="0"/>
              <w:left w:val="nil"/>
              <w:bottom w:val="single" w:color="000000" w:sz="8" w:space="0"/>
              <w:right w:val="nil"/>
              <w:insideH w:val="nil"/>
              <w:insideV w:val="nil"/>
            </w:tcBorders>
            <w:vAlign w:val="center"/>
          </w:tcPr>
          <w:p w14:paraId="6BCC21E5">
            <w:pPr>
              <w:keepLines/>
              <w:spacing w:before="0" w:after="0" w:line="240" w:lineRule="auto"/>
              <w:jc w:val="center"/>
            </w:pPr>
            <w:r>
              <w:rPr>
                <w:rFonts w:ascii="Times New Roman" w:hAnsi="Times New Roman" w:eastAsia="Times New Roman"/>
                <w:b/>
                <w:i w:val="0"/>
                <w:color w:val="000000"/>
                <w:sz w:val="18"/>
              </w:rPr>
              <w:t>Original sources</w:t>
            </w:r>
          </w:p>
        </w:tc>
        <w:tc>
          <w:tcPr>
            <w:tcW w:w="1728" w:type="dxa"/>
            <w:tcBorders>
              <w:top w:val="single" w:color="000000" w:sz="8" w:space="0"/>
              <w:left w:val="nil"/>
              <w:bottom w:val="single" w:color="000000" w:sz="8" w:space="0"/>
              <w:right w:val="nil"/>
              <w:insideH w:val="nil"/>
              <w:insideV w:val="nil"/>
            </w:tcBorders>
            <w:vAlign w:val="center"/>
          </w:tcPr>
          <w:p w14:paraId="5AD00E17">
            <w:pPr>
              <w:keepLines/>
              <w:spacing w:before="0" w:after="0" w:line="240" w:lineRule="auto"/>
              <w:jc w:val="center"/>
            </w:pPr>
            <w:r>
              <w:rPr>
                <w:rFonts w:ascii="Times New Roman" w:hAnsi="Times New Roman" w:eastAsia="Times New Roman"/>
                <w:b/>
                <w:i w:val="0"/>
                <w:color w:val="000000"/>
                <w:sz w:val="18"/>
              </w:rPr>
              <w:t>Composite-index formula</w:t>
            </w:r>
          </w:p>
        </w:tc>
        <w:tc>
          <w:tcPr>
            <w:tcW w:w="2880" w:type="dxa"/>
            <w:tcBorders>
              <w:top w:val="single" w:color="000000" w:sz="8" w:space="0"/>
              <w:left w:val="nil"/>
              <w:bottom w:val="single" w:color="000000" w:sz="8" w:space="0"/>
              <w:right w:val="nil"/>
              <w:insideH w:val="nil"/>
              <w:insideV w:val="nil"/>
            </w:tcBorders>
            <w:vAlign w:val="center"/>
          </w:tcPr>
          <w:p w14:paraId="42408D83">
            <w:pPr>
              <w:keepLines/>
              <w:spacing w:before="0" w:after="0" w:line="240" w:lineRule="auto"/>
              <w:jc w:val="center"/>
            </w:pPr>
            <w:r>
              <w:rPr>
                <w:rFonts w:ascii="Times New Roman" w:hAnsi="Times New Roman" w:eastAsia="Times New Roman"/>
                <w:b/>
                <w:i w:val="0"/>
                <w:color w:val="000000"/>
                <w:sz w:val="18"/>
              </w:rPr>
              <w:t>Implemented observations</w:t>
            </w:r>
          </w:p>
        </w:tc>
      </w:tr>
      <w:tr w14:paraId="7B2E9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14F960F1">
            <w:pPr>
              <w:keepLines/>
              <w:spacing w:before="0" w:after="0" w:line="240" w:lineRule="auto"/>
              <w:jc w:val="left"/>
            </w:pPr>
            <w:r>
              <w:rPr>
                <w:rFonts w:ascii="Times New Roman" w:hAnsi="Times New Roman" w:eastAsia="Times New Roman"/>
                <w:b w:val="0"/>
                <w:i w:val="0"/>
                <w:color w:val="000000"/>
                <w:sz w:val="18"/>
              </w:rPr>
              <w:t>County public services</w:t>
            </w:r>
          </w:p>
        </w:tc>
        <w:tc>
          <w:tcPr>
            <w:tcW w:w="2015" w:type="dxa"/>
            <w:tcBorders>
              <w:top w:val="nil"/>
              <w:left w:val="nil"/>
              <w:bottom w:val="nil"/>
              <w:right w:val="nil"/>
              <w:insideH w:val="nil"/>
              <w:insideV w:val="nil"/>
            </w:tcBorders>
            <w:vAlign w:val="center"/>
          </w:tcPr>
          <w:p w14:paraId="7FDCC239">
            <w:pPr>
              <w:keepLines/>
              <w:spacing w:before="0" w:after="0" w:line="240" w:lineRule="auto"/>
              <w:jc w:val="left"/>
            </w:pPr>
            <w:r>
              <w:rPr>
                <w:rFonts w:ascii="Times New Roman" w:hAnsi="Times New Roman" w:eastAsia="Times New Roman"/>
                <w:b w:val="0"/>
                <w:i w:val="0"/>
                <w:color w:val="000000"/>
                <w:sz w:val="18"/>
              </w:rPr>
              <w:t>County Statistical Yearbook; Health Statistical Yearbook</w:t>
            </w:r>
          </w:p>
        </w:tc>
        <w:tc>
          <w:tcPr>
            <w:tcW w:w="1728" w:type="dxa"/>
            <w:tcBorders>
              <w:top w:val="nil"/>
              <w:left w:val="nil"/>
              <w:bottom w:val="nil"/>
              <w:right w:val="nil"/>
              <w:insideH w:val="nil"/>
              <w:insideV w:val="nil"/>
            </w:tcBorders>
            <w:vAlign w:val="center"/>
          </w:tcPr>
          <w:p w14:paraId="15216458">
            <w:pPr>
              <w:keepLines/>
              <w:spacing w:before="0" w:after="0" w:line="240" w:lineRule="auto"/>
              <w:jc w:val="left"/>
            </w:pPr>
            <w:r>
              <w:rPr>
                <w:rFonts w:ascii="Times New Roman" w:hAnsi="Times New Roman" w:eastAsia="Times New Roman"/>
                <w:b w:val="0"/>
                <w:i w:val="0"/>
                <w:color w:val="000000"/>
                <w:sz w:val="18"/>
              </w:rPr>
              <w:t>PublicServiceCap_ct = Z(Beds) + Z(Doctor) + Z(Edu) + Z(SocialSec)</w:t>
            </w:r>
          </w:p>
        </w:tc>
        <w:tc>
          <w:tcPr>
            <w:tcW w:w="2880" w:type="dxa"/>
            <w:tcBorders>
              <w:top w:val="nil"/>
              <w:left w:val="nil"/>
              <w:bottom w:val="nil"/>
              <w:right w:val="nil"/>
              <w:insideH w:val="nil"/>
              <w:insideV w:val="nil"/>
            </w:tcBorders>
            <w:vAlign w:val="center"/>
          </w:tcPr>
          <w:p w14:paraId="28A12B41">
            <w:pPr>
              <w:keepLines/>
              <w:spacing w:before="0" w:after="0" w:line="240" w:lineRule="auto"/>
              <w:jc w:val="left"/>
            </w:pPr>
            <w:r>
              <w:rPr>
                <w:rFonts w:ascii="Times New Roman" w:hAnsi="Times New Roman" w:eastAsia="Times New Roman"/>
                <w:b w:val="0"/>
                <w:i w:val="0"/>
                <w:color w:val="000000"/>
                <w:sz w:val="18"/>
              </w:rPr>
              <w:t>Balanced county panel for 2,842 county-level units, 2010-2022</w:t>
            </w:r>
          </w:p>
        </w:tc>
      </w:tr>
      <w:tr w14:paraId="0E484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0F9DFD61">
            <w:pPr>
              <w:keepLines/>
              <w:spacing w:before="0" w:after="0" w:line="240" w:lineRule="auto"/>
              <w:jc w:val="left"/>
            </w:pPr>
            <w:r>
              <w:rPr>
                <w:rFonts w:ascii="Times New Roman" w:hAnsi="Times New Roman" w:eastAsia="Times New Roman"/>
                <w:b w:val="0"/>
                <w:i w:val="0"/>
                <w:color w:val="000000"/>
                <w:sz w:val="18"/>
              </w:rPr>
              <w:t>Grassroots governance capacity</w:t>
            </w:r>
          </w:p>
        </w:tc>
        <w:tc>
          <w:tcPr>
            <w:tcW w:w="2015" w:type="dxa"/>
            <w:tcBorders>
              <w:top w:val="nil"/>
              <w:left w:val="nil"/>
              <w:bottom w:val="nil"/>
              <w:right w:val="nil"/>
              <w:insideH w:val="nil"/>
              <w:insideV w:val="nil"/>
            </w:tcBorders>
            <w:vAlign w:val="center"/>
          </w:tcPr>
          <w:p w14:paraId="531460D4">
            <w:pPr>
              <w:keepLines/>
              <w:spacing w:before="0" w:after="0" w:line="240" w:lineRule="auto"/>
              <w:jc w:val="left"/>
            </w:pPr>
            <w:r>
              <w:rPr>
                <w:rFonts w:ascii="Times New Roman" w:hAnsi="Times New Roman" w:eastAsia="Times New Roman"/>
                <w:b w:val="0"/>
                <w:i w:val="0"/>
                <w:color w:val="000000"/>
                <w:sz w:val="18"/>
              </w:rPr>
              <w:t>Fiscal final accounts; Civil Affairs Statistical Yearbook</w:t>
            </w:r>
          </w:p>
        </w:tc>
        <w:tc>
          <w:tcPr>
            <w:tcW w:w="1728" w:type="dxa"/>
            <w:tcBorders>
              <w:top w:val="nil"/>
              <w:left w:val="nil"/>
              <w:bottom w:val="nil"/>
              <w:right w:val="nil"/>
              <w:insideH w:val="nil"/>
              <w:insideV w:val="nil"/>
            </w:tcBorders>
            <w:vAlign w:val="center"/>
          </w:tcPr>
          <w:p w14:paraId="61167F60">
            <w:pPr>
              <w:keepLines/>
              <w:spacing w:before="0" w:after="0" w:line="240" w:lineRule="auto"/>
              <w:jc w:val="left"/>
            </w:pPr>
            <w:r>
              <w:rPr>
                <w:rFonts w:ascii="Times New Roman" w:hAnsi="Times New Roman" w:eastAsia="Times New Roman"/>
                <w:b w:val="0"/>
                <w:i w:val="0"/>
                <w:color w:val="000000"/>
                <w:sz w:val="18"/>
              </w:rPr>
              <w:t>Governance_ct = Z(FiscalEmergency) + Z(CommunityCenter) + Z(SocialStaff)</w:t>
            </w:r>
          </w:p>
        </w:tc>
        <w:tc>
          <w:tcPr>
            <w:tcW w:w="2880" w:type="dxa"/>
            <w:tcBorders>
              <w:top w:val="nil"/>
              <w:left w:val="nil"/>
              <w:bottom w:val="nil"/>
              <w:right w:val="nil"/>
              <w:insideH w:val="nil"/>
              <w:insideV w:val="nil"/>
            </w:tcBorders>
            <w:vAlign w:val="center"/>
          </w:tcPr>
          <w:p w14:paraId="6694016F">
            <w:pPr>
              <w:keepLines/>
              <w:spacing w:before="0" w:after="0" w:line="240" w:lineRule="auto"/>
              <w:jc w:val="left"/>
            </w:pPr>
            <w:r>
              <w:rPr>
                <w:rFonts w:ascii="Times New Roman" w:hAnsi="Times New Roman" w:eastAsia="Times New Roman"/>
                <w:b w:val="0"/>
                <w:i w:val="0"/>
                <w:color w:val="000000"/>
                <w:sz w:val="18"/>
              </w:rPr>
              <w:t>Same county-year panel</w:t>
            </w:r>
          </w:p>
        </w:tc>
      </w:tr>
      <w:tr w14:paraId="531AD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30D2A7DB">
            <w:pPr>
              <w:keepLines/>
              <w:spacing w:before="0" w:after="0" w:line="240" w:lineRule="auto"/>
              <w:jc w:val="left"/>
            </w:pPr>
            <w:r>
              <w:rPr>
                <w:rFonts w:ascii="Times New Roman" w:hAnsi="Times New Roman" w:eastAsia="Times New Roman"/>
                <w:b w:val="0"/>
                <w:i w:val="0"/>
                <w:color w:val="000000"/>
                <w:sz w:val="18"/>
              </w:rPr>
              <w:t>Community organization density</w:t>
            </w:r>
          </w:p>
        </w:tc>
        <w:tc>
          <w:tcPr>
            <w:tcW w:w="2015" w:type="dxa"/>
            <w:tcBorders>
              <w:top w:val="nil"/>
              <w:left w:val="nil"/>
              <w:bottom w:val="nil"/>
              <w:right w:val="nil"/>
              <w:insideH w:val="nil"/>
              <w:insideV w:val="nil"/>
            </w:tcBorders>
            <w:vAlign w:val="center"/>
          </w:tcPr>
          <w:p w14:paraId="22414CA9">
            <w:pPr>
              <w:keepLines/>
              <w:spacing w:before="0" w:after="0" w:line="240" w:lineRule="auto"/>
              <w:jc w:val="left"/>
            </w:pPr>
            <w:r>
              <w:rPr>
                <w:rFonts w:ascii="Times New Roman" w:hAnsi="Times New Roman" w:eastAsia="Times New Roman"/>
                <w:b w:val="0"/>
                <w:i w:val="0"/>
                <w:color w:val="000000"/>
                <w:sz w:val="18"/>
              </w:rPr>
              <w:t>China social-organization platform; civil-affairs annual reports</w:t>
            </w:r>
          </w:p>
        </w:tc>
        <w:tc>
          <w:tcPr>
            <w:tcW w:w="1728" w:type="dxa"/>
            <w:tcBorders>
              <w:top w:val="nil"/>
              <w:left w:val="nil"/>
              <w:bottom w:val="nil"/>
              <w:right w:val="nil"/>
              <w:insideH w:val="nil"/>
              <w:insideV w:val="nil"/>
            </w:tcBorders>
            <w:vAlign w:val="center"/>
          </w:tcPr>
          <w:p w14:paraId="685B679E">
            <w:pPr>
              <w:keepLines/>
              <w:spacing w:before="0" w:after="0" w:line="240" w:lineRule="auto"/>
              <w:jc w:val="left"/>
            </w:pPr>
            <w:r>
              <w:rPr>
                <w:rFonts w:ascii="Times New Roman" w:hAnsi="Times New Roman" w:eastAsia="Times New Roman"/>
                <w:b w:val="0"/>
                <w:i w:val="0"/>
                <w:color w:val="000000"/>
                <w:sz w:val="18"/>
              </w:rPr>
              <w:t>OrgDensity_ct = Z(OrgNum) + Z(Volunteer) + Z(ServiceStation)</w:t>
            </w:r>
          </w:p>
        </w:tc>
        <w:tc>
          <w:tcPr>
            <w:tcW w:w="2880" w:type="dxa"/>
            <w:tcBorders>
              <w:top w:val="nil"/>
              <w:left w:val="nil"/>
              <w:bottom w:val="nil"/>
              <w:right w:val="nil"/>
              <w:insideH w:val="nil"/>
              <w:insideV w:val="nil"/>
            </w:tcBorders>
            <w:vAlign w:val="center"/>
          </w:tcPr>
          <w:p w14:paraId="57690175">
            <w:pPr>
              <w:keepLines/>
              <w:spacing w:before="0" w:after="0" w:line="240" w:lineRule="auto"/>
              <w:jc w:val="left"/>
            </w:pPr>
            <w:r>
              <w:rPr>
                <w:rFonts w:ascii="Times New Roman" w:hAnsi="Times New Roman" w:eastAsia="Times New Roman"/>
                <w:b w:val="0"/>
                <w:i w:val="0"/>
                <w:color w:val="000000"/>
                <w:sz w:val="18"/>
              </w:rPr>
              <w:t>Same county-year panel</w:t>
            </w:r>
          </w:p>
        </w:tc>
      </w:tr>
      <w:tr w14:paraId="3C1C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2BEA2699">
            <w:pPr>
              <w:keepLines/>
              <w:spacing w:before="0" w:after="0" w:line="240" w:lineRule="auto"/>
              <w:jc w:val="left"/>
            </w:pPr>
            <w:r>
              <w:rPr>
                <w:rFonts w:ascii="Times New Roman" w:hAnsi="Times New Roman" w:eastAsia="Times New Roman"/>
                <w:b w:val="0"/>
                <w:i w:val="0"/>
                <w:color w:val="000000"/>
                <w:sz w:val="18"/>
              </w:rPr>
              <w:t>Digital infrastructure</w:t>
            </w:r>
          </w:p>
        </w:tc>
        <w:tc>
          <w:tcPr>
            <w:tcW w:w="2015" w:type="dxa"/>
            <w:tcBorders>
              <w:top w:val="nil"/>
              <w:left w:val="nil"/>
              <w:bottom w:val="single" w:color="000000" w:sz="8" w:space="0"/>
              <w:right w:val="nil"/>
              <w:insideH w:val="nil"/>
              <w:insideV w:val="nil"/>
            </w:tcBorders>
            <w:vAlign w:val="center"/>
          </w:tcPr>
          <w:p w14:paraId="2496C0D9">
            <w:pPr>
              <w:keepLines/>
              <w:spacing w:before="0" w:after="0" w:line="240" w:lineRule="auto"/>
              <w:jc w:val="left"/>
            </w:pPr>
            <w:r>
              <w:rPr>
                <w:rFonts w:ascii="Times New Roman" w:hAnsi="Times New Roman" w:eastAsia="Times New Roman"/>
                <w:b w:val="0"/>
                <w:i w:val="0"/>
                <w:color w:val="000000"/>
                <w:sz w:val="18"/>
              </w:rPr>
              <w:t>Digital financial inclusion index; broadband statistics; night-time lights</w:t>
            </w:r>
          </w:p>
        </w:tc>
        <w:tc>
          <w:tcPr>
            <w:tcW w:w="1728" w:type="dxa"/>
            <w:tcBorders>
              <w:top w:val="nil"/>
              <w:left w:val="nil"/>
              <w:bottom w:val="single" w:color="000000" w:sz="8" w:space="0"/>
              <w:right w:val="nil"/>
              <w:insideH w:val="nil"/>
              <w:insideV w:val="nil"/>
            </w:tcBorders>
            <w:vAlign w:val="center"/>
          </w:tcPr>
          <w:p w14:paraId="4A0D8751">
            <w:pPr>
              <w:keepLines/>
              <w:spacing w:before="0" w:after="0" w:line="240" w:lineRule="auto"/>
              <w:jc w:val="left"/>
            </w:pPr>
            <w:r>
              <w:rPr>
                <w:rFonts w:ascii="Times New Roman" w:hAnsi="Times New Roman" w:eastAsia="Times New Roman"/>
                <w:b w:val="0"/>
                <w:i w:val="0"/>
                <w:color w:val="000000"/>
                <w:sz w:val="18"/>
              </w:rPr>
              <w:t>DigitalInfra_ct = Z(Broadband) + Z(Mobile) + Z(DFI) + Z(NightLight)</w:t>
            </w:r>
          </w:p>
        </w:tc>
        <w:tc>
          <w:tcPr>
            <w:tcW w:w="2880" w:type="dxa"/>
            <w:tcBorders>
              <w:top w:val="nil"/>
              <w:left w:val="nil"/>
              <w:bottom w:val="single" w:color="000000" w:sz="8" w:space="0"/>
              <w:right w:val="nil"/>
              <w:insideH w:val="nil"/>
              <w:insideV w:val="nil"/>
            </w:tcBorders>
            <w:vAlign w:val="center"/>
          </w:tcPr>
          <w:p w14:paraId="758249DA">
            <w:pPr>
              <w:keepLines/>
              <w:spacing w:before="0" w:after="0" w:line="240" w:lineRule="auto"/>
              <w:jc w:val="left"/>
            </w:pPr>
            <w:r>
              <w:rPr>
                <w:rFonts w:ascii="Times New Roman" w:hAnsi="Times New Roman" w:eastAsia="Times New Roman"/>
                <w:b w:val="0"/>
                <w:i w:val="0"/>
                <w:color w:val="000000"/>
                <w:sz w:val="18"/>
              </w:rPr>
              <w:t>Same county-year panel</w:t>
            </w:r>
          </w:p>
        </w:tc>
      </w:tr>
    </w:tbl>
    <w:p w14:paraId="4B3F5479">
      <w:pPr>
        <w:pStyle w:val="168"/>
        <w:keepLines/>
        <w:spacing w:before="60" w:after="60" w:line="240" w:lineRule="auto"/>
        <w:ind w:left="0" w:right="0" w:firstLine="0"/>
        <w:jc w:val="left"/>
      </w:pPr>
      <w:r>
        <w:rPr>
          <w:rFonts w:ascii="Times New Roman" w:hAnsi="Times New Roman" w:eastAsia="Times New Roman"/>
          <w:i/>
          <w:color w:val="000000"/>
          <w:sz w:val="20"/>
        </w:rPr>
        <w:t>Note. Composite indicators are Z-score standardized before summation. Main-text models use standardized indices and robustness checks can report single-component indicators.</w:t>
      </w:r>
    </w:p>
    <w:p w14:paraId="32ADD550">
      <w:pPr>
        <w:pStyle w:val="4"/>
        <w:spacing w:before="160" w:after="80" w:line="276" w:lineRule="auto"/>
        <w:ind w:left="0" w:right="0" w:firstLine="0"/>
        <w:jc w:val="left"/>
      </w:pPr>
      <w:r>
        <w:rPr>
          <w:rFonts w:ascii="Times New Roman" w:hAnsi="Times New Roman" w:eastAsia="Times New Roman"/>
          <w:b/>
          <w:i w:val="0"/>
          <w:color w:val="000000"/>
          <w:sz w:val="24"/>
        </w:rPr>
        <w:t>H.2 Sample screening and spatial matching diagnostics</w:t>
      </w:r>
    </w:p>
    <w:p w14:paraId="3B35D432">
      <w:pPr>
        <w:pStyle w:val="4"/>
        <w:spacing w:before="160" w:after="80" w:line="276" w:lineRule="auto"/>
        <w:ind w:left="0" w:right="0" w:firstLine="0"/>
        <w:jc w:val="left"/>
      </w:pPr>
      <w:r>
        <w:rPr>
          <w:rFonts w:ascii="Times New Roman" w:hAnsi="Times New Roman" w:eastAsia="Times New Roman"/>
          <w:b/>
          <w:i w:val="0"/>
          <w:color w:val="000000"/>
          <w:sz w:val="24"/>
        </w:rPr>
        <w:t>Appendix Table H4. Implemented sample construction</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219FC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7812193E">
            <w:pPr>
              <w:keepLines/>
              <w:spacing w:before="0" w:after="0" w:line="240" w:lineRule="auto"/>
              <w:jc w:val="center"/>
            </w:pPr>
            <w:r>
              <w:rPr>
                <w:rFonts w:ascii="Times New Roman" w:hAnsi="Times New Roman" w:eastAsia="Times New Roman"/>
                <w:b/>
                <w:i w:val="0"/>
                <w:color w:val="000000"/>
                <w:sz w:val="18"/>
              </w:rPr>
              <w:t>Screening step</w:t>
            </w:r>
          </w:p>
        </w:tc>
        <w:tc>
          <w:tcPr>
            <w:tcW w:w="2015" w:type="dxa"/>
            <w:tcBorders>
              <w:top w:val="single" w:color="000000" w:sz="8" w:space="0"/>
              <w:left w:val="nil"/>
              <w:bottom w:val="single" w:color="000000" w:sz="8" w:space="0"/>
              <w:right w:val="nil"/>
              <w:insideH w:val="nil"/>
              <w:insideV w:val="nil"/>
            </w:tcBorders>
            <w:vAlign w:val="center"/>
          </w:tcPr>
          <w:p w14:paraId="0FB251D3">
            <w:pPr>
              <w:keepLines/>
              <w:spacing w:before="0" w:after="0" w:line="240" w:lineRule="auto"/>
              <w:jc w:val="center"/>
            </w:pPr>
            <w:r>
              <w:rPr>
                <w:rFonts w:ascii="Times New Roman" w:hAnsi="Times New Roman" w:eastAsia="Times New Roman"/>
                <w:b/>
                <w:i w:val="0"/>
                <w:color w:val="000000"/>
                <w:sz w:val="18"/>
              </w:rPr>
              <w:t>Dropped observations</w:t>
            </w:r>
          </w:p>
        </w:tc>
        <w:tc>
          <w:tcPr>
            <w:tcW w:w="1728" w:type="dxa"/>
            <w:tcBorders>
              <w:top w:val="single" w:color="000000" w:sz="8" w:space="0"/>
              <w:left w:val="nil"/>
              <w:bottom w:val="single" w:color="000000" w:sz="8" w:space="0"/>
              <w:right w:val="nil"/>
              <w:insideH w:val="nil"/>
              <w:insideV w:val="nil"/>
            </w:tcBorders>
            <w:vAlign w:val="center"/>
          </w:tcPr>
          <w:p w14:paraId="32A4A52F">
            <w:pPr>
              <w:keepLines/>
              <w:spacing w:before="0" w:after="0" w:line="240" w:lineRule="auto"/>
              <w:jc w:val="center"/>
            </w:pPr>
            <w:r>
              <w:rPr>
                <w:rFonts w:ascii="Times New Roman" w:hAnsi="Times New Roman" w:eastAsia="Times New Roman"/>
                <w:b/>
                <w:i w:val="0"/>
                <w:color w:val="000000"/>
                <w:sz w:val="18"/>
              </w:rPr>
              <w:t>Remaining observations</w:t>
            </w:r>
          </w:p>
        </w:tc>
        <w:tc>
          <w:tcPr>
            <w:tcW w:w="2880" w:type="dxa"/>
            <w:tcBorders>
              <w:top w:val="single" w:color="000000" w:sz="8" w:space="0"/>
              <w:left w:val="nil"/>
              <w:bottom w:val="single" w:color="000000" w:sz="8" w:space="0"/>
              <w:right w:val="nil"/>
              <w:insideH w:val="nil"/>
              <w:insideV w:val="nil"/>
            </w:tcBorders>
            <w:vAlign w:val="center"/>
          </w:tcPr>
          <w:p w14:paraId="76153D09">
            <w:pPr>
              <w:keepLines/>
              <w:spacing w:before="0" w:after="0" w:line="240" w:lineRule="auto"/>
              <w:jc w:val="center"/>
            </w:pPr>
            <w:r>
              <w:rPr>
                <w:rFonts w:ascii="Times New Roman" w:hAnsi="Times New Roman" w:eastAsia="Times New Roman"/>
                <w:b/>
                <w:i w:val="0"/>
                <w:color w:val="000000"/>
                <w:sz w:val="18"/>
              </w:rPr>
              <w:t>Execution rule</w:t>
            </w:r>
          </w:p>
        </w:tc>
      </w:tr>
      <w:tr w14:paraId="3C8A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060E03A">
            <w:pPr>
              <w:keepLines/>
              <w:spacing w:before="0" w:after="0" w:line="240" w:lineRule="auto"/>
              <w:jc w:val="left"/>
            </w:pPr>
            <w:r>
              <w:rPr>
                <w:rFonts w:ascii="Times New Roman" w:hAnsi="Times New Roman" w:eastAsia="Times New Roman"/>
                <w:b w:val="0"/>
                <w:i w:val="0"/>
                <w:color w:val="000000"/>
                <w:sz w:val="18"/>
              </w:rPr>
              <w:t>Raw seven-wave CFPS adult merged sample</w:t>
            </w:r>
          </w:p>
        </w:tc>
        <w:tc>
          <w:tcPr>
            <w:tcW w:w="2015" w:type="dxa"/>
            <w:tcBorders>
              <w:top w:val="nil"/>
              <w:left w:val="nil"/>
              <w:bottom w:val="nil"/>
              <w:right w:val="nil"/>
              <w:insideH w:val="nil"/>
              <w:insideV w:val="nil"/>
            </w:tcBorders>
            <w:vAlign w:val="center"/>
          </w:tcPr>
          <w:p w14:paraId="4B615EF4">
            <w:pPr>
              <w:keepLines/>
              <w:spacing w:before="0" w:after="0" w:line="240" w:lineRule="auto"/>
              <w:jc w:val="left"/>
            </w:pPr>
            <w:r>
              <w:rPr>
                <w:rFonts w:ascii="Times New Roman" w:hAnsi="Times New Roman" w:eastAsia="Times New Roman"/>
                <w:b w:val="0"/>
                <w:i w:val="0"/>
                <w:color w:val="000000"/>
                <w:sz w:val="18"/>
              </w:rPr>
              <w:t>-</w:t>
            </w:r>
          </w:p>
        </w:tc>
        <w:tc>
          <w:tcPr>
            <w:tcW w:w="1728" w:type="dxa"/>
            <w:tcBorders>
              <w:top w:val="nil"/>
              <w:left w:val="nil"/>
              <w:bottom w:val="nil"/>
              <w:right w:val="nil"/>
              <w:insideH w:val="nil"/>
              <w:insideV w:val="nil"/>
            </w:tcBorders>
            <w:vAlign w:val="center"/>
          </w:tcPr>
          <w:p w14:paraId="0DE5F502">
            <w:pPr>
              <w:keepLines/>
              <w:spacing w:before="0" w:after="0" w:line="240" w:lineRule="auto"/>
              <w:jc w:val="left"/>
            </w:pPr>
            <w:r>
              <w:rPr>
                <w:rFonts w:ascii="Times New Roman" w:hAnsi="Times New Roman" w:eastAsia="Times New Roman"/>
                <w:b w:val="0"/>
                <w:i w:val="0"/>
                <w:color w:val="000000"/>
                <w:sz w:val="18"/>
              </w:rPr>
              <w:t>189,624</w:t>
            </w:r>
          </w:p>
        </w:tc>
        <w:tc>
          <w:tcPr>
            <w:tcW w:w="2880" w:type="dxa"/>
            <w:tcBorders>
              <w:top w:val="nil"/>
              <w:left w:val="nil"/>
              <w:bottom w:val="nil"/>
              <w:right w:val="nil"/>
              <w:insideH w:val="nil"/>
              <w:insideV w:val="nil"/>
            </w:tcBorders>
            <w:vAlign w:val="center"/>
          </w:tcPr>
          <w:p w14:paraId="74D7825B">
            <w:pPr>
              <w:keepLines/>
              <w:spacing w:before="0" w:after="0" w:line="240" w:lineRule="auto"/>
              <w:jc w:val="left"/>
            </w:pPr>
            <w:r>
              <w:rPr>
                <w:rFonts w:ascii="Times New Roman" w:hAnsi="Times New Roman" w:eastAsia="Times New Roman"/>
                <w:b w:val="0"/>
                <w:i w:val="0"/>
                <w:color w:val="000000"/>
                <w:sz w:val="18"/>
              </w:rPr>
              <w:t>Merge all adult questionnaires from 2010/2012/2014/2016/2018/2020/2022</w:t>
            </w:r>
          </w:p>
        </w:tc>
      </w:tr>
      <w:tr w14:paraId="5A303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DBD10BE">
            <w:pPr>
              <w:keepLines/>
              <w:spacing w:before="0" w:after="0" w:line="240" w:lineRule="auto"/>
              <w:jc w:val="left"/>
            </w:pPr>
            <w:r>
              <w:rPr>
                <w:rFonts w:ascii="Times New Roman" w:hAnsi="Times New Roman" w:eastAsia="Times New Roman"/>
                <w:b w:val="0"/>
                <w:i w:val="0"/>
                <w:color w:val="000000"/>
                <w:sz w:val="18"/>
              </w:rPr>
              <w:t>Remove respondents younger than 18</w:t>
            </w:r>
          </w:p>
        </w:tc>
        <w:tc>
          <w:tcPr>
            <w:tcW w:w="2015" w:type="dxa"/>
            <w:tcBorders>
              <w:top w:val="nil"/>
              <w:left w:val="nil"/>
              <w:bottom w:val="nil"/>
              <w:right w:val="nil"/>
              <w:insideH w:val="nil"/>
              <w:insideV w:val="nil"/>
            </w:tcBorders>
            <w:vAlign w:val="center"/>
          </w:tcPr>
          <w:p w14:paraId="177F4074">
            <w:pPr>
              <w:keepLines/>
              <w:spacing w:before="0" w:after="0" w:line="240" w:lineRule="auto"/>
              <w:jc w:val="left"/>
            </w:pPr>
            <w:r>
              <w:rPr>
                <w:rFonts w:ascii="Times New Roman" w:hAnsi="Times New Roman" w:eastAsia="Times New Roman"/>
                <w:b w:val="0"/>
                <w:i w:val="0"/>
                <w:color w:val="000000"/>
                <w:sz w:val="18"/>
              </w:rPr>
              <w:t>-27,361</w:t>
            </w:r>
          </w:p>
        </w:tc>
        <w:tc>
          <w:tcPr>
            <w:tcW w:w="1728" w:type="dxa"/>
            <w:tcBorders>
              <w:top w:val="nil"/>
              <w:left w:val="nil"/>
              <w:bottom w:val="nil"/>
              <w:right w:val="nil"/>
              <w:insideH w:val="nil"/>
              <w:insideV w:val="nil"/>
            </w:tcBorders>
            <w:vAlign w:val="center"/>
          </w:tcPr>
          <w:p w14:paraId="305B5ADE">
            <w:pPr>
              <w:keepLines/>
              <w:spacing w:before="0" w:after="0" w:line="240" w:lineRule="auto"/>
              <w:jc w:val="left"/>
            </w:pPr>
            <w:r>
              <w:rPr>
                <w:rFonts w:ascii="Times New Roman" w:hAnsi="Times New Roman" w:eastAsia="Times New Roman"/>
                <w:b w:val="0"/>
                <w:i w:val="0"/>
                <w:color w:val="000000"/>
                <w:sz w:val="18"/>
              </w:rPr>
              <w:t>162,263</w:t>
            </w:r>
          </w:p>
        </w:tc>
        <w:tc>
          <w:tcPr>
            <w:tcW w:w="2880" w:type="dxa"/>
            <w:tcBorders>
              <w:top w:val="nil"/>
              <w:left w:val="nil"/>
              <w:bottom w:val="nil"/>
              <w:right w:val="nil"/>
              <w:insideH w:val="nil"/>
              <w:insideV w:val="nil"/>
            </w:tcBorders>
            <w:vAlign w:val="center"/>
          </w:tcPr>
          <w:p w14:paraId="276C45CD">
            <w:pPr>
              <w:keepLines/>
              <w:spacing w:before="0" w:after="0" w:line="240" w:lineRule="auto"/>
              <w:jc w:val="left"/>
            </w:pPr>
            <w:r>
              <w:rPr>
                <w:rFonts w:ascii="Times New Roman" w:hAnsi="Times New Roman" w:eastAsia="Times New Roman"/>
                <w:b w:val="0"/>
                <w:i w:val="0"/>
                <w:color w:val="000000"/>
                <w:sz w:val="18"/>
              </w:rPr>
              <w:t>Drop observations with age &lt; 18</w:t>
            </w:r>
          </w:p>
        </w:tc>
      </w:tr>
      <w:tr w14:paraId="6FC3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4FF4A498">
            <w:pPr>
              <w:keepLines/>
              <w:spacing w:before="0" w:after="0" w:line="240" w:lineRule="auto"/>
              <w:jc w:val="left"/>
            </w:pPr>
            <w:r>
              <w:rPr>
                <w:rFonts w:ascii="Times New Roman" w:hAnsi="Times New Roman" w:eastAsia="Times New Roman"/>
                <w:b w:val="0"/>
                <w:i w:val="0"/>
                <w:color w:val="000000"/>
                <w:sz w:val="18"/>
              </w:rPr>
              <w:t>Remove observations without county geocode</w:t>
            </w:r>
          </w:p>
        </w:tc>
        <w:tc>
          <w:tcPr>
            <w:tcW w:w="2015" w:type="dxa"/>
            <w:tcBorders>
              <w:top w:val="nil"/>
              <w:left w:val="nil"/>
              <w:bottom w:val="nil"/>
              <w:right w:val="nil"/>
              <w:insideH w:val="nil"/>
              <w:insideV w:val="nil"/>
            </w:tcBorders>
            <w:vAlign w:val="center"/>
          </w:tcPr>
          <w:p w14:paraId="07B7E96B">
            <w:pPr>
              <w:keepLines/>
              <w:spacing w:before="0" w:after="0" w:line="240" w:lineRule="auto"/>
              <w:jc w:val="left"/>
            </w:pPr>
            <w:r>
              <w:rPr>
                <w:rFonts w:ascii="Times New Roman" w:hAnsi="Times New Roman" w:eastAsia="Times New Roman"/>
                <w:b w:val="0"/>
                <w:i w:val="0"/>
                <w:color w:val="000000"/>
                <w:sz w:val="18"/>
              </w:rPr>
              <w:t>-21,486</w:t>
            </w:r>
          </w:p>
        </w:tc>
        <w:tc>
          <w:tcPr>
            <w:tcW w:w="1728" w:type="dxa"/>
            <w:tcBorders>
              <w:top w:val="nil"/>
              <w:left w:val="nil"/>
              <w:bottom w:val="nil"/>
              <w:right w:val="nil"/>
              <w:insideH w:val="nil"/>
              <w:insideV w:val="nil"/>
            </w:tcBorders>
            <w:vAlign w:val="center"/>
          </w:tcPr>
          <w:p w14:paraId="5B9024D6">
            <w:pPr>
              <w:keepLines/>
              <w:spacing w:before="0" w:after="0" w:line="240" w:lineRule="auto"/>
              <w:jc w:val="left"/>
            </w:pPr>
            <w:r>
              <w:rPr>
                <w:rFonts w:ascii="Times New Roman" w:hAnsi="Times New Roman" w:eastAsia="Times New Roman"/>
                <w:b w:val="0"/>
                <w:i w:val="0"/>
                <w:color w:val="000000"/>
                <w:sz w:val="18"/>
              </w:rPr>
              <w:t>140,777</w:t>
            </w:r>
          </w:p>
        </w:tc>
        <w:tc>
          <w:tcPr>
            <w:tcW w:w="2880" w:type="dxa"/>
            <w:tcBorders>
              <w:top w:val="nil"/>
              <w:left w:val="nil"/>
              <w:bottom w:val="nil"/>
              <w:right w:val="nil"/>
              <w:insideH w:val="nil"/>
              <w:insideV w:val="nil"/>
            </w:tcBorders>
            <w:vAlign w:val="center"/>
          </w:tcPr>
          <w:p w14:paraId="032CE20D">
            <w:pPr>
              <w:keepLines/>
              <w:spacing w:before="0" w:after="0" w:line="240" w:lineRule="auto"/>
              <w:jc w:val="left"/>
            </w:pPr>
            <w:r>
              <w:rPr>
                <w:rFonts w:ascii="Times New Roman" w:hAnsi="Times New Roman" w:eastAsia="Times New Roman"/>
                <w:b w:val="0"/>
                <w:i w:val="0"/>
                <w:color w:val="000000"/>
                <w:sz w:val="18"/>
              </w:rPr>
              <w:t>Drop observations that cannot be linked to county-level climate aggregation</w:t>
            </w:r>
          </w:p>
        </w:tc>
      </w:tr>
      <w:tr w14:paraId="1327B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010AAB0">
            <w:pPr>
              <w:keepLines/>
              <w:spacing w:before="0" w:after="0" w:line="240" w:lineRule="auto"/>
              <w:jc w:val="left"/>
            </w:pPr>
            <w:r>
              <w:rPr>
                <w:rFonts w:ascii="Times New Roman" w:hAnsi="Times New Roman" w:eastAsia="Times New Roman"/>
                <w:b w:val="0"/>
                <w:i w:val="0"/>
                <w:color w:val="000000"/>
                <w:sz w:val="18"/>
              </w:rPr>
              <w:t>Remove observations with missing core outcome / mechanism variables</w:t>
            </w:r>
          </w:p>
        </w:tc>
        <w:tc>
          <w:tcPr>
            <w:tcW w:w="2015" w:type="dxa"/>
            <w:tcBorders>
              <w:top w:val="nil"/>
              <w:left w:val="nil"/>
              <w:bottom w:val="nil"/>
              <w:right w:val="nil"/>
              <w:insideH w:val="nil"/>
              <w:insideV w:val="nil"/>
            </w:tcBorders>
            <w:vAlign w:val="center"/>
          </w:tcPr>
          <w:p w14:paraId="7384CFE3">
            <w:pPr>
              <w:keepLines/>
              <w:spacing w:before="0" w:after="0" w:line="240" w:lineRule="auto"/>
              <w:jc w:val="left"/>
            </w:pPr>
            <w:r>
              <w:rPr>
                <w:rFonts w:ascii="Times New Roman" w:hAnsi="Times New Roman" w:eastAsia="Times New Roman"/>
                <w:b w:val="0"/>
                <w:i w:val="0"/>
                <w:color w:val="000000"/>
                <w:sz w:val="18"/>
              </w:rPr>
              <w:t>-10,930</w:t>
            </w:r>
          </w:p>
        </w:tc>
        <w:tc>
          <w:tcPr>
            <w:tcW w:w="1728" w:type="dxa"/>
            <w:tcBorders>
              <w:top w:val="nil"/>
              <w:left w:val="nil"/>
              <w:bottom w:val="nil"/>
              <w:right w:val="nil"/>
              <w:insideH w:val="nil"/>
              <w:insideV w:val="nil"/>
            </w:tcBorders>
            <w:vAlign w:val="center"/>
          </w:tcPr>
          <w:p w14:paraId="4B4557EC">
            <w:pPr>
              <w:keepLines/>
              <w:spacing w:before="0" w:after="0" w:line="240" w:lineRule="auto"/>
              <w:jc w:val="left"/>
            </w:pPr>
            <w:r>
              <w:rPr>
                <w:rFonts w:ascii="Times New Roman" w:hAnsi="Times New Roman" w:eastAsia="Times New Roman"/>
                <w:b w:val="0"/>
                <w:i w:val="0"/>
                <w:color w:val="000000"/>
                <w:sz w:val="18"/>
              </w:rPr>
              <w:t>129,847</w:t>
            </w:r>
          </w:p>
        </w:tc>
        <w:tc>
          <w:tcPr>
            <w:tcW w:w="2880" w:type="dxa"/>
            <w:tcBorders>
              <w:top w:val="nil"/>
              <w:left w:val="nil"/>
              <w:bottom w:val="nil"/>
              <w:right w:val="nil"/>
              <w:insideH w:val="nil"/>
              <w:insideV w:val="nil"/>
            </w:tcBorders>
            <w:vAlign w:val="center"/>
          </w:tcPr>
          <w:p w14:paraId="2ED3A001">
            <w:pPr>
              <w:keepLines/>
              <w:spacing w:before="0" w:after="0" w:line="240" w:lineRule="auto"/>
              <w:jc w:val="left"/>
            </w:pPr>
            <w:r>
              <w:rPr>
                <w:rFonts w:ascii="Times New Roman" w:hAnsi="Times New Roman" w:eastAsia="Times New Roman"/>
                <w:b w:val="0"/>
                <w:i w:val="0"/>
                <w:color w:val="000000"/>
                <w:sz w:val="18"/>
              </w:rPr>
              <w:t>Drop observations missing life stability, psychological distress, trust, or reciprocity</w:t>
            </w:r>
          </w:p>
        </w:tc>
      </w:tr>
      <w:tr w14:paraId="5BE4E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9F051FA">
            <w:pPr>
              <w:keepLines/>
              <w:spacing w:before="0" w:after="0" w:line="240" w:lineRule="auto"/>
              <w:jc w:val="left"/>
            </w:pPr>
            <w:r>
              <w:rPr>
                <w:rFonts w:ascii="Times New Roman" w:hAnsi="Times New Roman" w:eastAsia="Times New Roman"/>
                <w:b w:val="0"/>
                <w:i w:val="0"/>
                <w:color w:val="000000"/>
                <w:sz w:val="18"/>
              </w:rPr>
              <w:t>Remove observations missing county climate / governance data</w:t>
            </w:r>
          </w:p>
        </w:tc>
        <w:tc>
          <w:tcPr>
            <w:tcW w:w="2015" w:type="dxa"/>
            <w:tcBorders>
              <w:top w:val="nil"/>
              <w:left w:val="nil"/>
              <w:bottom w:val="nil"/>
              <w:right w:val="nil"/>
              <w:insideH w:val="nil"/>
              <w:insideV w:val="nil"/>
            </w:tcBorders>
            <w:vAlign w:val="center"/>
          </w:tcPr>
          <w:p w14:paraId="47D4BDBC">
            <w:pPr>
              <w:keepLines/>
              <w:spacing w:before="0" w:after="0" w:line="240" w:lineRule="auto"/>
              <w:jc w:val="left"/>
            </w:pPr>
            <w:r>
              <w:rPr>
                <w:rFonts w:ascii="Times New Roman" w:hAnsi="Times New Roman" w:eastAsia="Times New Roman"/>
                <w:b w:val="0"/>
                <w:i w:val="0"/>
                <w:color w:val="000000"/>
                <w:sz w:val="18"/>
              </w:rPr>
              <w:t>-3,000</w:t>
            </w:r>
          </w:p>
        </w:tc>
        <w:tc>
          <w:tcPr>
            <w:tcW w:w="1728" w:type="dxa"/>
            <w:tcBorders>
              <w:top w:val="nil"/>
              <w:left w:val="nil"/>
              <w:bottom w:val="nil"/>
              <w:right w:val="nil"/>
              <w:insideH w:val="nil"/>
              <w:insideV w:val="nil"/>
            </w:tcBorders>
            <w:vAlign w:val="center"/>
          </w:tcPr>
          <w:p w14:paraId="0FEF4533">
            <w:pPr>
              <w:keepLines/>
              <w:spacing w:before="0" w:after="0" w:line="240" w:lineRule="auto"/>
              <w:jc w:val="left"/>
            </w:pPr>
            <w:r>
              <w:rPr>
                <w:rFonts w:ascii="Times New Roman" w:hAnsi="Times New Roman" w:eastAsia="Times New Roman"/>
                <w:b w:val="0"/>
                <w:i w:val="0"/>
                <w:color w:val="000000"/>
                <w:sz w:val="18"/>
              </w:rPr>
              <w:t>126,847</w:t>
            </w:r>
          </w:p>
        </w:tc>
        <w:tc>
          <w:tcPr>
            <w:tcW w:w="2880" w:type="dxa"/>
            <w:tcBorders>
              <w:top w:val="nil"/>
              <w:left w:val="nil"/>
              <w:bottom w:val="nil"/>
              <w:right w:val="nil"/>
              <w:insideH w:val="nil"/>
              <w:insideV w:val="nil"/>
            </w:tcBorders>
            <w:vAlign w:val="center"/>
          </w:tcPr>
          <w:p w14:paraId="12C46F4D">
            <w:pPr>
              <w:keepLines/>
              <w:spacing w:before="0" w:after="0" w:line="240" w:lineRule="auto"/>
              <w:jc w:val="left"/>
            </w:pPr>
            <w:r>
              <w:rPr>
                <w:rFonts w:ascii="Times New Roman" w:hAnsi="Times New Roman" w:eastAsia="Times New Roman"/>
                <w:b w:val="0"/>
                <w:i w:val="0"/>
                <w:color w:val="000000"/>
                <w:sz w:val="18"/>
              </w:rPr>
              <w:t>Final main unbalanced panel</w:t>
            </w:r>
          </w:p>
        </w:tc>
      </w:tr>
      <w:tr w14:paraId="00219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390B4D5A">
            <w:pPr>
              <w:keepLines/>
              <w:spacing w:before="0" w:after="0" w:line="240" w:lineRule="auto"/>
              <w:jc w:val="left"/>
            </w:pPr>
            <w:r>
              <w:rPr>
                <w:rFonts w:ascii="Times New Roman" w:hAnsi="Times New Roman" w:eastAsia="Times New Roman"/>
                <w:b w:val="0"/>
                <w:i w:val="0"/>
                <w:color w:val="000000"/>
                <w:sz w:val="18"/>
              </w:rPr>
              <w:t>Keep respondents tracked in at least five waves</w:t>
            </w:r>
          </w:p>
        </w:tc>
        <w:tc>
          <w:tcPr>
            <w:tcW w:w="2015" w:type="dxa"/>
            <w:tcBorders>
              <w:top w:val="nil"/>
              <w:left w:val="nil"/>
              <w:bottom w:val="single" w:color="000000" w:sz="8" w:space="0"/>
              <w:right w:val="nil"/>
              <w:insideH w:val="nil"/>
              <w:insideV w:val="nil"/>
            </w:tcBorders>
            <w:vAlign w:val="center"/>
          </w:tcPr>
          <w:p w14:paraId="4310C7E3">
            <w:pPr>
              <w:keepLines/>
              <w:spacing w:before="0" w:after="0" w:line="240" w:lineRule="auto"/>
              <w:jc w:val="left"/>
            </w:pPr>
            <w:r>
              <w:rPr>
                <w:rFonts w:ascii="Times New Roman" w:hAnsi="Times New Roman" w:eastAsia="Times New Roman"/>
                <w:b w:val="0"/>
                <w:i w:val="0"/>
                <w:color w:val="000000"/>
                <w:sz w:val="18"/>
              </w:rPr>
              <w:t>-83,155</w:t>
            </w:r>
          </w:p>
        </w:tc>
        <w:tc>
          <w:tcPr>
            <w:tcW w:w="1728" w:type="dxa"/>
            <w:tcBorders>
              <w:top w:val="nil"/>
              <w:left w:val="nil"/>
              <w:bottom w:val="single" w:color="000000" w:sz="8" w:space="0"/>
              <w:right w:val="nil"/>
              <w:insideH w:val="nil"/>
              <w:insideV w:val="nil"/>
            </w:tcBorders>
            <w:vAlign w:val="center"/>
          </w:tcPr>
          <w:p w14:paraId="0676B6C3">
            <w:pPr>
              <w:keepLines/>
              <w:spacing w:before="0" w:after="0" w:line="240" w:lineRule="auto"/>
              <w:jc w:val="left"/>
            </w:pPr>
            <w:r>
              <w:rPr>
                <w:rFonts w:ascii="Times New Roman" w:hAnsi="Times New Roman" w:eastAsia="Times New Roman"/>
                <w:b w:val="0"/>
                <w:i w:val="0"/>
                <w:color w:val="000000"/>
                <w:sz w:val="18"/>
              </w:rPr>
              <w:t>43,692</w:t>
            </w:r>
          </w:p>
        </w:tc>
        <w:tc>
          <w:tcPr>
            <w:tcW w:w="2880" w:type="dxa"/>
            <w:tcBorders>
              <w:top w:val="nil"/>
              <w:left w:val="nil"/>
              <w:bottom w:val="single" w:color="000000" w:sz="8" w:space="0"/>
              <w:right w:val="nil"/>
              <w:insideH w:val="nil"/>
              <w:insideV w:val="nil"/>
            </w:tcBorders>
            <w:vAlign w:val="center"/>
          </w:tcPr>
          <w:p w14:paraId="36A9D0B3">
            <w:pPr>
              <w:keepLines/>
              <w:spacing w:before="0" w:after="0" w:line="240" w:lineRule="auto"/>
              <w:jc w:val="left"/>
            </w:pPr>
            <w:r>
              <w:rPr>
                <w:rFonts w:ascii="Times New Roman" w:hAnsi="Times New Roman" w:eastAsia="Times New Roman"/>
                <w:b w:val="0"/>
                <w:i w:val="0"/>
                <w:color w:val="000000"/>
                <w:sz w:val="18"/>
              </w:rPr>
              <w:t>Balanced-panel robustness sample only</w:t>
            </w:r>
          </w:p>
        </w:tc>
      </w:tr>
    </w:tbl>
    <w:p w14:paraId="41EF05F0">
      <w:pPr>
        <w:pStyle w:val="168"/>
        <w:keepLines/>
        <w:spacing w:before="60" w:after="60" w:line="240" w:lineRule="auto"/>
        <w:ind w:left="0" w:right="0" w:firstLine="0"/>
        <w:jc w:val="left"/>
      </w:pPr>
      <w:r>
        <w:rPr>
          <w:rFonts w:ascii="Times New Roman" w:hAnsi="Times New Roman" w:eastAsia="Times New Roman"/>
          <w:i/>
          <w:color w:val="000000"/>
          <w:sz w:val="20"/>
        </w:rPr>
        <w:t>Note. The main analysis uses 126,847 adult-year observations. The 43,692-observation balanced panel is used only for robustness checks.</w:t>
      </w:r>
    </w:p>
    <w:p w14:paraId="32503476">
      <w:pPr>
        <w:pStyle w:val="4"/>
        <w:spacing w:before="160" w:after="80" w:line="276" w:lineRule="auto"/>
        <w:ind w:left="0" w:right="0" w:firstLine="0"/>
        <w:jc w:val="left"/>
      </w:pPr>
      <w:r>
        <w:rPr>
          <w:rFonts w:ascii="Times New Roman" w:hAnsi="Times New Roman" w:eastAsia="Times New Roman"/>
          <w:b/>
          <w:i w:val="0"/>
          <w:color w:val="000000"/>
          <w:sz w:val="24"/>
        </w:rPr>
        <w:t>Appendix Table H5. Spatial matching and administrative-code harmonization diagnostics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3400"/>
        <w:gridCol w:w="3400"/>
        <w:gridCol w:w="3400"/>
      </w:tblGrid>
      <w:tr w14:paraId="35BA7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3168" w:type="dxa"/>
            <w:tcBorders>
              <w:top w:val="single" w:color="000000" w:sz="8" w:space="0"/>
              <w:left w:val="nil"/>
              <w:bottom w:val="single" w:color="000000" w:sz="8" w:space="0"/>
              <w:right w:val="nil"/>
              <w:insideH w:val="nil"/>
              <w:insideV w:val="nil"/>
            </w:tcBorders>
            <w:vAlign w:val="center"/>
          </w:tcPr>
          <w:p w14:paraId="395F166D">
            <w:pPr>
              <w:keepLines/>
              <w:spacing w:before="0" w:after="0" w:line="240" w:lineRule="auto"/>
              <w:jc w:val="center"/>
            </w:pPr>
            <w:r>
              <w:rPr>
                <w:rFonts w:ascii="Times New Roman" w:hAnsi="Times New Roman" w:eastAsia="Times New Roman"/>
                <w:b/>
                <w:i w:val="0"/>
                <w:color w:val="000000"/>
                <w:sz w:val="18"/>
              </w:rPr>
              <w:t>Diagnostic item</w:t>
            </w:r>
          </w:p>
        </w:tc>
        <w:tc>
          <w:tcPr>
            <w:tcW w:w="2880" w:type="dxa"/>
            <w:tcBorders>
              <w:top w:val="single" w:color="000000" w:sz="8" w:space="0"/>
              <w:left w:val="nil"/>
              <w:bottom w:val="single" w:color="000000" w:sz="8" w:space="0"/>
              <w:right w:val="nil"/>
              <w:insideH w:val="nil"/>
              <w:insideV w:val="nil"/>
            </w:tcBorders>
            <w:vAlign w:val="center"/>
          </w:tcPr>
          <w:p w14:paraId="123E8571">
            <w:pPr>
              <w:keepLines/>
              <w:spacing w:before="0" w:after="0" w:line="240" w:lineRule="auto"/>
              <w:jc w:val="center"/>
            </w:pPr>
            <w:r>
              <w:rPr>
                <w:rFonts w:ascii="Times New Roman" w:hAnsi="Times New Roman" w:eastAsia="Times New Roman"/>
                <w:b/>
                <w:i w:val="0"/>
                <w:color w:val="000000"/>
                <w:sz w:val="18"/>
              </w:rPr>
              <w:t>Implemented result</w:t>
            </w:r>
          </w:p>
        </w:tc>
        <w:tc>
          <w:tcPr>
            <w:tcW w:w="3311" w:type="dxa"/>
            <w:tcBorders>
              <w:top w:val="single" w:color="000000" w:sz="8" w:space="0"/>
              <w:left w:val="nil"/>
              <w:bottom w:val="single" w:color="000000" w:sz="8" w:space="0"/>
              <w:right w:val="nil"/>
              <w:insideH w:val="nil"/>
              <w:insideV w:val="nil"/>
            </w:tcBorders>
            <w:vAlign w:val="center"/>
          </w:tcPr>
          <w:p w14:paraId="26ABA18B">
            <w:pPr>
              <w:keepLines/>
              <w:spacing w:before="0" w:after="0" w:line="240" w:lineRule="auto"/>
              <w:jc w:val="center"/>
            </w:pPr>
            <w:r>
              <w:rPr>
                <w:rFonts w:ascii="Times New Roman" w:hAnsi="Times New Roman" w:eastAsia="Times New Roman"/>
                <w:b/>
                <w:i w:val="0"/>
                <w:color w:val="000000"/>
                <w:sz w:val="18"/>
              </w:rPr>
              <w:t>Interpretation</w:t>
            </w:r>
          </w:p>
        </w:tc>
      </w:tr>
      <w:tr w14:paraId="3FECA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6A099D41">
            <w:pPr>
              <w:keepLines/>
              <w:spacing w:before="0" w:after="0" w:line="240" w:lineRule="auto"/>
              <w:jc w:val="left"/>
            </w:pPr>
            <w:r>
              <w:rPr>
                <w:rFonts w:ascii="Times New Roman" w:hAnsi="Times New Roman" w:eastAsia="Times New Roman"/>
                <w:b w:val="0"/>
                <w:i w:val="0"/>
                <w:color w:val="000000"/>
                <w:sz w:val="18"/>
              </w:rPr>
              <w:t>County-code matching success rate</w:t>
            </w:r>
          </w:p>
        </w:tc>
        <w:tc>
          <w:tcPr>
            <w:tcW w:w="2880" w:type="dxa"/>
            <w:tcBorders>
              <w:top w:val="nil"/>
              <w:left w:val="nil"/>
              <w:bottom w:val="nil"/>
              <w:right w:val="nil"/>
              <w:insideH w:val="nil"/>
              <w:insideV w:val="nil"/>
            </w:tcBorders>
            <w:vAlign w:val="center"/>
          </w:tcPr>
          <w:p w14:paraId="5D5BF430">
            <w:pPr>
              <w:keepLines/>
              <w:spacing w:before="0" w:after="0" w:line="240" w:lineRule="auto"/>
              <w:jc w:val="left"/>
            </w:pPr>
            <w:r>
              <w:rPr>
                <w:rFonts w:ascii="Times New Roman" w:hAnsi="Times New Roman" w:eastAsia="Times New Roman"/>
                <w:b w:val="0"/>
                <w:i w:val="0"/>
                <w:color w:val="000000"/>
                <w:sz w:val="18"/>
              </w:rPr>
              <w:t>92.7%</w:t>
            </w:r>
          </w:p>
        </w:tc>
        <w:tc>
          <w:tcPr>
            <w:tcW w:w="3311" w:type="dxa"/>
            <w:tcBorders>
              <w:top w:val="nil"/>
              <w:left w:val="nil"/>
              <w:bottom w:val="nil"/>
              <w:right w:val="nil"/>
              <w:insideH w:val="nil"/>
              <w:insideV w:val="nil"/>
            </w:tcBorders>
            <w:vAlign w:val="center"/>
          </w:tcPr>
          <w:p w14:paraId="36C44E56">
            <w:pPr>
              <w:keepLines/>
              <w:spacing w:before="0" w:after="0" w:line="240" w:lineRule="auto"/>
              <w:jc w:val="left"/>
            </w:pPr>
            <w:r>
              <w:rPr>
                <w:rFonts w:ascii="Times New Roman" w:hAnsi="Times New Roman" w:eastAsia="Times New Roman"/>
                <w:b w:val="0"/>
                <w:i w:val="0"/>
                <w:color w:val="000000"/>
                <w:sz w:val="18"/>
              </w:rPr>
              <w:t>The majority of adult-year observations are linked to restricted county codes and county-year climate/contextual data</w:t>
            </w:r>
          </w:p>
        </w:tc>
      </w:tr>
      <w:tr w14:paraId="10FAB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5FEA04D7">
            <w:pPr>
              <w:keepLines/>
              <w:spacing w:before="0" w:after="0" w:line="240" w:lineRule="auto"/>
              <w:jc w:val="left"/>
            </w:pPr>
            <w:r>
              <w:rPr>
                <w:rFonts w:ascii="Times New Roman" w:hAnsi="Times New Roman" w:eastAsia="Times New Roman"/>
                <w:b w:val="0"/>
                <w:i w:val="0"/>
                <w:color w:val="000000"/>
                <w:sz w:val="18"/>
              </w:rPr>
              <w:t>Unmatched sample share</w:t>
            </w:r>
          </w:p>
        </w:tc>
        <w:tc>
          <w:tcPr>
            <w:tcW w:w="2880" w:type="dxa"/>
            <w:tcBorders>
              <w:top w:val="nil"/>
              <w:left w:val="nil"/>
              <w:bottom w:val="nil"/>
              <w:right w:val="nil"/>
              <w:insideH w:val="nil"/>
              <w:insideV w:val="nil"/>
            </w:tcBorders>
            <w:vAlign w:val="center"/>
          </w:tcPr>
          <w:p w14:paraId="780BC420">
            <w:pPr>
              <w:keepLines/>
              <w:spacing w:before="0" w:after="0" w:line="240" w:lineRule="auto"/>
              <w:jc w:val="left"/>
            </w:pPr>
            <w:r>
              <w:rPr>
                <w:rFonts w:ascii="Times New Roman" w:hAnsi="Times New Roman" w:eastAsia="Times New Roman"/>
                <w:b w:val="0"/>
                <w:i w:val="0"/>
                <w:color w:val="000000"/>
                <w:sz w:val="18"/>
              </w:rPr>
              <w:t>7.3%</w:t>
            </w:r>
          </w:p>
        </w:tc>
        <w:tc>
          <w:tcPr>
            <w:tcW w:w="3311" w:type="dxa"/>
            <w:tcBorders>
              <w:top w:val="nil"/>
              <w:left w:val="nil"/>
              <w:bottom w:val="nil"/>
              <w:right w:val="nil"/>
              <w:insideH w:val="nil"/>
              <w:insideV w:val="nil"/>
            </w:tcBorders>
            <w:vAlign w:val="center"/>
          </w:tcPr>
          <w:p w14:paraId="762F821E">
            <w:pPr>
              <w:keepLines/>
              <w:spacing w:before="0" w:after="0" w:line="240" w:lineRule="auto"/>
              <w:jc w:val="left"/>
            </w:pPr>
            <w:r>
              <w:rPr>
                <w:rFonts w:ascii="Times New Roman" w:hAnsi="Times New Roman" w:eastAsia="Times New Roman"/>
                <w:b w:val="0"/>
                <w:i w:val="0"/>
                <w:color w:val="000000"/>
                <w:sz w:val="18"/>
              </w:rPr>
              <w:t>Mostly new development zones and counties with frequent administrative changes</w:t>
            </w:r>
          </w:p>
        </w:tc>
      </w:tr>
      <w:tr w14:paraId="5024F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639F7991">
            <w:pPr>
              <w:keepLines/>
              <w:spacing w:before="0" w:after="0" w:line="240" w:lineRule="auto"/>
              <w:jc w:val="left"/>
            </w:pPr>
            <w:r>
              <w:rPr>
                <w:rFonts w:ascii="Times New Roman" w:hAnsi="Times New Roman" w:eastAsia="Times New Roman"/>
                <w:b w:val="0"/>
                <w:i w:val="0"/>
                <w:color w:val="000000"/>
                <w:sz w:val="18"/>
              </w:rPr>
              <w:t>Grid aggregation rule</w:t>
            </w:r>
          </w:p>
        </w:tc>
        <w:tc>
          <w:tcPr>
            <w:tcW w:w="2880" w:type="dxa"/>
            <w:tcBorders>
              <w:top w:val="nil"/>
              <w:left w:val="nil"/>
              <w:bottom w:val="nil"/>
              <w:right w:val="nil"/>
              <w:insideH w:val="nil"/>
              <w:insideV w:val="nil"/>
            </w:tcBorders>
            <w:vAlign w:val="center"/>
          </w:tcPr>
          <w:p w14:paraId="57302FF9">
            <w:pPr>
              <w:keepLines/>
              <w:spacing w:before="0" w:after="0" w:line="240" w:lineRule="auto"/>
              <w:jc w:val="left"/>
            </w:pPr>
            <w:r>
              <w:rPr>
                <w:rFonts w:ascii="Times New Roman" w:hAnsi="Times New Roman" w:eastAsia="Times New Roman"/>
                <w:b w:val="0"/>
                <w:i w:val="0"/>
                <w:color w:val="000000"/>
                <w:sz w:val="18"/>
              </w:rPr>
              <w:t>Arithmetic mean of all grid cells within the county boundary</w:t>
            </w:r>
          </w:p>
        </w:tc>
        <w:tc>
          <w:tcPr>
            <w:tcW w:w="3311" w:type="dxa"/>
            <w:tcBorders>
              <w:top w:val="nil"/>
              <w:left w:val="nil"/>
              <w:bottom w:val="nil"/>
              <w:right w:val="nil"/>
              <w:insideH w:val="nil"/>
              <w:insideV w:val="nil"/>
            </w:tcBorders>
            <w:vAlign w:val="center"/>
          </w:tcPr>
          <w:p w14:paraId="11EE8F9F">
            <w:pPr>
              <w:keepLines/>
              <w:spacing w:before="0" w:after="0" w:line="240" w:lineRule="auto"/>
              <w:jc w:val="left"/>
            </w:pPr>
            <w:r>
              <w:rPr>
                <w:rFonts w:ascii="Times New Roman" w:hAnsi="Times New Roman" w:eastAsia="Times New Roman"/>
                <w:b w:val="0"/>
                <w:i w:val="0"/>
                <w:color w:val="000000"/>
                <w:sz w:val="18"/>
              </w:rPr>
              <w:t>Preferred county-level climate-exposure aggregation</w:t>
            </w:r>
          </w:p>
        </w:tc>
      </w:tr>
      <w:tr w14:paraId="4D7F6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084C91CE">
            <w:pPr>
              <w:keepLines/>
              <w:spacing w:before="0" w:after="0" w:line="240" w:lineRule="auto"/>
              <w:jc w:val="left"/>
            </w:pPr>
            <w:r>
              <w:rPr>
                <w:rFonts w:ascii="Times New Roman" w:hAnsi="Times New Roman" w:eastAsia="Times New Roman"/>
                <w:b w:val="0"/>
                <w:i w:val="0"/>
                <w:color w:val="000000"/>
                <w:sz w:val="18"/>
              </w:rPr>
              <w:t>Fallback spatial rule</w:t>
            </w:r>
          </w:p>
        </w:tc>
        <w:tc>
          <w:tcPr>
            <w:tcW w:w="2880" w:type="dxa"/>
            <w:tcBorders>
              <w:top w:val="nil"/>
              <w:left w:val="nil"/>
              <w:bottom w:val="nil"/>
              <w:right w:val="nil"/>
              <w:insideH w:val="nil"/>
              <w:insideV w:val="nil"/>
            </w:tcBorders>
            <w:vAlign w:val="center"/>
          </w:tcPr>
          <w:p w14:paraId="58D12DF7">
            <w:pPr>
              <w:keepLines/>
              <w:spacing w:before="0" w:after="0" w:line="240" w:lineRule="auto"/>
              <w:jc w:val="left"/>
            </w:pPr>
            <w:r>
              <w:rPr>
                <w:rFonts w:ascii="Times New Roman" w:hAnsi="Times New Roman" w:eastAsia="Times New Roman"/>
                <w:b w:val="0"/>
                <w:i w:val="0"/>
                <w:color w:val="000000"/>
                <w:sz w:val="18"/>
              </w:rPr>
              <w:t>50-km county-seat buffer mean</w:t>
            </w:r>
          </w:p>
        </w:tc>
        <w:tc>
          <w:tcPr>
            <w:tcW w:w="3311" w:type="dxa"/>
            <w:tcBorders>
              <w:top w:val="nil"/>
              <w:left w:val="nil"/>
              <w:bottom w:val="nil"/>
              <w:right w:val="nil"/>
              <w:insideH w:val="nil"/>
              <w:insideV w:val="nil"/>
            </w:tcBorders>
            <w:vAlign w:val="center"/>
          </w:tcPr>
          <w:p w14:paraId="43073CA5">
            <w:pPr>
              <w:keepLines/>
              <w:spacing w:before="0" w:after="0" w:line="240" w:lineRule="auto"/>
              <w:jc w:val="left"/>
            </w:pPr>
            <w:r>
              <w:rPr>
                <w:rFonts w:ascii="Times New Roman" w:hAnsi="Times New Roman" w:eastAsia="Times New Roman"/>
                <w:b w:val="0"/>
                <w:i w:val="0"/>
                <w:color w:val="000000"/>
                <w:sz w:val="18"/>
              </w:rPr>
              <w:t>Used only when complete county-boundary overlay is unavailable</w:t>
            </w:r>
          </w:p>
        </w:tc>
      </w:tr>
      <w:tr w14:paraId="141E7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3374B797">
            <w:pPr>
              <w:keepLines/>
              <w:spacing w:before="0" w:after="0" w:line="240" w:lineRule="auto"/>
              <w:jc w:val="left"/>
            </w:pPr>
            <w:r>
              <w:rPr>
                <w:rFonts w:ascii="Times New Roman" w:hAnsi="Times New Roman" w:eastAsia="Times New Roman"/>
                <w:b w:val="0"/>
                <w:i w:val="0"/>
                <w:color w:val="000000"/>
                <w:sz w:val="18"/>
              </w:rPr>
              <w:t>Administrative crosswalk</w:t>
            </w:r>
          </w:p>
        </w:tc>
        <w:tc>
          <w:tcPr>
            <w:tcW w:w="2880" w:type="dxa"/>
            <w:tcBorders>
              <w:top w:val="nil"/>
              <w:left w:val="nil"/>
              <w:bottom w:val="nil"/>
              <w:right w:val="nil"/>
              <w:insideH w:val="nil"/>
              <w:insideV w:val="nil"/>
            </w:tcBorders>
            <w:vAlign w:val="center"/>
          </w:tcPr>
          <w:p w14:paraId="37533D97">
            <w:pPr>
              <w:keepLines/>
              <w:spacing w:before="0" w:after="0" w:line="240" w:lineRule="auto"/>
              <w:jc w:val="left"/>
            </w:pPr>
            <w:r>
              <w:rPr>
                <w:rFonts w:ascii="Times New Roman" w:hAnsi="Times New Roman" w:eastAsia="Times New Roman"/>
                <w:b w:val="0"/>
                <w:i w:val="0"/>
                <w:color w:val="000000"/>
                <w:sz w:val="18"/>
              </w:rPr>
              <w:t>Fixed 2015 county administrative baseline</w:t>
            </w:r>
          </w:p>
        </w:tc>
        <w:tc>
          <w:tcPr>
            <w:tcW w:w="3311" w:type="dxa"/>
            <w:tcBorders>
              <w:top w:val="nil"/>
              <w:left w:val="nil"/>
              <w:bottom w:val="nil"/>
              <w:right w:val="nil"/>
              <w:insideH w:val="nil"/>
              <w:insideV w:val="nil"/>
            </w:tcBorders>
            <w:vAlign w:val="center"/>
          </w:tcPr>
          <w:p w14:paraId="40E820B5">
            <w:pPr>
              <w:keepLines/>
              <w:spacing w:before="0" w:after="0" w:line="240" w:lineRule="auto"/>
              <w:jc w:val="left"/>
            </w:pPr>
            <w:r>
              <w:rPr>
                <w:rFonts w:ascii="Times New Roman" w:hAnsi="Times New Roman" w:eastAsia="Times New Roman"/>
                <w:b w:val="0"/>
                <w:i w:val="0"/>
                <w:color w:val="000000"/>
                <w:sz w:val="18"/>
              </w:rPr>
              <w:t>County mergers, county-to-district conversions, and boundary changes are mapped to 2015 codes</w:t>
            </w:r>
          </w:p>
        </w:tc>
      </w:tr>
      <w:tr w14:paraId="0D499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single" w:color="000000" w:sz="8" w:space="0"/>
              <w:right w:val="nil"/>
              <w:insideH w:val="nil"/>
              <w:insideV w:val="nil"/>
            </w:tcBorders>
            <w:vAlign w:val="center"/>
          </w:tcPr>
          <w:p w14:paraId="2C0A667E">
            <w:pPr>
              <w:keepLines/>
              <w:spacing w:before="0" w:after="0" w:line="240" w:lineRule="auto"/>
              <w:jc w:val="left"/>
            </w:pPr>
            <w:r>
              <w:rPr>
                <w:rFonts w:ascii="Times New Roman" w:hAnsi="Times New Roman" w:eastAsia="Times New Roman"/>
                <w:b w:val="0"/>
                <w:i w:val="0"/>
                <w:color w:val="000000"/>
                <w:sz w:val="18"/>
              </w:rPr>
              <w:t>Disclosure protection</w:t>
            </w:r>
          </w:p>
        </w:tc>
        <w:tc>
          <w:tcPr>
            <w:tcW w:w="2880" w:type="dxa"/>
            <w:tcBorders>
              <w:top w:val="nil"/>
              <w:left w:val="nil"/>
              <w:bottom w:val="single" w:color="000000" w:sz="8" w:space="0"/>
              <w:right w:val="nil"/>
              <w:insideH w:val="nil"/>
              <w:insideV w:val="nil"/>
            </w:tcBorders>
            <w:vAlign w:val="center"/>
          </w:tcPr>
          <w:p w14:paraId="06E71FC6">
            <w:pPr>
              <w:keepLines/>
              <w:spacing w:before="0" w:after="0" w:line="240" w:lineRule="auto"/>
              <w:jc w:val="left"/>
            </w:pPr>
            <w:r>
              <w:rPr>
                <w:rFonts w:ascii="Times New Roman" w:hAnsi="Times New Roman" w:eastAsia="Times New Roman"/>
                <w:b w:val="0"/>
                <w:i w:val="0"/>
                <w:color w:val="000000"/>
                <w:sz w:val="18"/>
              </w:rPr>
              <w:t>No county names, coordinates, sample points, or sub-provincial CFPS locations disclosed</w:t>
            </w:r>
          </w:p>
        </w:tc>
        <w:tc>
          <w:tcPr>
            <w:tcW w:w="3311" w:type="dxa"/>
            <w:tcBorders>
              <w:top w:val="nil"/>
              <w:left w:val="nil"/>
              <w:bottom w:val="single" w:color="000000" w:sz="8" w:space="0"/>
              <w:right w:val="nil"/>
              <w:insideH w:val="nil"/>
              <w:insideV w:val="nil"/>
            </w:tcBorders>
            <w:vAlign w:val="center"/>
          </w:tcPr>
          <w:p w14:paraId="3766518A">
            <w:pPr>
              <w:keepLines/>
              <w:spacing w:before="0" w:after="0" w:line="240" w:lineRule="auto"/>
              <w:jc w:val="left"/>
            </w:pPr>
            <w:r>
              <w:rPr>
                <w:rFonts w:ascii="Times New Roman" w:hAnsi="Times New Roman" w:eastAsia="Times New Roman"/>
                <w:b w:val="0"/>
                <w:i w:val="0"/>
                <w:color w:val="000000"/>
                <w:sz w:val="18"/>
              </w:rPr>
              <w:t>Complies with confidential restricted-geography linkage requirements</w:t>
            </w:r>
          </w:p>
        </w:tc>
      </w:tr>
    </w:tbl>
    <w:p w14:paraId="28DC66E3">
      <w:pPr>
        <w:pStyle w:val="168"/>
        <w:keepLines/>
        <w:spacing w:before="60" w:after="60" w:line="240" w:lineRule="auto"/>
        <w:ind w:left="0" w:right="0" w:firstLine="0"/>
        <w:jc w:val="left"/>
      </w:pPr>
      <w:r>
        <w:rPr>
          <w:rFonts w:ascii="Times New Roman" w:hAnsi="Times New Roman" w:eastAsia="Times New Roman"/>
          <w:i/>
          <w:color w:val="000000"/>
          <w:sz w:val="20"/>
        </w:rPr>
        <w:t>Note. The matching file restricted_geo_linkage.dta is stored locally in the authorized encrypted environment and is not included in public replication materials.</w:t>
      </w:r>
    </w:p>
    <w:p w14:paraId="4020AE19">
      <w:pPr>
        <w:pStyle w:val="4"/>
        <w:spacing w:before="160" w:after="80" w:line="276" w:lineRule="auto"/>
        <w:ind w:left="0" w:right="0" w:firstLine="0"/>
        <w:jc w:val="left"/>
      </w:pPr>
      <w:r>
        <w:rPr>
          <w:rFonts w:ascii="Times New Roman" w:hAnsi="Times New Roman" w:eastAsia="Times New Roman"/>
          <w:b/>
          <w:i w:val="0"/>
          <w:color w:val="000000"/>
          <w:sz w:val="24"/>
        </w:rPr>
        <w:t>H.3 Variable construction, reliability, descriptive statistics, and collinearity checks</w:t>
      </w:r>
    </w:p>
    <w:p w14:paraId="2B5E3F96">
      <w:pPr>
        <w:pStyle w:val="4"/>
        <w:spacing w:before="160" w:after="80" w:line="276" w:lineRule="auto"/>
        <w:ind w:left="0" w:right="0" w:firstLine="0"/>
        <w:jc w:val="left"/>
      </w:pPr>
      <w:r>
        <w:rPr>
          <w:rFonts w:ascii="Times New Roman" w:hAnsi="Times New Roman" w:eastAsia="Times New Roman"/>
          <w:b/>
          <w:i w:val="0"/>
          <w:color w:val="000000"/>
          <w:sz w:val="24"/>
        </w:rPr>
        <w:t>Appendix Table H6. Latent-variable item counts, reliability, and missing-value treatment</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1700"/>
        <w:gridCol w:w="1700"/>
        <w:gridCol w:w="1700"/>
        <w:gridCol w:w="1700"/>
        <w:gridCol w:w="1700"/>
        <w:gridCol w:w="1700"/>
      </w:tblGrid>
      <w:tr w14:paraId="07F0A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1944" w:type="dxa"/>
            <w:tcBorders>
              <w:top w:val="single" w:color="000000" w:sz="8" w:space="0"/>
              <w:left w:val="nil"/>
              <w:bottom w:val="single" w:color="000000" w:sz="8" w:space="0"/>
              <w:right w:val="nil"/>
              <w:insideH w:val="nil"/>
              <w:insideV w:val="nil"/>
            </w:tcBorders>
            <w:vAlign w:val="center"/>
          </w:tcPr>
          <w:p w14:paraId="4092B0DB">
            <w:pPr>
              <w:keepLines/>
              <w:spacing w:before="0" w:after="0" w:line="240" w:lineRule="auto"/>
              <w:jc w:val="center"/>
            </w:pPr>
            <w:r>
              <w:rPr>
                <w:rFonts w:ascii="Times New Roman" w:hAnsi="Times New Roman" w:eastAsia="Times New Roman"/>
                <w:b/>
                <w:i w:val="0"/>
                <w:color w:val="000000"/>
                <w:sz w:val="18"/>
              </w:rPr>
              <w:t>Latent variable</w:t>
            </w:r>
          </w:p>
        </w:tc>
        <w:tc>
          <w:tcPr>
            <w:tcW w:w="1440" w:type="dxa"/>
            <w:tcBorders>
              <w:top w:val="single" w:color="000000" w:sz="8" w:space="0"/>
              <w:left w:val="nil"/>
              <w:bottom w:val="single" w:color="000000" w:sz="8" w:space="0"/>
              <w:right w:val="nil"/>
              <w:insideH w:val="nil"/>
              <w:insideV w:val="nil"/>
            </w:tcBorders>
            <w:vAlign w:val="center"/>
          </w:tcPr>
          <w:p w14:paraId="06629E1C">
            <w:pPr>
              <w:keepLines/>
              <w:spacing w:before="0" w:after="0" w:line="240" w:lineRule="auto"/>
              <w:jc w:val="center"/>
            </w:pPr>
            <w:r>
              <w:rPr>
                <w:rFonts w:ascii="Times New Roman" w:hAnsi="Times New Roman" w:eastAsia="Times New Roman"/>
                <w:b/>
                <w:i w:val="0"/>
                <w:color w:val="000000"/>
                <w:sz w:val="18"/>
              </w:rPr>
              <w:t>Number of CFPS item components</w:t>
            </w:r>
          </w:p>
        </w:tc>
        <w:tc>
          <w:tcPr>
            <w:tcW w:w="1296" w:type="dxa"/>
            <w:tcBorders>
              <w:top w:val="single" w:color="000000" w:sz="8" w:space="0"/>
              <w:left w:val="nil"/>
              <w:bottom w:val="single" w:color="000000" w:sz="8" w:space="0"/>
              <w:right w:val="nil"/>
              <w:insideH w:val="nil"/>
              <w:insideV w:val="nil"/>
            </w:tcBorders>
            <w:vAlign w:val="center"/>
          </w:tcPr>
          <w:p w14:paraId="4F0B6E6A">
            <w:pPr>
              <w:keepLines/>
              <w:spacing w:before="0" w:after="0" w:line="240" w:lineRule="auto"/>
              <w:jc w:val="center"/>
            </w:pPr>
            <w:r>
              <w:rPr>
                <w:rFonts w:ascii="Times New Roman" w:hAnsi="Times New Roman" w:eastAsia="Times New Roman"/>
                <w:b/>
                <w:i w:val="0"/>
                <w:color w:val="000000"/>
                <w:sz w:val="18"/>
              </w:rPr>
              <w:t>Cronbach alpha</w:t>
            </w:r>
          </w:p>
        </w:tc>
        <w:tc>
          <w:tcPr>
            <w:tcW w:w="1296" w:type="dxa"/>
            <w:tcBorders>
              <w:top w:val="single" w:color="000000" w:sz="8" w:space="0"/>
              <w:left w:val="nil"/>
              <w:bottom w:val="single" w:color="000000" w:sz="8" w:space="0"/>
              <w:right w:val="nil"/>
              <w:insideH w:val="nil"/>
              <w:insideV w:val="nil"/>
            </w:tcBorders>
            <w:vAlign w:val="center"/>
          </w:tcPr>
          <w:p w14:paraId="4235ACA8">
            <w:pPr>
              <w:keepLines/>
              <w:spacing w:before="0" w:after="0" w:line="240" w:lineRule="auto"/>
              <w:jc w:val="center"/>
            </w:pPr>
            <w:r>
              <w:rPr>
                <w:rFonts w:ascii="Times New Roman" w:hAnsi="Times New Roman" w:eastAsia="Times New Roman"/>
                <w:b/>
                <w:i w:val="0"/>
                <w:color w:val="000000"/>
                <w:sz w:val="18"/>
              </w:rPr>
              <w:t>McDonald omega</w:t>
            </w:r>
          </w:p>
        </w:tc>
        <w:tc>
          <w:tcPr>
            <w:tcW w:w="1296" w:type="dxa"/>
            <w:tcBorders>
              <w:top w:val="single" w:color="000000" w:sz="8" w:space="0"/>
              <w:left w:val="nil"/>
              <w:bottom w:val="single" w:color="000000" w:sz="8" w:space="0"/>
              <w:right w:val="nil"/>
              <w:insideH w:val="nil"/>
              <w:insideV w:val="nil"/>
            </w:tcBorders>
            <w:vAlign w:val="center"/>
          </w:tcPr>
          <w:p w14:paraId="6BFACD5C">
            <w:pPr>
              <w:keepLines/>
              <w:spacing w:before="0" w:after="0" w:line="240" w:lineRule="auto"/>
              <w:jc w:val="center"/>
            </w:pPr>
            <w:r>
              <w:rPr>
                <w:rFonts w:ascii="Times New Roman" w:hAnsi="Times New Roman" w:eastAsia="Times New Roman"/>
                <w:b/>
                <w:i w:val="0"/>
                <w:color w:val="000000"/>
                <w:sz w:val="18"/>
              </w:rPr>
              <w:t>PCA first-component share</w:t>
            </w:r>
          </w:p>
        </w:tc>
        <w:tc>
          <w:tcPr>
            <w:tcW w:w="2088" w:type="dxa"/>
            <w:tcBorders>
              <w:top w:val="single" w:color="000000" w:sz="8" w:space="0"/>
              <w:left w:val="nil"/>
              <w:bottom w:val="single" w:color="000000" w:sz="8" w:space="0"/>
              <w:right w:val="nil"/>
              <w:insideH w:val="nil"/>
              <w:insideV w:val="nil"/>
            </w:tcBorders>
            <w:vAlign w:val="center"/>
          </w:tcPr>
          <w:p w14:paraId="4A631A98">
            <w:pPr>
              <w:keepLines/>
              <w:spacing w:before="0" w:after="0" w:line="240" w:lineRule="auto"/>
              <w:jc w:val="center"/>
            </w:pPr>
            <w:r>
              <w:rPr>
                <w:rFonts w:ascii="Times New Roman" w:hAnsi="Times New Roman" w:eastAsia="Times New Roman"/>
                <w:b/>
                <w:i w:val="0"/>
                <w:color w:val="000000"/>
                <w:sz w:val="18"/>
              </w:rPr>
              <w:t>Missing-value treatment</w:t>
            </w:r>
          </w:p>
        </w:tc>
      </w:tr>
      <w:tr w14:paraId="099DA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3842CA95">
            <w:pPr>
              <w:keepLines/>
              <w:spacing w:before="0" w:after="0" w:line="240" w:lineRule="auto"/>
              <w:jc w:val="left"/>
            </w:pPr>
            <w:r>
              <w:rPr>
                <w:rFonts w:ascii="Times New Roman" w:hAnsi="Times New Roman" w:eastAsia="Times New Roman"/>
                <w:b w:val="0"/>
                <w:i w:val="0"/>
                <w:color w:val="000000"/>
                <w:sz w:val="18"/>
              </w:rPr>
              <w:t>LifeStability</w:t>
            </w:r>
          </w:p>
        </w:tc>
        <w:tc>
          <w:tcPr>
            <w:tcW w:w="1440" w:type="dxa"/>
            <w:tcBorders>
              <w:top w:val="nil"/>
              <w:left w:val="nil"/>
              <w:bottom w:val="nil"/>
              <w:right w:val="nil"/>
              <w:insideH w:val="nil"/>
              <w:insideV w:val="nil"/>
            </w:tcBorders>
            <w:vAlign w:val="center"/>
          </w:tcPr>
          <w:p w14:paraId="73F958E9">
            <w:pPr>
              <w:keepLines/>
              <w:spacing w:before="0" w:after="0" w:line="240" w:lineRule="auto"/>
              <w:jc w:val="left"/>
            </w:pPr>
            <w:r>
              <w:rPr>
                <w:rFonts w:ascii="Times New Roman" w:hAnsi="Times New Roman" w:eastAsia="Times New Roman"/>
                <w:b w:val="0"/>
                <w:i w:val="0"/>
                <w:color w:val="000000"/>
                <w:sz w:val="18"/>
              </w:rPr>
              <w:t>6</w:t>
            </w:r>
          </w:p>
        </w:tc>
        <w:tc>
          <w:tcPr>
            <w:tcW w:w="1296" w:type="dxa"/>
            <w:tcBorders>
              <w:top w:val="nil"/>
              <w:left w:val="nil"/>
              <w:bottom w:val="nil"/>
              <w:right w:val="nil"/>
              <w:insideH w:val="nil"/>
              <w:insideV w:val="nil"/>
            </w:tcBorders>
            <w:vAlign w:val="center"/>
          </w:tcPr>
          <w:p w14:paraId="0951F31F">
            <w:pPr>
              <w:keepLines/>
              <w:spacing w:before="0" w:after="0" w:line="240" w:lineRule="auto"/>
              <w:jc w:val="left"/>
            </w:pPr>
            <w:r>
              <w:rPr>
                <w:rFonts w:ascii="Times New Roman" w:hAnsi="Times New Roman" w:eastAsia="Times New Roman"/>
                <w:b w:val="0"/>
                <w:i w:val="0"/>
                <w:color w:val="000000"/>
                <w:sz w:val="18"/>
              </w:rPr>
              <w:t>0.842</w:t>
            </w:r>
          </w:p>
        </w:tc>
        <w:tc>
          <w:tcPr>
            <w:tcW w:w="1296" w:type="dxa"/>
            <w:tcBorders>
              <w:top w:val="nil"/>
              <w:left w:val="nil"/>
              <w:bottom w:val="nil"/>
              <w:right w:val="nil"/>
              <w:insideH w:val="nil"/>
              <w:insideV w:val="nil"/>
            </w:tcBorders>
            <w:vAlign w:val="center"/>
          </w:tcPr>
          <w:p w14:paraId="5BB527A7">
            <w:pPr>
              <w:keepLines/>
              <w:spacing w:before="0" w:after="0" w:line="240" w:lineRule="auto"/>
              <w:jc w:val="left"/>
            </w:pPr>
            <w:r>
              <w:rPr>
                <w:rFonts w:ascii="Times New Roman" w:hAnsi="Times New Roman" w:eastAsia="Times New Roman"/>
                <w:b w:val="0"/>
                <w:i w:val="0"/>
                <w:color w:val="000000"/>
                <w:sz w:val="18"/>
              </w:rPr>
              <w:t>0.851</w:t>
            </w:r>
          </w:p>
        </w:tc>
        <w:tc>
          <w:tcPr>
            <w:tcW w:w="1296" w:type="dxa"/>
            <w:tcBorders>
              <w:top w:val="nil"/>
              <w:left w:val="nil"/>
              <w:bottom w:val="nil"/>
              <w:right w:val="nil"/>
              <w:insideH w:val="nil"/>
              <w:insideV w:val="nil"/>
            </w:tcBorders>
            <w:vAlign w:val="center"/>
          </w:tcPr>
          <w:p w14:paraId="71B086CE">
            <w:pPr>
              <w:keepLines/>
              <w:spacing w:before="0" w:after="0" w:line="240" w:lineRule="auto"/>
              <w:jc w:val="left"/>
            </w:pPr>
            <w:r>
              <w:rPr>
                <w:rFonts w:ascii="Times New Roman" w:hAnsi="Times New Roman" w:eastAsia="Times New Roman"/>
                <w:b w:val="0"/>
                <w:i w:val="0"/>
                <w:color w:val="000000"/>
                <w:sz w:val="18"/>
              </w:rPr>
              <w:t>62.7%</w:t>
            </w:r>
          </w:p>
        </w:tc>
        <w:tc>
          <w:tcPr>
            <w:tcW w:w="2088" w:type="dxa"/>
            <w:tcBorders>
              <w:top w:val="nil"/>
              <w:left w:val="nil"/>
              <w:bottom w:val="nil"/>
              <w:right w:val="nil"/>
              <w:insideH w:val="nil"/>
              <w:insideV w:val="nil"/>
            </w:tcBorders>
            <w:vAlign w:val="center"/>
          </w:tcPr>
          <w:p w14:paraId="769EC432">
            <w:pPr>
              <w:keepLines/>
              <w:spacing w:before="0" w:after="0" w:line="240" w:lineRule="auto"/>
              <w:jc w:val="left"/>
            </w:pPr>
            <w:r>
              <w:rPr>
                <w:rFonts w:ascii="Times New Roman" w:hAnsi="Times New Roman" w:eastAsia="Times New Roman"/>
                <w:b w:val="0"/>
                <w:i w:val="0"/>
                <w:color w:val="000000"/>
                <w:sz w:val="18"/>
              </w:rPr>
              <w:t>Multiple imputation, 5 imputations</w:t>
            </w:r>
          </w:p>
        </w:tc>
      </w:tr>
      <w:tr w14:paraId="55006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62DF3CE2">
            <w:pPr>
              <w:keepLines/>
              <w:spacing w:before="0" w:after="0" w:line="240" w:lineRule="auto"/>
              <w:jc w:val="left"/>
            </w:pPr>
            <w:r>
              <w:rPr>
                <w:rFonts w:ascii="Times New Roman" w:hAnsi="Times New Roman" w:eastAsia="Times New Roman"/>
                <w:b w:val="0"/>
                <w:i w:val="0"/>
                <w:color w:val="000000"/>
                <w:sz w:val="18"/>
              </w:rPr>
              <w:t>PsychDistress</w:t>
            </w:r>
          </w:p>
        </w:tc>
        <w:tc>
          <w:tcPr>
            <w:tcW w:w="1440" w:type="dxa"/>
            <w:tcBorders>
              <w:top w:val="nil"/>
              <w:left w:val="nil"/>
              <w:bottom w:val="nil"/>
              <w:right w:val="nil"/>
              <w:insideH w:val="nil"/>
              <w:insideV w:val="nil"/>
            </w:tcBorders>
            <w:vAlign w:val="center"/>
          </w:tcPr>
          <w:p w14:paraId="526F5BA0">
            <w:pPr>
              <w:keepLines/>
              <w:spacing w:before="0" w:after="0" w:line="240" w:lineRule="auto"/>
              <w:jc w:val="left"/>
            </w:pPr>
            <w:r>
              <w:rPr>
                <w:rFonts w:ascii="Times New Roman" w:hAnsi="Times New Roman" w:eastAsia="Times New Roman"/>
                <w:b w:val="0"/>
                <w:i w:val="0"/>
                <w:color w:val="000000"/>
                <w:sz w:val="18"/>
              </w:rPr>
              <w:t>5</w:t>
            </w:r>
          </w:p>
        </w:tc>
        <w:tc>
          <w:tcPr>
            <w:tcW w:w="1296" w:type="dxa"/>
            <w:tcBorders>
              <w:top w:val="nil"/>
              <w:left w:val="nil"/>
              <w:bottom w:val="nil"/>
              <w:right w:val="nil"/>
              <w:insideH w:val="nil"/>
              <w:insideV w:val="nil"/>
            </w:tcBorders>
            <w:vAlign w:val="center"/>
          </w:tcPr>
          <w:p w14:paraId="67AA69CF">
            <w:pPr>
              <w:keepLines/>
              <w:spacing w:before="0" w:after="0" w:line="240" w:lineRule="auto"/>
              <w:jc w:val="left"/>
            </w:pPr>
            <w:r>
              <w:rPr>
                <w:rFonts w:ascii="Times New Roman" w:hAnsi="Times New Roman" w:eastAsia="Times New Roman"/>
                <w:b w:val="0"/>
                <w:i w:val="0"/>
                <w:color w:val="000000"/>
                <w:sz w:val="18"/>
              </w:rPr>
              <w:t>0.817</w:t>
            </w:r>
          </w:p>
        </w:tc>
        <w:tc>
          <w:tcPr>
            <w:tcW w:w="1296" w:type="dxa"/>
            <w:tcBorders>
              <w:top w:val="nil"/>
              <w:left w:val="nil"/>
              <w:bottom w:val="nil"/>
              <w:right w:val="nil"/>
              <w:insideH w:val="nil"/>
              <w:insideV w:val="nil"/>
            </w:tcBorders>
            <w:vAlign w:val="center"/>
          </w:tcPr>
          <w:p w14:paraId="1271B7F9">
            <w:pPr>
              <w:keepLines/>
              <w:spacing w:before="0" w:after="0" w:line="240" w:lineRule="auto"/>
              <w:jc w:val="left"/>
            </w:pPr>
            <w:r>
              <w:rPr>
                <w:rFonts w:ascii="Times New Roman" w:hAnsi="Times New Roman" w:eastAsia="Times New Roman"/>
                <w:b w:val="0"/>
                <w:i w:val="0"/>
                <w:color w:val="000000"/>
                <w:sz w:val="18"/>
              </w:rPr>
              <w:t>0.824</w:t>
            </w:r>
          </w:p>
        </w:tc>
        <w:tc>
          <w:tcPr>
            <w:tcW w:w="1296" w:type="dxa"/>
            <w:tcBorders>
              <w:top w:val="nil"/>
              <w:left w:val="nil"/>
              <w:bottom w:val="nil"/>
              <w:right w:val="nil"/>
              <w:insideH w:val="nil"/>
              <w:insideV w:val="nil"/>
            </w:tcBorders>
            <w:vAlign w:val="center"/>
          </w:tcPr>
          <w:p w14:paraId="44A8291E">
            <w:pPr>
              <w:keepLines/>
              <w:spacing w:before="0" w:after="0" w:line="240" w:lineRule="auto"/>
              <w:jc w:val="left"/>
            </w:pPr>
            <w:r>
              <w:rPr>
                <w:rFonts w:ascii="Times New Roman" w:hAnsi="Times New Roman" w:eastAsia="Times New Roman"/>
                <w:b w:val="0"/>
                <w:i w:val="0"/>
                <w:color w:val="000000"/>
                <w:sz w:val="18"/>
              </w:rPr>
              <w:t>60.3%</w:t>
            </w:r>
          </w:p>
        </w:tc>
        <w:tc>
          <w:tcPr>
            <w:tcW w:w="2088" w:type="dxa"/>
            <w:tcBorders>
              <w:top w:val="nil"/>
              <w:left w:val="nil"/>
              <w:bottom w:val="nil"/>
              <w:right w:val="nil"/>
              <w:insideH w:val="nil"/>
              <w:insideV w:val="nil"/>
            </w:tcBorders>
            <w:vAlign w:val="center"/>
          </w:tcPr>
          <w:p w14:paraId="007BBAA9">
            <w:pPr>
              <w:keepLines/>
              <w:spacing w:before="0" w:after="0" w:line="240" w:lineRule="auto"/>
              <w:jc w:val="left"/>
            </w:pPr>
            <w:r>
              <w:rPr>
                <w:rFonts w:ascii="Times New Roman" w:hAnsi="Times New Roman" w:eastAsia="Times New Roman"/>
                <w:b w:val="0"/>
                <w:i w:val="0"/>
                <w:color w:val="000000"/>
                <w:sz w:val="18"/>
              </w:rPr>
              <w:t>Multiple imputation, 5 imputations</w:t>
            </w:r>
          </w:p>
        </w:tc>
      </w:tr>
      <w:tr w14:paraId="5BE0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013CB1F9">
            <w:pPr>
              <w:keepLines/>
              <w:spacing w:before="0" w:after="0" w:line="240" w:lineRule="auto"/>
              <w:jc w:val="left"/>
            </w:pPr>
            <w:r>
              <w:rPr>
                <w:rFonts w:ascii="Times New Roman" w:hAnsi="Times New Roman" w:eastAsia="Times New Roman"/>
                <w:b w:val="0"/>
                <w:i w:val="0"/>
                <w:color w:val="000000"/>
                <w:sz w:val="18"/>
              </w:rPr>
              <w:t>Trust</w:t>
            </w:r>
          </w:p>
        </w:tc>
        <w:tc>
          <w:tcPr>
            <w:tcW w:w="1440" w:type="dxa"/>
            <w:tcBorders>
              <w:top w:val="nil"/>
              <w:left w:val="nil"/>
              <w:bottom w:val="nil"/>
              <w:right w:val="nil"/>
              <w:insideH w:val="nil"/>
              <w:insideV w:val="nil"/>
            </w:tcBorders>
            <w:vAlign w:val="center"/>
          </w:tcPr>
          <w:p w14:paraId="42DA5BB0">
            <w:pPr>
              <w:keepLines/>
              <w:spacing w:before="0" w:after="0" w:line="240" w:lineRule="auto"/>
              <w:jc w:val="left"/>
            </w:pPr>
            <w:r>
              <w:rPr>
                <w:rFonts w:ascii="Times New Roman" w:hAnsi="Times New Roman" w:eastAsia="Times New Roman"/>
                <w:b w:val="0"/>
                <w:i w:val="0"/>
                <w:color w:val="000000"/>
                <w:sz w:val="18"/>
              </w:rPr>
              <w:t>4</w:t>
            </w:r>
          </w:p>
        </w:tc>
        <w:tc>
          <w:tcPr>
            <w:tcW w:w="1296" w:type="dxa"/>
            <w:tcBorders>
              <w:top w:val="nil"/>
              <w:left w:val="nil"/>
              <w:bottom w:val="nil"/>
              <w:right w:val="nil"/>
              <w:insideH w:val="nil"/>
              <w:insideV w:val="nil"/>
            </w:tcBorders>
            <w:vAlign w:val="center"/>
          </w:tcPr>
          <w:p w14:paraId="744B5B12">
            <w:pPr>
              <w:keepLines/>
              <w:spacing w:before="0" w:after="0" w:line="240" w:lineRule="auto"/>
              <w:jc w:val="left"/>
            </w:pPr>
            <w:r>
              <w:rPr>
                <w:rFonts w:ascii="Times New Roman" w:hAnsi="Times New Roman" w:eastAsia="Times New Roman"/>
                <w:b w:val="0"/>
                <w:i w:val="0"/>
                <w:color w:val="000000"/>
                <w:sz w:val="18"/>
              </w:rPr>
              <w:t>0.793</w:t>
            </w:r>
          </w:p>
        </w:tc>
        <w:tc>
          <w:tcPr>
            <w:tcW w:w="1296" w:type="dxa"/>
            <w:tcBorders>
              <w:top w:val="nil"/>
              <w:left w:val="nil"/>
              <w:bottom w:val="nil"/>
              <w:right w:val="nil"/>
              <w:insideH w:val="nil"/>
              <w:insideV w:val="nil"/>
            </w:tcBorders>
            <w:vAlign w:val="center"/>
          </w:tcPr>
          <w:p w14:paraId="6855D0E8">
            <w:pPr>
              <w:keepLines/>
              <w:spacing w:before="0" w:after="0" w:line="240" w:lineRule="auto"/>
              <w:jc w:val="left"/>
            </w:pPr>
            <w:r>
              <w:rPr>
                <w:rFonts w:ascii="Times New Roman" w:hAnsi="Times New Roman" w:eastAsia="Times New Roman"/>
                <w:b w:val="0"/>
                <w:i w:val="0"/>
                <w:color w:val="000000"/>
                <w:sz w:val="18"/>
              </w:rPr>
              <w:t>0.801</w:t>
            </w:r>
          </w:p>
        </w:tc>
        <w:tc>
          <w:tcPr>
            <w:tcW w:w="1296" w:type="dxa"/>
            <w:tcBorders>
              <w:top w:val="nil"/>
              <w:left w:val="nil"/>
              <w:bottom w:val="nil"/>
              <w:right w:val="nil"/>
              <w:insideH w:val="nil"/>
              <w:insideV w:val="nil"/>
            </w:tcBorders>
            <w:vAlign w:val="center"/>
          </w:tcPr>
          <w:p w14:paraId="0DC53516">
            <w:pPr>
              <w:keepLines/>
              <w:spacing w:before="0" w:after="0" w:line="240" w:lineRule="auto"/>
              <w:jc w:val="left"/>
            </w:pPr>
            <w:r>
              <w:rPr>
                <w:rFonts w:ascii="Times New Roman" w:hAnsi="Times New Roman" w:eastAsia="Times New Roman"/>
                <w:b w:val="0"/>
                <w:i w:val="0"/>
                <w:color w:val="000000"/>
                <w:sz w:val="18"/>
              </w:rPr>
              <w:t>58.1%</w:t>
            </w:r>
          </w:p>
        </w:tc>
        <w:tc>
          <w:tcPr>
            <w:tcW w:w="2088" w:type="dxa"/>
            <w:tcBorders>
              <w:top w:val="nil"/>
              <w:left w:val="nil"/>
              <w:bottom w:val="nil"/>
              <w:right w:val="nil"/>
              <w:insideH w:val="nil"/>
              <w:insideV w:val="nil"/>
            </w:tcBorders>
            <w:vAlign w:val="center"/>
          </w:tcPr>
          <w:p w14:paraId="5BBF7B05">
            <w:pPr>
              <w:keepLines/>
              <w:spacing w:before="0" w:after="0" w:line="240" w:lineRule="auto"/>
              <w:jc w:val="left"/>
            </w:pPr>
            <w:r>
              <w:rPr>
                <w:rFonts w:ascii="Times New Roman" w:hAnsi="Times New Roman" w:eastAsia="Times New Roman"/>
                <w:b w:val="0"/>
                <w:i w:val="0"/>
                <w:color w:val="000000"/>
                <w:sz w:val="18"/>
              </w:rPr>
              <w:t>Multiple imputation, 5 imputations</w:t>
            </w:r>
          </w:p>
        </w:tc>
      </w:tr>
      <w:tr w14:paraId="7C38F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25492332">
            <w:pPr>
              <w:keepLines/>
              <w:spacing w:before="0" w:after="0" w:line="240" w:lineRule="auto"/>
              <w:jc w:val="left"/>
            </w:pPr>
            <w:r>
              <w:rPr>
                <w:rFonts w:ascii="Times New Roman" w:hAnsi="Times New Roman" w:eastAsia="Times New Roman"/>
                <w:b w:val="0"/>
                <w:i w:val="0"/>
                <w:color w:val="000000"/>
                <w:sz w:val="18"/>
              </w:rPr>
              <w:t>Reciprocity</w:t>
            </w:r>
          </w:p>
        </w:tc>
        <w:tc>
          <w:tcPr>
            <w:tcW w:w="1440" w:type="dxa"/>
            <w:tcBorders>
              <w:top w:val="nil"/>
              <w:left w:val="nil"/>
              <w:bottom w:val="nil"/>
              <w:right w:val="nil"/>
              <w:insideH w:val="nil"/>
              <w:insideV w:val="nil"/>
            </w:tcBorders>
            <w:vAlign w:val="center"/>
          </w:tcPr>
          <w:p w14:paraId="1E315E21">
            <w:pPr>
              <w:keepLines/>
              <w:spacing w:before="0" w:after="0" w:line="240" w:lineRule="auto"/>
              <w:jc w:val="left"/>
            </w:pPr>
            <w:r>
              <w:rPr>
                <w:rFonts w:ascii="Times New Roman" w:hAnsi="Times New Roman" w:eastAsia="Times New Roman"/>
                <w:b w:val="0"/>
                <w:i w:val="0"/>
                <w:color w:val="000000"/>
                <w:sz w:val="18"/>
              </w:rPr>
              <w:t>4</w:t>
            </w:r>
          </w:p>
        </w:tc>
        <w:tc>
          <w:tcPr>
            <w:tcW w:w="1296" w:type="dxa"/>
            <w:tcBorders>
              <w:top w:val="nil"/>
              <w:left w:val="nil"/>
              <w:bottom w:val="nil"/>
              <w:right w:val="nil"/>
              <w:insideH w:val="nil"/>
              <w:insideV w:val="nil"/>
            </w:tcBorders>
            <w:vAlign w:val="center"/>
          </w:tcPr>
          <w:p w14:paraId="3149D370">
            <w:pPr>
              <w:keepLines/>
              <w:spacing w:before="0" w:after="0" w:line="240" w:lineRule="auto"/>
              <w:jc w:val="left"/>
            </w:pPr>
            <w:r>
              <w:rPr>
                <w:rFonts w:ascii="Times New Roman" w:hAnsi="Times New Roman" w:eastAsia="Times New Roman"/>
                <w:b w:val="0"/>
                <w:i w:val="0"/>
                <w:color w:val="000000"/>
                <w:sz w:val="18"/>
              </w:rPr>
              <w:t>0.785</w:t>
            </w:r>
          </w:p>
        </w:tc>
        <w:tc>
          <w:tcPr>
            <w:tcW w:w="1296" w:type="dxa"/>
            <w:tcBorders>
              <w:top w:val="nil"/>
              <w:left w:val="nil"/>
              <w:bottom w:val="nil"/>
              <w:right w:val="nil"/>
              <w:insideH w:val="nil"/>
              <w:insideV w:val="nil"/>
            </w:tcBorders>
            <w:vAlign w:val="center"/>
          </w:tcPr>
          <w:p w14:paraId="52E8D147">
            <w:pPr>
              <w:keepLines/>
              <w:spacing w:before="0" w:after="0" w:line="240" w:lineRule="auto"/>
              <w:jc w:val="left"/>
            </w:pPr>
            <w:r>
              <w:rPr>
                <w:rFonts w:ascii="Times New Roman" w:hAnsi="Times New Roman" w:eastAsia="Times New Roman"/>
                <w:b w:val="0"/>
                <w:i w:val="0"/>
                <w:color w:val="000000"/>
                <w:sz w:val="18"/>
              </w:rPr>
              <w:t>0.792</w:t>
            </w:r>
          </w:p>
        </w:tc>
        <w:tc>
          <w:tcPr>
            <w:tcW w:w="1296" w:type="dxa"/>
            <w:tcBorders>
              <w:top w:val="nil"/>
              <w:left w:val="nil"/>
              <w:bottom w:val="nil"/>
              <w:right w:val="nil"/>
              <w:insideH w:val="nil"/>
              <w:insideV w:val="nil"/>
            </w:tcBorders>
            <w:vAlign w:val="center"/>
          </w:tcPr>
          <w:p w14:paraId="7BBA7E3F">
            <w:pPr>
              <w:keepLines/>
              <w:spacing w:before="0" w:after="0" w:line="240" w:lineRule="auto"/>
              <w:jc w:val="left"/>
            </w:pPr>
            <w:r>
              <w:rPr>
                <w:rFonts w:ascii="Times New Roman" w:hAnsi="Times New Roman" w:eastAsia="Times New Roman"/>
                <w:b w:val="0"/>
                <w:i w:val="0"/>
                <w:color w:val="000000"/>
                <w:sz w:val="18"/>
              </w:rPr>
              <w:t>57.4%</w:t>
            </w:r>
          </w:p>
        </w:tc>
        <w:tc>
          <w:tcPr>
            <w:tcW w:w="2088" w:type="dxa"/>
            <w:tcBorders>
              <w:top w:val="nil"/>
              <w:left w:val="nil"/>
              <w:bottom w:val="nil"/>
              <w:right w:val="nil"/>
              <w:insideH w:val="nil"/>
              <w:insideV w:val="nil"/>
            </w:tcBorders>
            <w:vAlign w:val="center"/>
          </w:tcPr>
          <w:p w14:paraId="3C9CF8CD">
            <w:pPr>
              <w:keepLines/>
              <w:spacing w:before="0" w:after="0" w:line="240" w:lineRule="auto"/>
              <w:jc w:val="left"/>
            </w:pPr>
            <w:r>
              <w:rPr>
                <w:rFonts w:ascii="Times New Roman" w:hAnsi="Times New Roman" w:eastAsia="Times New Roman"/>
                <w:b w:val="0"/>
                <w:i w:val="0"/>
                <w:color w:val="000000"/>
                <w:sz w:val="18"/>
              </w:rPr>
              <w:t>Multiple imputation, 5 imputations</w:t>
            </w:r>
          </w:p>
        </w:tc>
      </w:tr>
      <w:tr w14:paraId="703AD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single" w:color="000000" w:sz="8" w:space="0"/>
              <w:right w:val="nil"/>
              <w:insideH w:val="nil"/>
              <w:insideV w:val="nil"/>
            </w:tcBorders>
            <w:vAlign w:val="center"/>
          </w:tcPr>
          <w:p w14:paraId="512EF2C5">
            <w:pPr>
              <w:keepLines/>
              <w:spacing w:before="0" w:after="0" w:line="240" w:lineRule="auto"/>
              <w:jc w:val="left"/>
            </w:pPr>
            <w:r>
              <w:rPr>
                <w:rFonts w:ascii="Times New Roman" w:hAnsi="Times New Roman" w:eastAsia="Times New Roman"/>
                <w:b w:val="0"/>
                <w:i w:val="0"/>
                <w:color w:val="000000"/>
                <w:sz w:val="18"/>
              </w:rPr>
              <w:t>PublicService</w:t>
            </w:r>
          </w:p>
        </w:tc>
        <w:tc>
          <w:tcPr>
            <w:tcW w:w="1440" w:type="dxa"/>
            <w:tcBorders>
              <w:top w:val="nil"/>
              <w:left w:val="nil"/>
              <w:bottom w:val="single" w:color="000000" w:sz="8" w:space="0"/>
              <w:right w:val="nil"/>
              <w:insideH w:val="nil"/>
              <w:insideV w:val="nil"/>
            </w:tcBorders>
            <w:vAlign w:val="center"/>
          </w:tcPr>
          <w:p w14:paraId="4A3C6028">
            <w:pPr>
              <w:keepLines/>
              <w:spacing w:before="0" w:after="0" w:line="240" w:lineRule="auto"/>
              <w:jc w:val="left"/>
            </w:pPr>
            <w:r>
              <w:rPr>
                <w:rFonts w:ascii="Times New Roman" w:hAnsi="Times New Roman" w:eastAsia="Times New Roman"/>
                <w:b w:val="0"/>
                <w:i w:val="0"/>
                <w:color w:val="000000"/>
                <w:sz w:val="18"/>
              </w:rPr>
              <w:t>5</w:t>
            </w:r>
          </w:p>
        </w:tc>
        <w:tc>
          <w:tcPr>
            <w:tcW w:w="1296" w:type="dxa"/>
            <w:tcBorders>
              <w:top w:val="nil"/>
              <w:left w:val="nil"/>
              <w:bottom w:val="single" w:color="000000" w:sz="8" w:space="0"/>
              <w:right w:val="nil"/>
              <w:insideH w:val="nil"/>
              <w:insideV w:val="nil"/>
            </w:tcBorders>
            <w:vAlign w:val="center"/>
          </w:tcPr>
          <w:p w14:paraId="2CCCEAC3">
            <w:pPr>
              <w:keepLines/>
              <w:spacing w:before="0" w:after="0" w:line="240" w:lineRule="auto"/>
              <w:jc w:val="left"/>
            </w:pPr>
            <w:r>
              <w:rPr>
                <w:rFonts w:ascii="Times New Roman" w:hAnsi="Times New Roman" w:eastAsia="Times New Roman"/>
                <w:b w:val="0"/>
                <w:i w:val="0"/>
                <w:color w:val="000000"/>
                <w:sz w:val="18"/>
              </w:rPr>
              <w:t>0.831</w:t>
            </w:r>
          </w:p>
        </w:tc>
        <w:tc>
          <w:tcPr>
            <w:tcW w:w="1296" w:type="dxa"/>
            <w:tcBorders>
              <w:top w:val="nil"/>
              <w:left w:val="nil"/>
              <w:bottom w:val="single" w:color="000000" w:sz="8" w:space="0"/>
              <w:right w:val="nil"/>
              <w:insideH w:val="nil"/>
              <w:insideV w:val="nil"/>
            </w:tcBorders>
            <w:vAlign w:val="center"/>
          </w:tcPr>
          <w:p w14:paraId="5A87D38F">
            <w:pPr>
              <w:keepLines/>
              <w:spacing w:before="0" w:after="0" w:line="240" w:lineRule="auto"/>
              <w:jc w:val="left"/>
            </w:pPr>
            <w:r>
              <w:rPr>
                <w:rFonts w:ascii="Times New Roman" w:hAnsi="Times New Roman" w:eastAsia="Times New Roman"/>
                <w:b w:val="0"/>
                <w:i w:val="0"/>
                <w:color w:val="000000"/>
                <w:sz w:val="18"/>
              </w:rPr>
              <w:t>0.839</w:t>
            </w:r>
          </w:p>
        </w:tc>
        <w:tc>
          <w:tcPr>
            <w:tcW w:w="1296" w:type="dxa"/>
            <w:tcBorders>
              <w:top w:val="nil"/>
              <w:left w:val="nil"/>
              <w:bottom w:val="single" w:color="000000" w:sz="8" w:space="0"/>
              <w:right w:val="nil"/>
              <w:insideH w:val="nil"/>
              <w:insideV w:val="nil"/>
            </w:tcBorders>
            <w:vAlign w:val="center"/>
          </w:tcPr>
          <w:p w14:paraId="60C21298">
            <w:pPr>
              <w:keepLines/>
              <w:spacing w:before="0" w:after="0" w:line="240" w:lineRule="auto"/>
              <w:jc w:val="left"/>
            </w:pPr>
            <w:r>
              <w:rPr>
                <w:rFonts w:ascii="Times New Roman" w:hAnsi="Times New Roman" w:eastAsia="Times New Roman"/>
                <w:b w:val="0"/>
                <w:i w:val="0"/>
                <w:color w:val="000000"/>
                <w:sz w:val="18"/>
              </w:rPr>
              <w:t>61.2%</w:t>
            </w:r>
          </w:p>
        </w:tc>
        <w:tc>
          <w:tcPr>
            <w:tcW w:w="2088" w:type="dxa"/>
            <w:tcBorders>
              <w:top w:val="nil"/>
              <w:left w:val="nil"/>
              <w:bottom w:val="single" w:color="000000" w:sz="8" w:space="0"/>
              <w:right w:val="nil"/>
              <w:insideH w:val="nil"/>
              <w:insideV w:val="nil"/>
            </w:tcBorders>
            <w:vAlign w:val="center"/>
          </w:tcPr>
          <w:p w14:paraId="20A42236">
            <w:pPr>
              <w:keepLines/>
              <w:spacing w:before="0" w:after="0" w:line="240" w:lineRule="auto"/>
              <w:jc w:val="left"/>
            </w:pPr>
            <w:r>
              <w:rPr>
                <w:rFonts w:ascii="Times New Roman" w:hAnsi="Times New Roman" w:eastAsia="Times New Roman"/>
                <w:b w:val="0"/>
                <w:i w:val="0"/>
                <w:color w:val="000000"/>
                <w:sz w:val="18"/>
              </w:rPr>
              <w:t>Multiple imputation, 5 imputations</w:t>
            </w:r>
          </w:p>
        </w:tc>
      </w:tr>
    </w:tbl>
    <w:p w14:paraId="2B2D92DE">
      <w:pPr>
        <w:pStyle w:val="168"/>
        <w:keepLines/>
        <w:spacing w:before="60" w:after="60" w:line="240" w:lineRule="auto"/>
        <w:ind w:left="0" w:right="0" w:firstLine="0"/>
        <w:jc w:val="left"/>
      </w:pPr>
      <w:r>
        <w:rPr>
          <w:rFonts w:ascii="Times New Roman" w:hAnsi="Times New Roman" w:eastAsia="Times New Roman"/>
          <w:i/>
          <w:color w:val="000000"/>
          <w:sz w:val="20"/>
        </w:rPr>
        <w:t>Note. All reliability coefficients exceed common social-science thresholds. PCA scores are standardized before model estimation.</w:t>
      </w:r>
    </w:p>
    <w:p w14:paraId="561E1C96">
      <w:pPr>
        <w:pStyle w:val="4"/>
        <w:spacing w:before="160" w:after="80" w:line="276" w:lineRule="auto"/>
        <w:ind w:left="0" w:right="0" w:firstLine="0"/>
        <w:jc w:val="left"/>
      </w:pPr>
      <w:r>
        <w:rPr>
          <w:rFonts w:ascii="Times New Roman" w:hAnsi="Times New Roman" w:eastAsia="Times New Roman"/>
          <w:b/>
          <w:i w:val="0"/>
          <w:color w:val="000000"/>
          <w:sz w:val="24"/>
        </w:rPr>
        <w:t>Appendix Table H7. Main-sample descriptive statistics, N = 126,847</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1457"/>
        <w:gridCol w:w="1457"/>
        <w:gridCol w:w="1457"/>
        <w:gridCol w:w="1457"/>
        <w:gridCol w:w="1457"/>
        <w:gridCol w:w="1457"/>
        <w:gridCol w:w="1457"/>
      </w:tblGrid>
      <w:tr w14:paraId="05560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1655" w:type="dxa"/>
            <w:tcBorders>
              <w:top w:val="single" w:color="000000" w:sz="8" w:space="0"/>
              <w:left w:val="nil"/>
              <w:bottom w:val="single" w:color="000000" w:sz="8" w:space="0"/>
              <w:right w:val="nil"/>
              <w:insideH w:val="nil"/>
              <w:insideV w:val="nil"/>
            </w:tcBorders>
            <w:vAlign w:val="center"/>
          </w:tcPr>
          <w:p w14:paraId="22CBE138">
            <w:pPr>
              <w:keepLines/>
              <w:spacing w:before="0" w:after="0" w:line="240" w:lineRule="auto"/>
              <w:jc w:val="center"/>
            </w:pPr>
            <w:r>
              <w:rPr>
                <w:rFonts w:ascii="Times New Roman" w:hAnsi="Times New Roman" w:eastAsia="Times New Roman"/>
                <w:b/>
                <w:i w:val="0"/>
                <w:color w:val="000000"/>
                <w:sz w:val="18"/>
              </w:rPr>
              <w:t>Variable</w:t>
            </w:r>
          </w:p>
        </w:tc>
        <w:tc>
          <w:tcPr>
            <w:tcW w:w="1080" w:type="dxa"/>
            <w:tcBorders>
              <w:top w:val="single" w:color="000000" w:sz="8" w:space="0"/>
              <w:left w:val="nil"/>
              <w:bottom w:val="single" w:color="000000" w:sz="8" w:space="0"/>
              <w:right w:val="nil"/>
              <w:insideH w:val="nil"/>
              <w:insideV w:val="nil"/>
            </w:tcBorders>
            <w:vAlign w:val="center"/>
          </w:tcPr>
          <w:p w14:paraId="33CCBE7A">
            <w:pPr>
              <w:keepLines/>
              <w:spacing w:before="0" w:after="0" w:line="240" w:lineRule="auto"/>
              <w:jc w:val="center"/>
            </w:pPr>
            <w:r>
              <w:rPr>
                <w:rFonts w:ascii="Times New Roman" w:hAnsi="Times New Roman" w:eastAsia="Times New Roman"/>
                <w:b/>
                <w:i w:val="0"/>
                <w:color w:val="000000"/>
                <w:sz w:val="18"/>
              </w:rPr>
              <w:t>N</w:t>
            </w:r>
          </w:p>
        </w:tc>
        <w:tc>
          <w:tcPr>
            <w:tcW w:w="792" w:type="dxa"/>
            <w:tcBorders>
              <w:top w:val="single" w:color="000000" w:sz="8" w:space="0"/>
              <w:left w:val="nil"/>
              <w:bottom w:val="single" w:color="000000" w:sz="8" w:space="0"/>
              <w:right w:val="nil"/>
              <w:insideH w:val="nil"/>
              <w:insideV w:val="nil"/>
            </w:tcBorders>
            <w:vAlign w:val="center"/>
          </w:tcPr>
          <w:p w14:paraId="2E387B95">
            <w:pPr>
              <w:keepLines/>
              <w:spacing w:before="0" w:after="0" w:line="240" w:lineRule="auto"/>
              <w:jc w:val="center"/>
            </w:pPr>
            <w:r>
              <w:rPr>
                <w:rFonts w:ascii="Times New Roman" w:hAnsi="Times New Roman" w:eastAsia="Times New Roman"/>
                <w:b/>
                <w:i w:val="0"/>
                <w:color w:val="000000"/>
                <w:sz w:val="18"/>
              </w:rPr>
              <w:t>Mean</w:t>
            </w:r>
          </w:p>
        </w:tc>
        <w:tc>
          <w:tcPr>
            <w:tcW w:w="792" w:type="dxa"/>
            <w:tcBorders>
              <w:top w:val="single" w:color="000000" w:sz="8" w:space="0"/>
              <w:left w:val="nil"/>
              <w:bottom w:val="single" w:color="000000" w:sz="8" w:space="0"/>
              <w:right w:val="nil"/>
              <w:insideH w:val="nil"/>
              <w:insideV w:val="nil"/>
            </w:tcBorders>
            <w:vAlign w:val="center"/>
          </w:tcPr>
          <w:p w14:paraId="672316E5">
            <w:pPr>
              <w:keepLines/>
              <w:spacing w:before="0" w:after="0" w:line="240" w:lineRule="auto"/>
              <w:jc w:val="center"/>
            </w:pPr>
            <w:r>
              <w:rPr>
                <w:rFonts w:ascii="Times New Roman" w:hAnsi="Times New Roman" w:eastAsia="Times New Roman"/>
                <w:b/>
                <w:i w:val="0"/>
                <w:color w:val="000000"/>
                <w:sz w:val="18"/>
              </w:rPr>
              <w:t>SD</w:t>
            </w:r>
          </w:p>
        </w:tc>
        <w:tc>
          <w:tcPr>
            <w:tcW w:w="936" w:type="dxa"/>
            <w:tcBorders>
              <w:top w:val="single" w:color="000000" w:sz="8" w:space="0"/>
              <w:left w:val="nil"/>
              <w:bottom w:val="single" w:color="000000" w:sz="8" w:space="0"/>
              <w:right w:val="nil"/>
              <w:insideH w:val="nil"/>
              <w:insideV w:val="nil"/>
            </w:tcBorders>
            <w:vAlign w:val="center"/>
          </w:tcPr>
          <w:p w14:paraId="26FE4B1E">
            <w:pPr>
              <w:keepLines/>
              <w:spacing w:before="0" w:after="0" w:line="240" w:lineRule="auto"/>
              <w:jc w:val="center"/>
            </w:pPr>
            <w:r>
              <w:rPr>
                <w:rFonts w:ascii="Times New Roman" w:hAnsi="Times New Roman" w:eastAsia="Times New Roman"/>
                <w:b/>
                <w:i w:val="0"/>
                <w:color w:val="000000"/>
                <w:sz w:val="18"/>
              </w:rPr>
              <w:t>Min</w:t>
            </w:r>
          </w:p>
        </w:tc>
        <w:tc>
          <w:tcPr>
            <w:tcW w:w="936" w:type="dxa"/>
            <w:tcBorders>
              <w:top w:val="single" w:color="000000" w:sz="8" w:space="0"/>
              <w:left w:val="nil"/>
              <w:bottom w:val="single" w:color="000000" w:sz="8" w:space="0"/>
              <w:right w:val="nil"/>
              <w:insideH w:val="nil"/>
              <w:insideV w:val="nil"/>
            </w:tcBorders>
            <w:vAlign w:val="center"/>
          </w:tcPr>
          <w:p w14:paraId="179746C8">
            <w:pPr>
              <w:keepLines/>
              <w:spacing w:before="0" w:after="0" w:line="240" w:lineRule="auto"/>
              <w:jc w:val="center"/>
            </w:pPr>
            <w:r>
              <w:rPr>
                <w:rFonts w:ascii="Times New Roman" w:hAnsi="Times New Roman" w:eastAsia="Times New Roman"/>
                <w:b/>
                <w:i w:val="0"/>
                <w:color w:val="000000"/>
                <w:sz w:val="18"/>
              </w:rPr>
              <w:t>Max</w:t>
            </w:r>
          </w:p>
        </w:tc>
        <w:tc>
          <w:tcPr>
            <w:tcW w:w="3168" w:type="dxa"/>
            <w:tcBorders>
              <w:top w:val="single" w:color="000000" w:sz="8" w:space="0"/>
              <w:left w:val="nil"/>
              <w:bottom w:val="single" w:color="000000" w:sz="8" w:space="0"/>
              <w:right w:val="nil"/>
              <w:insideH w:val="nil"/>
              <w:insideV w:val="nil"/>
            </w:tcBorders>
            <w:vAlign w:val="center"/>
          </w:tcPr>
          <w:p w14:paraId="65560FCD">
            <w:pPr>
              <w:keepLines/>
              <w:spacing w:before="0" w:after="0" w:line="240" w:lineRule="auto"/>
              <w:jc w:val="center"/>
            </w:pPr>
            <w:r>
              <w:rPr>
                <w:rFonts w:ascii="Times New Roman" w:hAnsi="Times New Roman" w:eastAsia="Times New Roman"/>
                <w:b/>
                <w:i w:val="0"/>
                <w:color w:val="000000"/>
                <w:sz w:val="18"/>
              </w:rPr>
              <w:t>Standardized interpretation</w:t>
            </w:r>
          </w:p>
        </w:tc>
      </w:tr>
      <w:tr w14:paraId="6BED9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0CE46C17">
            <w:pPr>
              <w:keepLines/>
              <w:spacing w:before="0" w:after="0" w:line="240" w:lineRule="auto"/>
              <w:jc w:val="left"/>
            </w:pPr>
            <w:r>
              <w:rPr>
                <w:rFonts w:ascii="Times New Roman" w:hAnsi="Times New Roman" w:eastAsia="Times New Roman"/>
                <w:b w:val="0"/>
                <w:i w:val="0"/>
                <w:color w:val="000000"/>
                <w:sz w:val="18"/>
              </w:rPr>
              <w:t>LifeStability</w:t>
            </w:r>
          </w:p>
        </w:tc>
        <w:tc>
          <w:tcPr>
            <w:tcW w:w="1080" w:type="dxa"/>
            <w:tcBorders>
              <w:top w:val="nil"/>
              <w:left w:val="nil"/>
              <w:bottom w:val="nil"/>
              <w:right w:val="nil"/>
              <w:insideH w:val="nil"/>
              <w:insideV w:val="nil"/>
            </w:tcBorders>
            <w:vAlign w:val="center"/>
          </w:tcPr>
          <w:p w14:paraId="3D08F0A5">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4801C348">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26B64651">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68EDD5D1">
            <w:pPr>
              <w:keepLines/>
              <w:spacing w:before="0" w:after="0" w:line="240" w:lineRule="auto"/>
              <w:jc w:val="left"/>
            </w:pPr>
            <w:r>
              <w:rPr>
                <w:rFonts w:ascii="Times New Roman" w:hAnsi="Times New Roman" w:eastAsia="Times New Roman"/>
                <w:b w:val="0"/>
                <w:i w:val="0"/>
                <w:color w:val="000000"/>
                <w:sz w:val="18"/>
              </w:rPr>
              <w:t>-2.741</w:t>
            </w:r>
          </w:p>
        </w:tc>
        <w:tc>
          <w:tcPr>
            <w:tcW w:w="936" w:type="dxa"/>
            <w:tcBorders>
              <w:top w:val="nil"/>
              <w:left w:val="nil"/>
              <w:bottom w:val="nil"/>
              <w:right w:val="nil"/>
              <w:insideH w:val="nil"/>
              <w:insideV w:val="nil"/>
            </w:tcBorders>
            <w:vAlign w:val="center"/>
          </w:tcPr>
          <w:p w14:paraId="15CD9BC2">
            <w:pPr>
              <w:keepLines/>
              <w:spacing w:before="0" w:after="0" w:line="240" w:lineRule="auto"/>
              <w:jc w:val="left"/>
            </w:pPr>
            <w:r>
              <w:rPr>
                <w:rFonts w:ascii="Times New Roman" w:hAnsi="Times New Roman" w:eastAsia="Times New Roman"/>
                <w:b w:val="0"/>
                <w:i w:val="0"/>
                <w:color w:val="000000"/>
                <w:sz w:val="18"/>
              </w:rPr>
              <w:t>3.106</w:t>
            </w:r>
          </w:p>
        </w:tc>
        <w:tc>
          <w:tcPr>
            <w:tcW w:w="3168" w:type="dxa"/>
            <w:tcBorders>
              <w:top w:val="nil"/>
              <w:left w:val="nil"/>
              <w:bottom w:val="nil"/>
              <w:right w:val="nil"/>
              <w:insideH w:val="nil"/>
              <w:insideV w:val="nil"/>
            </w:tcBorders>
            <w:vAlign w:val="center"/>
          </w:tcPr>
          <w:p w14:paraId="635E0FBC">
            <w:pPr>
              <w:keepLines/>
              <w:spacing w:before="0" w:after="0" w:line="240" w:lineRule="auto"/>
              <w:jc w:val="left"/>
            </w:pPr>
            <w:r>
              <w:rPr>
                <w:rFonts w:ascii="Times New Roman" w:hAnsi="Times New Roman" w:eastAsia="Times New Roman"/>
                <w:b w:val="0"/>
                <w:i w:val="0"/>
                <w:color w:val="000000"/>
                <w:sz w:val="18"/>
              </w:rPr>
              <w:t>Higher values indicate more stable livelihood and community life</w:t>
            </w:r>
          </w:p>
        </w:tc>
      </w:tr>
      <w:tr w14:paraId="27012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4F436BD7">
            <w:pPr>
              <w:keepLines/>
              <w:spacing w:before="0" w:after="0" w:line="240" w:lineRule="auto"/>
              <w:jc w:val="left"/>
            </w:pPr>
            <w:r>
              <w:rPr>
                <w:rFonts w:ascii="Times New Roman" w:hAnsi="Times New Roman" w:eastAsia="Times New Roman"/>
                <w:b w:val="0"/>
                <w:i w:val="0"/>
                <w:color w:val="000000"/>
                <w:sz w:val="18"/>
              </w:rPr>
              <w:t>PsychDistress</w:t>
            </w:r>
          </w:p>
        </w:tc>
        <w:tc>
          <w:tcPr>
            <w:tcW w:w="1080" w:type="dxa"/>
            <w:tcBorders>
              <w:top w:val="nil"/>
              <w:left w:val="nil"/>
              <w:bottom w:val="nil"/>
              <w:right w:val="nil"/>
              <w:insideH w:val="nil"/>
              <w:insideV w:val="nil"/>
            </w:tcBorders>
            <w:vAlign w:val="center"/>
          </w:tcPr>
          <w:p w14:paraId="4F64528D">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49E8993B">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190F3B90">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0DA02923">
            <w:pPr>
              <w:keepLines/>
              <w:spacing w:before="0" w:after="0" w:line="240" w:lineRule="auto"/>
              <w:jc w:val="left"/>
            </w:pPr>
            <w:r>
              <w:rPr>
                <w:rFonts w:ascii="Times New Roman" w:hAnsi="Times New Roman" w:eastAsia="Times New Roman"/>
                <w:b w:val="0"/>
                <w:i w:val="0"/>
                <w:color w:val="000000"/>
                <w:sz w:val="18"/>
              </w:rPr>
              <w:t>-2.903</w:t>
            </w:r>
          </w:p>
        </w:tc>
        <w:tc>
          <w:tcPr>
            <w:tcW w:w="936" w:type="dxa"/>
            <w:tcBorders>
              <w:top w:val="nil"/>
              <w:left w:val="nil"/>
              <w:bottom w:val="nil"/>
              <w:right w:val="nil"/>
              <w:insideH w:val="nil"/>
              <w:insideV w:val="nil"/>
            </w:tcBorders>
            <w:vAlign w:val="center"/>
          </w:tcPr>
          <w:p w14:paraId="2A3A0B93">
            <w:pPr>
              <w:keepLines/>
              <w:spacing w:before="0" w:after="0" w:line="240" w:lineRule="auto"/>
              <w:jc w:val="left"/>
            </w:pPr>
            <w:r>
              <w:rPr>
                <w:rFonts w:ascii="Times New Roman" w:hAnsi="Times New Roman" w:eastAsia="Times New Roman"/>
                <w:b w:val="0"/>
                <w:i w:val="0"/>
                <w:color w:val="000000"/>
                <w:sz w:val="18"/>
              </w:rPr>
              <w:t>3.442</w:t>
            </w:r>
          </w:p>
        </w:tc>
        <w:tc>
          <w:tcPr>
            <w:tcW w:w="3168" w:type="dxa"/>
            <w:tcBorders>
              <w:top w:val="nil"/>
              <w:left w:val="nil"/>
              <w:bottom w:val="nil"/>
              <w:right w:val="nil"/>
              <w:insideH w:val="nil"/>
              <w:insideV w:val="nil"/>
            </w:tcBorders>
            <w:vAlign w:val="center"/>
          </w:tcPr>
          <w:p w14:paraId="124762DB">
            <w:pPr>
              <w:keepLines/>
              <w:spacing w:before="0" w:after="0" w:line="240" w:lineRule="auto"/>
              <w:jc w:val="left"/>
            </w:pPr>
            <w:r>
              <w:rPr>
                <w:rFonts w:ascii="Times New Roman" w:hAnsi="Times New Roman" w:eastAsia="Times New Roman"/>
                <w:b w:val="0"/>
                <w:i w:val="0"/>
                <w:color w:val="000000"/>
                <w:sz w:val="18"/>
              </w:rPr>
              <w:t>Higher values indicate stronger psychological distress</w:t>
            </w:r>
          </w:p>
        </w:tc>
      </w:tr>
      <w:tr w14:paraId="4838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68B2CCF8">
            <w:pPr>
              <w:keepLines/>
              <w:spacing w:before="0" w:after="0" w:line="240" w:lineRule="auto"/>
              <w:jc w:val="left"/>
            </w:pPr>
            <w:r>
              <w:rPr>
                <w:rFonts w:ascii="Times New Roman" w:hAnsi="Times New Roman" w:eastAsia="Times New Roman"/>
                <w:b w:val="0"/>
                <w:i w:val="0"/>
                <w:color w:val="000000"/>
                <w:sz w:val="18"/>
              </w:rPr>
              <w:t>MigIntent</w:t>
            </w:r>
          </w:p>
        </w:tc>
        <w:tc>
          <w:tcPr>
            <w:tcW w:w="1080" w:type="dxa"/>
            <w:tcBorders>
              <w:top w:val="nil"/>
              <w:left w:val="nil"/>
              <w:bottom w:val="nil"/>
              <w:right w:val="nil"/>
              <w:insideH w:val="nil"/>
              <w:insideV w:val="nil"/>
            </w:tcBorders>
            <w:vAlign w:val="center"/>
          </w:tcPr>
          <w:p w14:paraId="343A2C87">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09F072DF">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7ED81CE2">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6BA453E0">
            <w:pPr>
              <w:keepLines/>
              <w:spacing w:before="0" w:after="0" w:line="240" w:lineRule="auto"/>
              <w:jc w:val="left"/>
            </w:pPr>
            <w:r>
              <w:rPr>
                <w:rFonts w:ascii="Times New Roman" w:hAnsi="Times New Roman" w:eastAsia="Times New Roman"/>
                <w:b w:val="0"/>
                <w:i w:val="0"/>
                <w:color w:val="000000"/>
                <w:sz w:val="18"/>
              </w:rPr>
              <w:t>-1.885</w:t>
            </w:r>
          </w:p>
        </w:tc>
        <w:tc>
          <w:tcPr>
            <w:tcW w:w="936" w:type="dxa"/>
            <w:tcBorders>
              <w:top w:val="nil"/>
              <w:left w:val="nil"/>
              <w:bottom w:val="nil"/>
              <w:right w:val="nil"/>
              <w:insideH w:val="nil"/>
              <w:insideV w:val="nil"/>
            </w:tcBorders>
            <w:vAlign w:val="center"/>
          </w:tcPr>
          <w:p w14:paraId="70B033F1">
            <w:pPr>
              <w:keepLines/>
              <w:spacing w:before="0" w:after="0" w:line="240" w:lineRule="auto"/>
              <w:jc w:val="left"/>
            </w:pPr>
            <w:r>
              <w:rPr>
                <w:rFonts w:ascii="Times New Roman" w:hAnsi="Times New Roman" w:eastAsia="Times New Roman"/>
                <w:b w:val="0"/>
                <w:i w:val="0"/>
                <w:color w:val="000000"/>
                <w:sz w:val="18"/>
              </w:rPr>
              <w:t>2.967</w:t>
            </w:r>
          </w:p>
        </w:tc>
        <w:tc>
          <w:tcPr>
            <w:tcW w:w="3168" w:type="dxa"/>
            <w:tcBorders>
              <w:top w:val="nil"/>
              <w:left w:val="nil"/>
              <w:bottom w:val="nil"/>
              <w:right w:val="nil"/>
              <w:insideH w:val="nil"/>
              <w:insideV w:val="nil"/>
            </w:tcBorders>
            <w:vAlign w:val="center"/>
          </w:tcPr>
          <w:p w14:paraId="48531FE5">
            <w:pPr>
              <w:keepLines/>
              <w:spacing w:before="0" w:after="0" w:line="240" w:lineRule="auto"/>
              <w:jc w:val="left"/>
            </w:pPr>
            <w:r>
              <w:rPr>
                <w:rFonts w:ascii="Times New Roman" w:hAnsi="Times New Roman" w:eastAsia="Times New Roman"/>
                <w:b w:val="0"/>
                <w:i w:val="0"/>
                <w:color w:val="000000"/>
                <w:sz w:val="18"/>
              </w:rPr>
              <w:t>Higher values indicate stronger migration tendency</w:t>
            </w:r>
          </w:p>
        </w:tc>
      </w:tr>
      <w:tr w14:paraId="25D66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24A5229D">
            <w:pPr>
              <w:keepLines/>
              <w:spacing w:before="0" w:after="0" w:line="240" w:lineRule="auto"/>
              <w:jc w:val="left"/>
            </w:pPr>
            <w:r>
              <w:rPr>
                <w:rFonts w:ascii="Times New Roman" w:hAnsi="Times New Roman" w:eastAsia="Times New Roman"/>
                <w:b w:val="0"/>
                <w:i w:val="0"/>
                <w:color w:val="000000"/>
                <w:sz w:val="18"/>
              </w:rPr>
              <w:t>HeatShock</w:t>
            </w:r>
          </w:p>
        </w:tc>
        <w:tc>
          <w:tcPr>
            <w:tcW w:w="1080" w:type="dxa"/>
            <w:tcBorders>
              <w:top w:val="nil"/>
              <w:left w:val="nil"/>
              <w:bottom w:val="nil"/>
              <w:right w:val="nil"/>
              <w:insideH w:val="nil"/>
              <w:insideV w:val="nil"/>
            </w:tcBorders>
            <w:vAlign w:val="center"/>
          </w:tcPr>
          <w:p w14:paraId="50C1959C">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66168DA0">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1D6153A7">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2890029C">
            <w:pPr>
              <w:keepLines/>
              <w:spacing w:before="0" w:after="0" w:line="240" w:lineRule="auto"/>
              <w:jc w:val="left"/>
            </w:pPr>
            <w:r>
              <w:rPr>
                <w:rFonts w:ascii="Times New Roman" w:hAnsi="Times New Roman" w:eastAsia="Times New Roman"/>
                <w:b w:val="0"/>
                <w:i w:val="0"/>
                <w:color w:val="000000"/>
                <w:sz w:val="18"/>
              </w:rPr>
              <w:t>-1.624</w:t>
            </w:r>
          </w:p>
        </w:tc>
        <w:tc>
          <w:tcPr>
            <w:tcW w:w="936" w:type="dxa"/>
            <w:tcBorders>
              <w:top w:val="nil"/>
              <w:left w:val="nil"/>
              <w:bottom w:val="nil"/>
              <w:right w:val="nil"/>
              <w:insideH w:val="nil"/>
              <w:insideV w:val="nil"/>
            </w:tcBorders>
            <w:vAlign w:val="center"/>
          </w:tcPr>
          <w:p w14:paraId="5E3A7944">
            <w:pPr>
              <w:keepLines/>
              <w:spacing w:before="0" w:after="0" w:line="240" w:lineRule="auto"/>
              <w:jc w:val="left"/>
            </w:pPr>
            <w:r>
              <w:rPr>
                <w:rFonts w:ascii="Times New Roman" w:hAnsi="Times New Roman" w:eastAsia="Times New Roman"/>
                <w:b w:val="0"/>
                <w:i w:val="0"/>
                <w:color w:val="000000"/>
                <w:sz w:val="18"/>
              </w:rPr>
              <w:t>4.215</w:t>
            </w:r>
          </w:p>
        </w:tc>
        <w:tc>
          <w:tcPr>
            <w:tcW w:w="3168" w:type="dxa"/>
            <w:tcBorders>
              <w:top w:val="nil"/>
              <w:left w:val="nil"/>
              <w:bottom w:val="nil"/>
              <w:right w:val="nil"/>
              <w:insideH w:val="nil"/>
              <w:insideV w:val="nil"/>
            </w:tcBorders>
            <w:vAlign w:val="center"/>
          </w:tcPr>
          <w:p w14:paraId="46F28D09">
            <w:pPr>
              <w:keepLines/>
              <w:spacing w:before="0" w:after="0" w:line="240" w:lineRule="auto"/>
              <w:jc w:val="left"/>
            </w:pPr>
            <w:r>
              <w:rPr>
                <w:rFonts w:ascii="Times New Roman" w:hAnsi="Times New Roman" w:eastAsia="Times New Roman"/>
                <w:b w:val="0"/>
                <w:i w:val="0"/>
                <w:color w:val="000000"/>
                <w:sz w:val="18"/>
              </w:rPr>
              <w:t>Standardized annual high-temperature exceedance days</w:t>
            </w:r>
          </w:p>
        </w:tc>
      </w:tr>
      <w:tr w14:paraId="7820C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50C3BAC9">
            <w:pPr>
              <w:keepLines/>
              <w:spacing w:before="0" w:after="0" w:line="240" w:lineRule="auto"/>
              <w:jc w:val="left"/>
            </w:pPr>
            <w:r>
              <w:rPr>
                <w:rFonts w:ascii="Times New Roman" w:hAnsi="Times New Roman" w:eastAsia="Times New Roman"/>
                <w:b w:val="0"/>
                <w:i w:val="0"/>
                <w:color w:val="000000"/>
                <w:sz w:val="18"/>
              </w:rPr>
              <w:t>RainShock</w:t>
            </w:r>
          </w:p>
        </w:tc>
        <w:tc>
          <w:tcPr>
            <w:tcW w:w="1080" w:type="dxa"/>
            <w:tcBorders>
              <w:top w:val="nil"/>
              <w:left w:val="nil"/>
              <w:bottom w:val="nil"/>
              <w:right w:val="nil"/>
              <w:insideH w:val="nil"/>
              <w:insideV w:val="nil"/>
            </w:tcBorders>
            <w:vAlign w:val="center"/>
          </w:tcPr>
          <w:p w14:paraId="2256CA8B">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6E948956">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1BFF0D52">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73E1B893">
            <w:pPr>
              <w:keepLines/>
              <w:spacing w:before="0" w:after="0" w:line="240" w:lineRule="auto"/>
              <w:jc w:val="left"/>
            </w:pPr>
            <w:r>
              <w:rPr>
                <w:rFonts w:ascii="Times New Roman" w:hAnsi="Times New Roman" w:eastAsia="Times New Roman"/>
                <w:b w:val="0"/>
                <w:i w:val="0"/>
                <w:color w:val="000000"/>
                <w:sz w:val="18"/>
              </w:rPr>
              <w:t>-1.773</w:t>
            </w:r>
          </w:p>
        </w:tc>
        <w:tc>
          <w:tcPr>
            <w:tcW w:w="936" w:type="dxa"/>
            <w:tcBorders>
              <w:top w:val="nil"/>
              <w:left w:val="nil"/>
              <w:bottom w:val="nil"/>
              <w:right w:val="nil"/>
              <w:insideH w:val="nil"/>
              <w:insideV w:val="nil"/>
            </w:tcBorders>
            <w:vAlign w:val="center"/>
          </w:tcPr>
          <w:p w14:paraId="738C379E">
            <w:pPr>
              <w:keepLines/>
              <w:spacing w:before="0" w:after="0" w:line="240" w:lineRule="auto"/>
              <w:jc w:val="left"/>
            </w:pPr>
            <w:r>
              <w:rPr>
                <w:rFonts w:ascii="Times New Roman" w:hAnsi="Times New Roman" w:eastAsia="Times New Roman"/>
                <w:b w:val="0"/>
                <w:i w:val="0"/>
                <w:color w:val="000000"/>
                <w:sz w:val="18"/>
              </w:rPr>
              <w:t>3.862</w:t>
            </w:r>
          </w:p>
        </w:tc>
        <w:tc>
          <w:tcPr>
            <w:tcW w:w="3168" w:type="dxa"/>
            <w:tcBorders>
              <w:top w:val="nil"/>
              <w:left w:val="nil"/>
              <w:bottom w:val="nil"/>
              <w:right w:val="nil"/>
              <w:insideH w:val="nil"/>
              <w:insideV w:val="nil"/>
            </w:tcBorders>
            <w:vAlign w:val="center"/>
          </w:tcPr>
          <w:p w14:paraId="5EE18492">
            <w:pPr>
              <w:keepLines/>
              <w:spacing w:before="0" w:after="0" w:line="240" w:lineRule="auto"/>
              <w:jc w:val="left"/>
            </w:pPr>
            <w:r>
              <w:rPr>
                <w:rFonts w:ascii="Times New Roman" w:hAnsi="Times New Roman" w:eastAsia="Times New Roman"/>
                <w:b w:val="0"/>
                <w:i w:val="0"/>
                <w:color w:val="000000"/>
                <w:sz w:val="18"/>
              </w:rPr>
              <w:t>Standardized extreme-rainfall days</w:t>
            </w:r>
          </w:p>
        </w:tc>
      </w:tr>
      <w:tr w14:paraId="286D3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71938D7C">
            <w:pPr>
              <w:keepLines/>
              <w:spacing w:before="0" w:after="0" w:line="240" w:lineRule="auto"/>
              <w:jc w:val="left"/>
            </w:pPr>
            <w:r>
              <w:rPr>
                <w:rFonts w:ascii="Times New Roman" w:hAnsi="Times New Roman" w:eastAsia="Times New Roman"/>
                <w:b w:val="0"/>
                <w:i w:val="0"/>
                <w:color w:val="000000"/>
                <w:sz w:val="18"/>
              </w:rPr>
              <w:t>Drought</w:t>
            </w:r>
          </w:p>
        </w:tc>
        <w:tc>
          <w:tcPr>
            <w:tcW w:w="1080" w:type="dxa"/>
            <w:tcBorders>
              <w:top w:val="nil"/>
              <w:left w:val="nil"/>
              <w:bottom w:val="nil"/>
              <w:right w:val="nil"/>
              <w:insideH w:val="nil"/>
              <w:insideV w:val="nil"/>
            </w:tcBorders>
            <w:vAlign w:val="center"/>
          </w:tcPr>
          <w:p w14:paraId="5D78DC58">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31085945">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3189EB02">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26FB4496">
            <w:pPr>
              <w:keepLines/>
              <w:spacing w:before="0" w:after="0" w:line="240" w:lineRule="auto"/>
              <w:jc w:val="left"/>
            </w:pPr>
            <w:r>
              <w:rPr>
                <w:rFonts w:ascii="Times New Roman" w:hAnsi="Times New Roman" w:eastAsia="Times New Roman"/>
                <w:b w:val="0"/>
                <w:i w:val="0"/>
                <w:color w:val="000000"/>
                <w:sz w:val="18"/>
              </w:rPr>
              <w:t>-2.105</w:t>
            </w:r>
          </w:p>
        </w:tc>
        <w:tc>
          <w:tcPr>
            <w:tcW w:w="936" w:type="dxa"/>
            <w:tcBorders>
              <w:top w:val="nil"/>
              <w:left w:val="nil"/>
              <w:bottom w:val="nil"/>
              <w:right w:val="nil"/>
              <w:insideH w:val="nil"/>
              <w:insideV w:val="nil"/>
            </w:tcBorders>
            <w:vAlign w:val="center"/>
          </w:tcPr>
          <w:p w14:paraId="0A614D3B">
            <w:pPr>
              <w:keepLines/>
              <w:spacing w:before="0" w:after="0" w:line="240" w:lineRule="auto"/>
              <w:jc w:val="left"/>
            </w:pPr>
            <w:r>
              <w:rPr>
                <w:rFonts w:ascii="Times New Roman" w:hAnsi="Times New Roman" w:eastAsia="Times New Roman"/>
                <w:b w:val="0"/>
                <w:i w:val="0"/>
                <w:color w:val="000000"/>
                <w:sz w:val="18"/>
              </w:rPr>
              <w:t>3.571</w:t>
            </w:r>
          </w:p>
        </w:tc>
        <w:tc>
          <w:tcPr>
            <w:tcW w:w="3168" w:type="dxa"/>
            <w:tcBorders>
              <w:top w:val="nil"/>
              <w:left w:val="nil"/>
              <w:bottom w:val="nil"/>
              <w:right w:val="nil"/>
              <w:insideH w:val="nil"/>
              <w:insideV w:val="nil"/>
            </w:tcBorders>
            <w:vAlign w:val="center"/>
          </w:tcPr>
          <w:p w14:paraId="26710228">
            <w:pPr>
              <w:keepLines/>
              <w:spacing w:before="0" w:after="0" w:line="240" w:lineRule="auto"/>
              <w:jc w:val="left"/>
            </w:pPr>
            <w:r>
              <w:rPr>
                <w:rFonts w:ascii="Times New Roman" w:hAnsi="Times New Roman" w:eastAsia="Times New Roman"/>
                <w:b w:val="0"/>
                <w:i w:val="0"/>
                <w:color w:val="000000"/>
                <w:sz w:val="18"/>
              </w:rPr>
              <w:t>Standardized drought exposure</w:t>
            </w:r>
          </w:p>
        </w:tc>
      </w:tr>
      <w:tr w14:paraId="7F72D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4D0EDEF2">
            <w:pPr>
              <w:keepLines/>
              <w:spacing w:before="0" w:after="0" w:line="240" w:lineRule="auto"/>
              <w:jc w:val="left"/>
            </w:pPr>
            <w:r>
              <w:rPr>
                <w:rFonts w:ascii="Times New Roman" w:hAnsi="Times New Roman" w:eastAsia="Times New Roman"/>
                <w:b w:val="0"/>
                <w:i w:val="0"/>
                <w:color w:val="000000"/>
                <w:sz w:val="18"/>
              </w:rPr>
              <w:t>ClimateShock</w:t>
            </w:r>
          </w:p>
        </w:tc>
        <w:tc>
          <w:tcPr>
            <w:tcW w:w="1080" w:type="dxa"/>
            <w:tcBorders>
              <w:top w:val="nil"/>
              <w:left w:val="nil"/>
              <w:bottom w:val="nil"/>
              <w:right w:val="nil"/>
              <w:insideH w:val="nil"/>
              <w:insideV w:val="nil"/>
            </w:tcBorders>
            <w:vAlign w:val="center"/>
          </w:tcPr>
          <w:p w14:paraId="319DDDFB">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2015FF07">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1426865F">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181D53BC">
            <w:pPr>
              <w:keepLines/>
              <w:spacing w:before="0" w:after="0" w:line="240" w:lineRule="auto"/>
              <w:jc w:val="left"/>
            </w:pPr>
            <w:r>
              <w:rPr>
                <w:rFonts w:ascii="Times New Roman" w:hAnsi="Times New Roman" w:eastAsia="Times New Roman"/>
                <w:b w:val="0"/>
                <w:i w:val="0"/>
                <w:color w:val="000000"/>
                <w:sz w:val="18"/>
              </w:rPr>
              <w:t>-2.336</w:t>
            </w:r>
          </w:p>
        </w:tc>
        <w:tc>
          <w:tcPr>
            <w:tcW w:w="936" w:type="dxa"/>
            <w:tcBorders>
              <w:top w:val="nil"/>
              <w:left w:val="nil"/>
              <w:bottom w:val="nil"/>
              <w:right w:val="nil"/>
              <w:insideH w:val="nil"/>
              <w:insideV w:val="nil"/>
            </w:tcBorders>
            <w:vAlign w:val="center"/>
          </w:tcPr>
          <w:p w14:paraId="01BA5454">
            <w:pPr>
              <w:keepLines/>
              <w:spacing w:before="0" w:after="0" w:line="240" w:lineRule="auto"/>
              <w:jc w:val="left"/>
            </w:pPr>
            <w:r>
              <w:rPr>
                <w:rFonts w:ascii="Times New Roman" w:hAnsi="Times New Roman" w:eastAsia="Times New Roman"/>
                <w:b w:val="0"/>
                <w:i w:val="0"/>
                <w:color w:val="000000"/>
                <w:sz w:val="18"/>
              </w:rPr>
              <w:t>4.018</w:t>
            </w:r>
          </w:p>
        </w:tc>
        <w:tc>
          <w:tcPr>
            <w:tcW w:w="3168" w:type="dxa"/>
            <w:tcBorders>
              <w:top w:val="nil"/>
              <w:left w:val="nil"/>
              <w:bottom w:val="nil"/>
              <w:right w:val="nil"/>
              <w:insideH w:val="nil"/>
              <w:insideV w:val="nil"/>
            </w:tcBorders>
            <w:vAlign w:val="center"/>
          </w:tcPr>
          <w:p w14:paraId="37EE4CEC">
            <w:pPr>
              <w:keepLines/>
              <w:spacing w:before="0" w:after="0" w:line="240" w:lineRule="auto"/>
              <w:jc w:val="left"/>
            </w:pPr>
            <w:r>
              <w:rPr>
                <w:rFonts w:ascii="Times New Roman" w:hAnsi="Times New Roman" w:eastAsia="Times New Roman"/>
                <w:b w:val="0"/>
                <w:i w:val="0"/>
                <w:color w:val="000000"/>
                <w:sz w:val="18"/>
              </w:rPr>
              <w:t>Composite climate-shock index</w:t>
            </w:r>
          </w:p>
        </w:tc>
      </w:tr>
      <w:tr w14:paraId="6D0D4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2F2F2664">
            <w:pPr>
              <w:keepLines/>
              <w:spacing w:before="0" w:after="0" w:line="240" w:lineRule="auto"/>
              <w:jc w:val="left"/>
            </w:pPr>
            <w:r>
              <w:rPr>
                <w:rFonts w:ascii="Times New Roman" w:hAnsi="Times New Roman" w:eastAsia="Times New Roman"/>
                <w:b w:val="0"/>
                <w:i w:val="0"/>
                <w:color w:val="000000"/>
                <w:sz w:val="18"/>
              </w:rPr>
              <w:t>Trust</w:t>
            </w:r>
          </w:p>
        </w:tc>
        <w:tc>
          <w:tcPr>
            <w:tcW w:w="1080" w:type="dxa"/>
            <w:tcBorders>
              <w:top w:val="nil"/>
              <w:left w:val="nil"/>
              <w:bottom w:val="nil"/>
              <w:right w:val="nil"/>
              <w:insideH w:val="nil"/>
              <w:insideV w:val="nil"/>
            </w:tcBorders>
            <w:vAlign w:val="center"/>
          </w:tcPr>
          <w:p w14:paraId="202A7333">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54517038">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1E35C6D6">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6A36BE2F">
            <w:pPr>
              <w:keepLines/>
              <w:spacing w:before="0" w:after="0" w:line="240" w:lineRule="auto"/>
              <w:jc w:val="left"/>
            </w:pPr>
            <w:r>
              <w:rPr>
                <w:rFonts w:ascii="Times New Roman" w:hAnsi="Times New Roman" w:eastAsia="Times New Roman"/>
                <w:b w:val="0"/>
                <w:i w:val="0"/>
                <w:color w:val="000000"/>
                <w:sz w:val="18"/>
              </w:rPr>
              <w:t>-3.012</w:t>
            </w:r>
          </w:p>
        </w:tc>
        <w:tc>
          <w:tcPr>
            <w:tcW w:w="936" w:type="dxa"/>
            <w:tcBorders>
              <w:top w:val="nil"/>
              <w:left w:val="nil"/>
              <w:bottom w:val="nil"/>
              <w:right w:val="nil"/>
              <w:insideH w:val="nil"/>
              <w:insideV w:val="nil"/>
            </w:tcBorders>
            <w:vAlign w:val="center"/>
          </w:tcPr>
          <w:p w14:paraId="79E85D25">
            <w:pPr>
              <w:keepLines/>
              <w:spacing w:before="0" w:after="0" w:line="240" w:lineRule="auto"/>
              <w:jc w:val="left"/>
            </w:pPr>
            <w:r>
              <w:rPr>
                <w:rFonts w:ascii="Times New Roman" w:hAnsi="Times New Roman" w:eastAsia="Times New Roman"/>
                <w:b w:val="0"/>
                <w:i w:val="0"/>
                <w:color w:val="000000"/>
                <w:sz w:val="18"/>
              </w:rPr>
              <w:t>2.887</w:t>
            </w:r>
          </w:p>
        </w:tc>
        <w:tc>
          <w:tcPr>
            <w:tcW w:w="3168" w:type="dxa"/>
            <w:tcBorders>
              <w:top w:val="nil"/>
              <w:left w:val="nil"/>
              <w:bottom w:val="nil"/>
              <w:right w:val="nil"/>
              <w:insideH w:val="nil"/>
              <w:insideV w:val="nil"/>
            </w:tcBorders>
            <w:vAlign w:val="center"/>
          </w:tcPr>
          <w:p w14:paraId="73460534">
            <w:pPr>
              <w:keepLines/>
              <w:spacing w:before="0" w:after="0" w:line="240" w:lineRule="auto"/>
              <w:jc w:val="left"/>
            </w:pPr>
            <w:r>
              <w:rPr>
                <w:rFonts w:ascii="Times New Roman" w:hAnsi="Times New Roman" w:eastAsia="Times New Roman"/>
                <w:b w:val="0"/>
                <w:i w:val="0"/>
                <w:color w:val="000000"/>
                <w:sz w:val="18"/>
              </w:rPr>
              <w:t>Standardized community-trust scale</w:t>
            </w:r>
          </w:p>
        </w:tc>
      </w:tr>
      <w:tr w14:paraId="12659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243FFFFF">
            <w:pPr>
              <w:keepLines/>
              <w:spacing w:before="0" w:after="0" w:line="240" w:lineRule="auto"/>
              <w:jc w:val="left"/>
            </w:pPr>
            <w:r>
              <w:rPr>
                <w:rFonts w:ascii="Times New Roman" w:hAnsi="Times New Roman" w:eastAsia="Times New Roman"/>
                <w:b w:val="0"/>
                <w:i w:val="0"/>
                <w:color w:val="000000"/>
                <w:sz w:val="18"/>
              </w:rPr>
              <w:t>Reciprocity</w:t>
            </w:r>
          </w:p>
        </w:tc>
        <w:tc>
          <w:tcPr>
            <w:tcW w:w="1080" w:type="dxa"/>
            <w:tcBorders>
              <w:top w:val="nil"/>
              <w:left w:val="nil"/>
              <w:bottom w:val="nil"/>
              <w:right w:val="nil"/>
              <w:insideH w:val="nil"/>
              <w:insideV w:val="nil"/>
            </w:tcBorders>
            <w:vAlign w:val="center"/>
          </w:tcPr>
          <w:p w14:paraId="6358910F">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015496C5">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7D1EBD21">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15D65DAD">
            <w:pPr>
              <w:keepLines/>
              <w:spacing w:before="0" w:after="0" w:line="240" w:lineRule="auto"/>
              <w:jc w:val="left"/>
            </w:pPr>
            <w:r>
              <w:rPr>
                <w:rFonts w:ascii="Times New Roman" w:hAnsi="Times New Roman" w:eastAsia="Times New Roman"/>
                <w:b w:val="0"/>
                <w:i w:val="0"/>
                <w:color w:val="000000"/>
                <w:sz w:val="18"/>
              </w:rPr>
              <w:t>-2.664</w:t>
            </w:r>
          </w:p>
        </w:tc>
        <w:tc>
          <w:tcPr>
            <w:tcW w:w="936" w:type="dxa"/>
            <w:tcBorders>
              <w:top w:val="nil"/>
              <w:left w:val="nil"/>
              <w:bottom w:val="nil"/>
              <w:right w:val="nil"/>
              <w:insideH w:val="nil"/>
              <w:insideV w:val="nil"/>
            </w:tcBorders>
            <w:vAlign w:val="center"/>
          </w:tcPr>
          <w:p w14:paraId="7D8C08EB">
            <w:pPr>
              <w:keepLines/>
              <w:spacing w:before="0" w:after="0" w:line="240" w:lineRule="auto"/>
              <w:jc w:val="left"/>
            </w:pPr>
            <w:r>
              <w:rPr>
                <w:rFonts w:ascii="Times New Roman" w:hAnsi="Times New Roman" w:eastAsia="Times New Roman"/>
                <w:b w:val="0"/>
                <w:i w:val="0"/>
                <w:color w:val="000000"/>
                <w:sz w:val="18"/>
              </w:rPr>
              <w:t>3.201</w:t>
            </w:r>
          </w:p>
        </w:tc>
        <w:tc>
          <w:tcPr>
            <w:tcW w:w="3168" w:type="dxa"/>
            <w:tcBorders>
              <w:top w:val="nil"/>
              <w:left w:val="nil"/>
              <w:bottom w:val="nil"/>
              <w:right w:val="nil"/>
              <w:insideH w:val="nil"/>
              <w:insideV w:val="nil"/>
            </w:tcBorders>
            <w:vAlign w:val="center"/>
          </w:tcPr>
          <w:p w14:paraId="69498A7A">
            <w:pPr>
              <w:keepLines/>
              <w:spacing w:before="0" w:after="0" w:line="240" w:lineRule="auto"/>
              <w:jc w:val="left"/>
            </w:pPr>
            <w:r>
              <w:rPr>
                <w:rFonts w:ascii="Times New Roman" w:hAnsi="Times New Roman" w:eastAsia="Times New Roman"/>
                <w:b w:val="0"/>
                <w:i w:val="0"/>
                <w:color w:val="000000"/>
                <w:sz w:val="18"/>
              </w:rPr>
              <w:t>Standardized neighbour-reciprocity scale</w:t>
            </w:r>
          </w:p>
        </w:tc>
      </w:tr>
      <w:tr w14:paraId="2945E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342B0C19">
            <w:pPr>
              <w:keepLines/>
              <w:spacing w:before="0" w:after="0" w:line="240" w:lineRule="auto"/>
              <w:jc w:val="left"/>
            </w:pPr>
            <w:r>
              <w:rPr>
                <w:rFonts w:ascii="Times New Roman" w:hAnsi="Times New Roman" w:eastAsia="Times New Roman"/>
                <w:b w:val="0"/>
                <w:i w:val="0"/>
                <w:color w:val="000000"/>
                <w:sz w:val="18"/>
              </w:rPr>
              <w:t>PublicService</w:t>
            </w:r>
          </w:p>
        </w:tc>
        <w:tc>
          <w:tcPr>
            <w:tcW w:w="1080" w:type="dxa"/>
            <w:tcBorders>
              <w:top w:val="nil"/>
              <w:left w:val="nil"/>
              <w:bottom w:val="nil"/>
              <w:right w:val="nil"/>
              <w:insideH w:val="nil"/>
              <w:insideV w:val="nil"/>
            </w:tcBorders>
            <w:vAlign w:val="center"/>
          </w:tcPr>
          <w:p w14:paraId="3D071618">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1CBE3648">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55E14625">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189E6D7F">
            <w:pPr>
              <w:keepLines/>
              <w:spacing w:before="0" w:after="0" w:line="240" w:lineRule="auto"/>
              <w:jc w:val="left"/>
            </w:pPr>
            <w:r>
              <w:rPr>
                <w:rFonts w:ascii="Times New Roman" w:hAnsi="Times New Roman" w:eastAsia="Times New Roman"/>
                <w:b w:val="0"/>
                <w:i w:val="0"/>
                <w:color w:val="000000"/>
                <w:sz w:val="18"/>
              </w:rPr>
              <w:t>-2.945</w:t>
            </w:r>
          </w:p>
        </w:tc>
        <w:tc>
          <w:tcPr>
            <w:tcW w:w="936" w:type="dxa"/>
            <w:tcBorders>
              <w:top w:val="nil"/>
              <w:left w:val="nil"/>
              <w:bottom w:val="nil"/>
              <w:right w:val="nil"/>
              <w:insideH w:val="nil"/>
              <w:insideV w:val="nil"/>
            </w:tcBorders>
            <w:vAlign w:val="center"/>
          </w:tcPr>
          <w:p w14:paraId="76A79518">
            <w:pPr>
              <w:keepLines/>
              <w:spacing w:before="0" w:after="0" w:line="240" w:lineRule="auto"/>
              <w:jc w:val="left"/>
            </w:pPr>
            <w:r>
              <w:rPr>
                <w:rFonts w:ascii="Times New Roman" w:hAnsi="Times New Roman" w:eastAsia="Times New Roman"/>
                <w:b w:val="0"/>
                <w:i w:val="0"/>
                <w:color w:val="000000"/>
                <w:sz w:val="18"/>
              </w:rPr>
              <w:t>3.073</w:t>
            </w:r>
          </w:p>
        </w:tc>
        <w:tc>
          <w:tcPr>
            <w:tcW w:w="3168" w:type="dxa"/>
            <w:tcBorders>
              <w:top w:val="nil"/>
              <w:left w:val="nil"/>
              <w:bottom w:val="nil"/>
              <w:right w:val="nil"/>
              <w:insideH w:val="nil"/>
              <w:insideV w:val="nil"/>
            </w:tcBorders>
            <w:vAlign w:val="center"/>
          </w:tcPr>
          <w:p w14:paraId="496EF039">
            <w:pPr>
              <w:keepLines/>
              <w:spacing w:before="0" w:after="0" w:line="240" w:lineRule="auto"/>
              <w:jc w:val="left"/>
            </w:pPr>
            <w:r>
              <w:rPr>
                <w:rFonts w:ascii="Times New Roman" w:hAnsi="Times New Roman" w:eastAsia="Times New Roman"/>
                <w:b w:val="0"/>
                <w:i w:val="0"/>
                <w:color w:val="000000"/>
                <w:sz w:val="18"/>
              </w:rPr>
              <w:t>Standardized public-service perception scale</w:t>
            </w:r>
          </w:p>
        </w:tc>
      </w:tr>
      <w:tr w14:paraId="30E9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028B0294">
            <w:pPr>
              <w:keepLines/>
              <w:spacing w:before="0" w:after="0" w:line="240" w:lineRule="auto"/>
              <w:jc w:val="left"/>
            </w:pPr>
            <w:r>
              <w:rPr>
                <w:rFonts w:ascii="Times New Roman" w:hAnsi="Times New Roman" w:eastAsia="Times New Roman"/>
                <w:b w:val="0"/>
                <w:i w:val="0"/>
                <w:color w:val="000000"/>
                <w:sz w:val="18"/>
              </w:rPr>
              <w:t>Governance</w:t>
            </w:r>
          </w:p>
        </w:tc>
        <w:tc>
          <w:tcPr>
            <w:tcW w:w="1080" w:type="dxa"/>
            <w:tcBorders>
              <w:top w:val="nil"/>
              <w:left w:val="nil"/>
              <w:bottom w:val="nil"/>
              <w:right w:val="nil"/>
              <w:insideH w:val="nil"/>
              <w:insideV w:val="nil"/>
            </w:tcBorders>
            <w:vAlign w:val="center"/>
          </w:tcPr>
          <w:p w14:paraId="04553772">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69C3DD00">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62CCE563">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0FBA2B93">
            <w:pPr>
              <w:keepLines/>
              <w:spacing w:before="0" w:after="0" w:line="240" w:lineRule="auto"/>
              <w:jc w:val="left"/>
            </w:pPr>
            <w:r>
              <w:rPr>
                <w:rFonts w:ascii="Times New Roman" w:hAnsi="Times New Roman" w:eastAsia="Times New Roman"/>
                <w:b w:val="0"/>
                <w:i w:val="0"/>
                <w:color w:val="000000"/>
                <w:sz w:val="18"/>
              </w:rPr>
              <w:t>-2.416</w:t>
            </w:r>
          </w:p>
        </w:tc>
        <w:tc>
          <w:tcPr>
            <w:tcW w:w="936" w:type="dxa"/>
            <w:tcBorders>
              <w:top w:val="nil"/>
              <w:left w:val="nil"/>
              <w:bottom w:val="nil"/>
              <w:right w:val="nil"/>
              <w:insideH w:val="nil"/>
              <w:insideV w:val="nil"/>
            </w:tcBorders>
            <w:vAlign w:val="center"/>
          </w:tcPr>
          <w:p w14:paraId="6B1D3E8E">
            <w:pPr>
              <w:keepLines/>
              <w:spacing w:before="0" w:after="0" w:line="240" w:lineRule="auto"/>
              <w:jc w:val="left"/>
            </w:pPr>
            <w:r>
              <w:rPr>
                <w:rFonts w:ascii="Times New Roman" w:hAnsi="Times New Roman" w:eastAsia="Times New Roman"/>
                <w:b w:val="0"/>
                <w:i w:val="0"/>
                <w:color w:val="000000"/>
                <w:sz w:val="18"/>
              </w:rPr>
              <w:t>3.725</w:t>
            </w:r>
          </w:p>
        </w:tc>
        <w:tc>
          <w:tcPr>
            <w:tcW w:w="3168" w:type="dxa"/>
            <w:tcBorders>
              <w:top w:val="nil"/>
              <w:left w:val="nil"/>
              <w:bottom w:val="nil"/>
              <w:right w:val="nil"/>
              <w:insideH w:val="nil"/>
              <w:insideV w:val="nil"/>
            </w:tcBorders>
            <w:vAlign w:val="center"/>
          </w:tcPr>
          <w:p w14:paraId="35B3E0EB">
            <w:pPr>
              <w:keepLines/>
              <w:spacing w:before="0" w:after="0" w:line="240" w:lineRule="auto"/>
              <w:jc w:val="left"/>
            </w:pPr>
            <w:r>
              <w:rPr>
                <w:rFonts w:ascii="Times New Roman" w:hAnsi="Times New Roman" w:eastAsia="Times New Roman"/>
                <w:b w:val="0"/>
                <w:i w:val="0"/>
                <w:color w:val="000000"/>
                <w:sz w:val="18"/>
              </w:rPr>
              <w:t>County governance-capacity index</w:t>
            </w:r>
          </w:p>
        </w:tc>
      </w:tr>
      <w:tr w14:paraId="298D0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nil"/>
              <w:right w:val="nil"/>
              <w:insideH w:val="nil"/>
              <w:insideV w:val="nil"/>
            </w:tcBorders>
            <w:vAlign w:val="center"/>
          </w:tcPr>
          <w:p w14:paraId="1997C6E5">
            <w:pPr>
              <w:keepLines/>
              <w:spacing w:before="0" w:after="0" w:line="240" w:lineRule="auto"/>
              <w:jc w:val="left"/>
            </w:pPr>
            <w:r>
              <w:rPr>
                <w:rFonts w:ascii="Times New Roman" w:hAnsi="Times New Roman" w:eastAsia="Times New Roman"/>
                <w:b w:val="0"/>
                <w:i w:val="0"/>
                <w:color w:val="000000"/>
                <w:sz w:val="18"/>
              </w:rPr>
              <w:t>OrgDensity</w:t>
            </w:r>
          </w:p>
        </w:tc>
        <w:tc>
          <w:tcPr>
            <w:tcW w:w="1080" w:type="dxa"/>
            <w:tcBorders>
              <w:top w:val="nil"/>
              <w:left w:val="nil"/>
              <w:bottom w:val="nil"/>
              <w:right w:val="nil"/>
              <w:insideH w:val="nil"/>
              <w:insideV w:val="nil"/>
            </w:tcBorders>
            <w:vAlign w:val="center"/>
          </w:tcPr>
          <w:p w14:paraId="71FF7F22">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nil"/>
              <w:right w:val="nil"/>
              <w:insideH w:val="nil"/>
              <w:insideV w:val="nil"/>
            </w:tcBorders>
            <w:vAlign w:val="center"/>
          </w:tcPr>
          <w:p w14:paraId="43AEB10B">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nil"/>
              <w:right w:val="nil"/>
              <w:insideH w:val="nil"/>
              <w:insideV w:val="nil"/>
            </w:tcBorders>
            <w:vAlign w:val="center"/>
          </w:tcPr>
          <w:p w14:paraId="6088EDFB">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nil"/>
              <w:right w:val="nil"/>
              <w:insideH w:val="nil"/>
              <w:insideV w:val="nil"/>
            </w:tcBorders>
            <w:vAlign w:val="center"/>
          </w:tcPr>
          <w:p w14:paraId="3CEBADFB">
            <w:pPr>
              <w:keepLines/>
              <w:spacing w:before="0" w:after="0" w:line="240" w:lineRule="auto"/>
              <w:jc w:val="left"/>
            </w:pPr>
            <w:r>
              <w:rPr>
                <w:rFonts w:ascii="Times New Roman" w:hAnsi="Times New Roman" w:eastAsia="Times New Roman"/>
                <w:b w:val="0"/>
                <w:i w:val="0"/>
                <w:color w:val="000000"/>
                <w:sz w:val="18"/>
              </w:rPr>
              <w:t>-1.992</w:t>
            </w:r>
          </w:p>
        </w:tc>
        <w:tc>
          <w:tcPr>
            <w:tcW w:w="936" w:type="dxa"/>
            <w:tcBorders>
              <w:top w:val="nil"/>
              <w:left w:val="nil"/>
              <w:bottom w:val="nil"/>
              <w:right w:val="nil"/>
              <w:insideH w:val="nil"/>
              <w:insideV w:val="nil"/>
            </w:tcBorders>
            <w:vAlign w:val="center"/>
          </w:tcPr>
          <w:p w14:paraId="1FE8DE9C">
            <w:pPr>
              <w:keepLines/>
              <w:spacing w:before="0" w:after="0" w:line="240" w:lineRule="auto"/>
              <w:jc w:val="left"/>
            </w:pPr>
            <w:r>
              <w:rPr>
                <w:rFonts w:ascii="Times New Roman" w:hAnsi="Times New Roman" w:eastAsia="Times New Roman"/>
                <w:b w:val="0"/>
                <w:i w:val="0"/>
                <w:color w:val="000000"/>
                <w:sz w:val="18"/>
              </w:rPr>
              <w:t>3.368</w:t>
            </w:r>
          </w:p>
        </w:tc>
        <w:tc>
          <w:tcPr>
            <w:tcW w:w="3168" w:type="dxa"/>
            <w:tcBorders>
              <w:top w:val="nil"/>
              <w:left w:val="nil"/>
              <w:bottom w:val="nil"/>
              <w:right w:val="nil"/>
              <w:insideH w:val="nil"/>
              <w:insideV w:val="nil"/>
            </w:tcBorders>
            <w:vAlign w:val="center"/>
          </w:tcPr>
          <w:p w14:paraId="2F87D240">
            <w:pPr>
              <w:keepLines/>
              <w:spacing w:before="0" w:after="0" w:line="240" w:lineRule="auto"/>
              <w:jc w:val="left"/>
            </w:pPr>
            <w:r>
              <w:rPr>
                <w:rFonts w:ascii="Times New Roman" w:hAnsi="Times New Roman" w:eastAsia="Times New Roman"/>
                <w:b w:val="0"/>
                <w:i w:val="0"/>
                <w:color w:val="000000"/>
                <w:sz w:val="18"/>
              </w:rPr>
              <w:t>County organization-density index</w:t>
            </w:r>
          </w:p>
        </w:tc>
      </w:tr>
      <w:tr w14:paraId="0B908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655" w:type="dxa"/>
            <w:tcBorders>
              <w:top w:val="nil"/>
              <w:left w:val="nil"/>
              <w:bottom w:val="single" w:color="000000" w:sz="8" w:space="0"/>
              <w:right w:val="nil"/>
              <w:insideH w:val="nil"/>
              <w:insideV w:val="nil"/>
            </w:tcBorders>
            <w:vAlign w:val="center"/>
          </w:tcPr>
          <w:p w14:paraId="2EB51805">
            <w:pPr>
              <w:keepLines/>
              <w:spacing w:before="0" w:after="0" w:line="240" w:lineRule="auto"/>
              <w:jc w:val="left"/>
            </w:pPr>
            <w:r>
              <w:rPr>
                <w:rFonts w:ascii="Times New Roman" w:hAnsi="Times New Roman" w:eastAsia="Times New Roman"/>
                <w:b w:val="0"/>
                <w:i w:val="0"/>
                <w:color w:val="000000"/>
                <w:sz w:val="18"/>
              </w:rPr>
              <w:t>DigitalInfra</w:t>
            </w:r>
          </w:p>
        </w:tc>
        <w:tc>
          <w:tcPr>
            <w:tcW w:w="1080" w:type="dxa"/>
            <w:tcBorders>
              <w:top w:val="nil"/>
              <w:left w:val="nil"/>
              <w:bottom w:val="single" w:color="000000" w:sz="8" w:space="0"/>
              <w:right w:val="nil"/>
              <w:insideH w:val="nil"/>
              <w:insideV w:val="nil"/>
            </w:tcBorders>
            <w:vAlign w:val="center"/>
          </w:tcPr>
          <w:p w14:paraId="141D311E">
            <w:pPr>
              <w:keepLines/>
              <w:spacing w:before="0" w:after="0" w:line="240" w:lineRule="auto"/>
              <w:jc w:val="left"/>
            </w:pPr>
            <w:r>
              <w:rPr>
                <w:rFonts w:ascii="Times New Roman" w:hAnsi="Times New Roman" w:eastAsia="Times New Roman"/>
                <w:b w:val="0"/>
                <w:i w:val="0"/>
                <w:color w:val="000000"/>
                <w:sz w:val="18"/>
              </w:rPr>
              <w:t>126,847</w:t>
            </w:r>
          </w:p>
        </w:tc>
        <w:tc>
          <w:tcPr>
            <w:tcW w:w="792" w:type="dxa"/>
            <w:tcBorders>
              <w:top w:val="nil"/>
              <w:left w:val="nil"/>
              <w:bottom w:val="single" w:color="000000" w:sz="8" w:space="0"/>
              <w:right w:val="nil"/>
              <w:insideH w:val="nil"/>
              <w:insideV w:val="nil"/>
            </w:tcBorders>
            <w:vAlign w:val="center"/>
          </w:tcPr>
          <w:p w14:paraId="287884D7">
            <w:pPr>
              <w:keepLines/>
              <w:spacing w:before="0" w:after="0" w:line="240" w:lineRule="auto"/>
              <w:jc w:val="left"/>
            </w:pPr>
            <w:r>
              <w:rPr>
                <w:rFonts w:ascii="Times New Roman" w:hAnsi="Times New Roman" w:eastAsia="Times New Roman"/>
                <w:b w:val="0"/>
                <w:i w:val="0"/>
                <w:color w:val="000000"/>
                <w:sz w:val="18"/>
              </w:rPr>
              <w:t>0.000</w:t>
            </w:r>
          </w:p>
        </w:tc>
        <w:tc>
          <w:tcPr>
            <w:tcW w:w="792" w:type="dxa"/>
            <w:tcBorders>
              <w:top w:val="nil"/>
              <w:left w:val="nil"/>
              <w:bottom w:val="single" w:color="000000" w:sz="8" w:space="0"/>
              <w:right w:val="nil"/>
              <w:insideH w:val="nil"/>
              <w:insideV w:val="nil"/>
            </w:tcBorders>
            <w:vAlign w:val="center"/>
          </w:tcPr>
          <w:p w14:paraId="31FF196A">
            <w:pPr>
              <w:keepLines/>
              <w:spacing w:before="0" w:after="0" w:line="240" w:lineRule="auto"/>
              <w:jc w:val="left"/>
            </w:pPr>
            <w:r>
              <w:rPr>
                <w:rFonts w:ascii="Times New Roman" w:hAnsi="Times New Roman" w:eastAsia="Times New Roman"/>
                <w:b w:val="0"/>
                <w:i w:val="0"/>
                <w:color w:val="000000"/>
                <w:sz w:val="18"/>
              </w:rPr>
              <w:t>1.000</w:t>
            </w:r>
          </w:p>
        </w:tc>
        <w:tc>
          <w:tcPr>
            <w:tcW w:w="936" w:type="dxa"/>
            <w:tcBorders>
              <w:top w:val="nil"/>
              <w:left w:val="nil"/>
              <w:bottom w:val="single" w:color="000000" w:sz="8" w:space="0"/>
              <w:right w:val="nil"/>
              <w:insideH w:val="nil"/>
              <w:insideV w:val="nil"/>
            </w:tcBorders>
            <w:vAlign w:val="center"/>
          </w:tcPr>
          <w:p w14:paraId="55A37E10">
            <w:pPr>
              <w:keepLines/>
              <w:spacing w:before="0" w:after="0" w:line="240" w:lineRule="auto"/>
              <w:jc w:val="left"/>
            </w:pPr>
            <w:r>
              <w:rPr>
                <w:rFonts w:ascii="Times New Roman" w:hAnsi="Times New Roman" w:eastAsia="Times New Roman"/>
                <w:b w:val="0"/>
                <w:i w:val="0"/>
                <w:color w:val="000000"/>
                <w:sz w:val="18"/>
              </w:rPr>
              <w:t>-2.281</w:t>
            </w:r>
          </w:p>
        </w:tc>
        <w:tc>
          <w:tcPr>
            <w:tcW w:w="936" w:type="dxa"/>
            <w:tcBorders>
              <w:top w:val="nil"/>
              <w:left w:val="nil"/>
              <w:bottom w:val="single" w:color="000000" w:sz="8" w:space="0"/>
              <w:right w:val="nil"/>
              <w:insideH w:val="nil"/>
              <w:insideV w:val="nil"/>
            </w:tcBorders>
            <w:vAlign w:val="center"/>
          </w:tcPr>
          <w:p w14:paraId="762C7D24">
            <w:pPr>
              <w:keepLines/>
              <w:spacing w:before="0" w:after="0" w:line="240" w:lineRule="auto"/>
              <w:jc w:val="left"/>
            </w:pPr>
            <w:r>
              <w:rPr>
                <w:rFonts w:ascii="Times New Roman" w:hAnsi="Times New Roman" w:eastAsia="Times New Roman"/>
                <w:b w:val="0"/>
                <w:i w:val="0"/>
                <w:color w:val="000000"/>
                <w:sz w:val="18"/>
              </w:rPr>
              <w:t>3.944</w:t>
            </w:r>
          </w:p>
        </w:tc>
        <w:tc>
          <w:tcPr>
            <w:tcW w:w="3168" w:type="dxa"/>
            <w:tcBorders>
              <w:top w:val="nil"/>
              <w:left w:val="nil"/>
              <w:bottom w:val="single" w:color="000000" w:sz="8" w:space="0"/>
              <w:right w:val="nil"/>
              <w:insideH w:val="nil"/>
              <w:insideV w:val="nil"/>
            </w:tcBorders>
            <w:vAlign w:val="center"/>
          </w:tcPr>
          <w:p w14:paraId="59CDB020">
            <w:pPr>
              <w:keepLines/>
              <w:spacing w:before="0" w:after="0" w:line="240" w:lineRule="auto"/>
              <w:jc w:val="left"/>
            </w:pPr>
            <w:r>
              <w:rPr>
                <w:rFonts w:ascii="Times New Roman" w:hAnsi="Times New Roman" w:eastAsia="Times New Roman"/>
                <w:b w:val="0"/>
                <w:i w:val="0"/>
                <w:color w:val="000000"/>
                <w:sz w:val="18"/>
              </w:rPr>
              <w:t>County digital-infrastructure index</w:t>
            </w:r>
          </w:p>
        </w:tc>
      </w:tr>
    </w:tbl>
    <w:p w14:paraId="00E2A2AD">
      <w:pPr>
        <w:pStyle w:val="168"/>
        <w:keepLines/>
        <w:spacing w:before="60" w:after="60" w:line="240" w:lineRule="auto"/>
        <w:ind w:left="0" w:right="0" w:firstLine="0"/>
        <w:jc w:val="left"/>
      </w:pPr>
      <w:r>
        <w:rPr>
          <w:rFonts w:ascii="Times New Roman" w:hAnsi="Times New Roman" w:eastAsia="Times New Roman"/>
          <w:i/>
          <w:color w:val="000000"/>
          <w:sz w:val="20"/>
        </w:rPr>
        <w:t>Note. All continuous latent, climate, governance, and county-level indicators are Z-score standardized.</w:t>
      </w:r>
    </w:p>
    <w:p w14:paraId="117DE0F5">
      <w:pPr>
        <w:pStyle w:val="4"/>
        <w:spacing w:before="160" w:after="80" w:line="276" w:lineRule="auto"/>
        <w:ind w:left="0" w:right="0" w:firstLine="0"/>
        <w:jc w:val="left"/>
      </w:pPr>
      <w:r>
        <w:rPr>
          <w:rFonts w:ascii="Times New Roman" w:hAnsi="Times New Roman" w:eastAsia="Times New Roman"/>
          <w:b/>
          <w:i w:val="0"/>
          <w:color w:val="000000"/>
          <w:sz w:val="24"/>
        </w:rPr>
        <w:t>Appendix Table H8. Collinearity diagnostics for county moderators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3400"/>
        <w:gridCol w:w="3400"/>
        <w:gridCol w:w="3400"/>
      </w:tblGrid>
      <w:tr w14:paraId="2439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3168" w:type="dxa"/>
            <w:tcBorders>
              <w:top w:val="single" w:color="000000" w:sz="8" w:space="0"/>
              <w:left w:val="nil"/>
              <w:bottom w:val="single" w:color="000000" w:sz="8" w:space="0"/>
              <w:right w:val="nil"/>
              <w:insideH w:val="nil"/>
              <w:insideV w:val="nil"/>
            </w:tcBorders>
            <w:vAlign w:val="center"/>
          </w:tcPr>
          <w:p w14:paraId="1A4F7505">
            <w:pPr>
              <w:keepLines/>
              <w:spacing w:before="0" w:after="0" w:line="240" w:lineRule="auto"/>
              <w:jc w:val="center"/>
            </w:pPr>
            <w:r>
              <w:rPr>
                <w:rFonts w:ascii="Times New Roman" w:hAnsi="Times New Roman" w:eastAsia="Times New Roman"/>
                <w:b/>
                <w:i w:val="0"/>
                <w:color w:val="000000"/>
                <w:sz w:val="18"/>
              </w:rPr>
              <w:t>Diagnostic</w:t>
            </w:r>
          </w:p>
        </w:tc>
        <w:tc>
          <w:tcPr>
            <w:tcW w:w="2880" w:type="dxa"/>
            <w:tcBorders>
              <w:top w:val="single" w:color="000000" w:sz="8" w:space="0"/>
              <w:left w:val="nil"/>
              <w:bottom w:val="single" w:color="000000" w:sz="8" w:space="0"/>
              <w:right w:val="nil"/>
              <w:insideH w:val="nil"/>
              <w:insideV w:val="nil"/>
            </w:tcBorders>
            <w:vAlign w:val="center"/>
          </w:tcPr>
          <w:p w14:paraId="59BB75DF">
            <w:pPr>
              <w:keepLines/>
              <w:spacing w:before="0" w:after="0" w:line="240" w:lineRule="auto"/>
              <w:jc w:val="center"/>
            </w:pPr>
            <w:r>
              <w:rPr>
                <w:rFonts w:ascii="Times New Roman" w:hAnsi="Times New Roman" w:eastAsia="Times New Roman"/>
                <w:b/>
                <w:i w:val="0"/>
                <w:color w:val="000000"/>
                <w:sz w:val="18"/>
              </w:rPr>
              <w:t>Implemented result</w:t>
            </w:r>
          </w:p>
        </w:tc>
        <w:tc>
          <w:tcPr>
            <w:tcW w:w="3311" w:type="dxa"/>
            <w:tcBorders>
              <w:top w:val="single" w:color="000000" w:sz="8" w:space="0"/>
              <w:left w:val="nil"/>
              <w:bottom w:val="single" w:color="000000" w:sz="8" w:space="0"/>
              <w:right w:val="nil"/>
              <w:insideH w:val="nil"/>
              <w:insideV w:val="nil"/>
            </w:tcBorders>
            <w:vAlign w:val="center"/>
          </w:tcPr>
          <w:p w14:paraId="062764AF">
            <w:pPr>
              <w:keepLines/>
              <w:spacing w:before="0" w:after="0" w:line="240" w:lineRule="auto"/>
              <w:jc w:val="center"/>
            </w:pPr>
            <w:r>
              <w:rPr>
                <w:rFonts w:ascii="Times New Roman" w:hAnsi="Times New Roman" w:eastAsia="Times New Roman"/>
                <w:b/>
                <w:i w:val="0"/>
                <w:color w:val="000000"/>
                <w:sz w:val="18"/>
              </w:rPr>
              <w:t>Conclusion</w:t>
            </w:r>
          </w:p>
        </w:tc>
      </w:tr>
      <w:tr w14:paraId="4D41C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5A28FC0F">
            <w:pPr>
              <w:keepLines/>
              <w:spacing w:before="0" w:after="0" w:line="240" w:lineRule="auto"/>
              <w:jc w:val="left"/>
            </w:pPr>
            <w:r>
              <w:rPr>
                <w:rFonts w:ascii="Times New Roman" w:hAnsi="Times New Roman" w:eastAsia="Times New Roman"/>
                <w:b w:val="0"/>
                <w:i w:val="0"/>
                <w:color w:val="000000"/>
                <w:sz w:val="18"/>
              </w:rPr>
              <w:t>Average VIF for governance, organization density, digital infrastructure, and public-service capacity</w:t>
            </w:r>
          </w:p>
        </w:tc>
        <w:tc>
          <w:tcPr>
            <w:tcW w:w="2880" w:type="dxa"/>
            <w:tcBorders>
              <w:top w:val="nil"/>
              <w:left w:val="nil"/>
              <w:bottom w:val="nil"/>
              <w:right w:val="nil"/>
              <w:insideH w:val="nil"/>
              <w:insideV w:val="nil"/>
            </w:tcBorders>
            <w:vAlign w:val="center"/>
          </w:tcPr>
          <w:p w14:paraId="1C81348A">
            <w:pPr>
              <w:keepLines/>
              <w:spacing w:before="0" w:after="0" w:line="240" w:lineRule="auto"/>
              <w:jc w:val="left"/>
            </w:pPr>
            <w:r>
              <w:rPr>
                <w:rFonts w:ascii="Times New Roman" w:hAnsi="Times New Roman" w:eastAsia="Times New Roman"/>
                <w:b w:val="0"/>
                <w:i w:val="0"/>
                <w:color w:val="000000"/>
                <w:sz w:val="18"/>
              </w:rPr>
              <w:t>1.72</w:t>
            </w:r>
          </w:p>
        </w:tc>
        <w:tc>
          <w:tcPr>
            <w:tcW w:w="3311" w:type="dxa"/>
            <w:tcBorders>
              <w:top w:val="nil"/>
              <w:left w:val="nil"/>
              <w:bottom w:val="nil"/>
              <w:right w:val="nil"/>
              <w:insideH w:val="nil"/>
              <w:insideV w:val="nil"/>
            </w:tcBorders>
            <w:vAlign w:val="center"/>
          </w:tcPr>
          <w:p w14:paraId="3BA5F6C5">
            <w:pPr>
              <w:keepLines/>
              <w:spacing w:before="0" w:after="0" w:line="240" w:lineRule="auto"/>
              <w:jc w:val="left"/>
            </w:pPr>
            <w:r>
              <w:rPr>
                <w:rFonts w:ascii="Times New Roman" w:hAnsi="Times New Roman" w:eastAsia="Times New Roman"/>
                <w:b w:val="0"/>
                <w:i w:val="0"/>
                <w:color w:val="000000"/>
                <w:sz w:val="18"/>
              </w:rPr>
              <w:t>Low multicollinearity</w:t>
            </w:r>
          </w:p>
        </w:tc>
      </w:tr>
      <w:tr w14:paraId="36A22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09F36643">
            <w:pPr>
              <w:keepLines/>
              <w:spacing w:before="0" w:after="0" w:line="240" w:lineRule="auto"/>
              <w:jc w:val="left"/>
            </w:pPr>
            <w:r>
              <w:rPr>
                <w:rFonts w:ascii="Times New Roman" w:hAnsi="Times New Roman" w:eastAsia="Times New Roman"/>
                <w:b w:val="0"/>
                <w:i w:val="0"/>
                <w:color w:val="000000"/>
                <w:sz w:val="18"/>
              </w:rPr>
              <w:t>Maximum VIF</w:t>
            </w:r>
          </w:p>
        </w:tc>
        <w:tc>
          <w:tcPr>
            <w:tcW w:w="2880" w:type="dxa"/>
            <w:tcBorders>
              <w:top w:val="nil"/>
              <w:left w:val="nil"/>
              <w:bottom w:val="nil"/>
              <w:right w:val="nil"/>
              <w:insideH w:val="nil"/>
              <w:insideV w:val="nil"/>
            </w:tcBorders>
            <w:vAlign w:val="center"/>
          </w:tcPr>
          <w:p w14:paraId="44864034">
            <w:pPr>
              <w:keepLines/>
              <w:spacing w:before="0" w:after="0" w:line="240" w:lineRule="auto"/>
              <w:jc w:val="left"/>
            </w:pPr>
            <w:r>
              <w:rPr>
                <w:rFonts w:ascii="Times New Roman" w:hAnsi="Times New Roman" w:eastAsia="Times New Roman"/>
                <w:b w:val="0"/>
                <w:i w:val="0"/>
                <w:color w:val="000000"/>
                <w:sz w:val="18"/>
              </w:rPr>
              <w:t>2.14</w:t>
            </w:r>
          </w:p>
        </w:tc>
        <w:tc>
          <w:tcPr>
            <w:tcW w:w="3311" w:type="dxa"/>
            <w:tcBorders>
              <w:top w:val="nil"/>
              <w:left w:val="nil"/>
              <w:bottom w:val="nil"/>
              <w:right w:val="nil"/>
              <w:insideH w:val="nil"/>
              <w:insideV w:val="nil"/>
            </w:tcBorders>
            <w:vAlign w:val="center"/>
          </w:tcPr>
          <w:p w14:paraId="4E1D23D1">
            <w:pPr>
              <w:keepLines/>
              <w:spacing w:before="0" w:after="0" w:line="240" w:lineRule="auto"/>
              <w:jc w:val="left"/>
            </w:pPr>
            <w:r>
              <w:rPr>
                <w:rFonts w:ascii="Times New Roman" w:hAnsi="Times New Roman" w:eastAsia="Times New Roman"/>
                <w:b w:val="0"/>
                <w:i w:val="0"/>
                <w:color w:val="000000"/>
                <w:sz w:val="18"/>
              </w:rPr>
              <w:t>Far below the conventional threshold of 10</w:t>
            </w:r>
          </w:p>
        </w:tc>
      </w:tr>
      <w:tr w14:paraId="6416C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single" w:color="000000" w:sz="8" w:space="0"/>
              <w:right w:val="nil"/>
              <w:insideH w:val="nil"/>
              <w:insideV w:val="nil"/>
            </w:tcBorders>
            <w:vAlign w:val="center"/>
          </w:tcPr>
          <w:p w14:paraId="7D67BFD2">
            <w:pPr>
              <w:keepLines/>
              <w:spacing w:before="0" w:after="0" w:line="240" w:lineRule="auto"/>
              <w:jc w:val="left"/>
            </w:pPr>
            <w:r>
              <w:rPr>
                <w:rFonts w:ascii="Times New Roman" w:hAnsi="Times New Roman" w:eastAsia="Times New Roman"/>
                <w:b w:val="0"/>
                <w:i w:val="0"/>
                <w:color w:val="000000"/>
                <w:sz w:val="18"/>
              </w:rPr>
              <w:t>Interaction-model stability</w:t>
            </w:r>
          </w:p>
        </w:tc>
        <w:tc>
          <w:tcPr>
            <w:tcW w:w="2880" w:type="dxa"/>
            <w:tcBorders>
              <w:top w:val="nil"/>
              <w:left w:val="nil"/>
              <w:bottom w:val="single" w:color="000000" w:sz="8" w:space="0"/>
              <w:right w:val="nil"/>
              <w:insideH w:val="nil"/>
              <w:insideV w:val="nil"/>
            </w:tcBorders>
            <w:vAlign w:val="center"/>
          </w:tcPr>
          <w:p w14:paraId="4BB06BE2">
            <w:pPr>
              <w:keepLines/>
              <w:spacing w:before="0" w:after="0" w:line="240" w:lineRule="auto"/>
              <w:jc w:val="left"/>
            </w:pPr>
            <w:r>
              <w:rPr>
                <w:rFonts w:ascii="Times New Roman" w:hAnsi="Times New Roman" w:eastAsia="Times New Roman"/>
                <w:b w:val="0"/>
                <w:i w:val="0"/>
                <w:color w:val="000000"/>
                <w:sz w:val="18"/>
              </w:rPr>
              <w:t>No coefficient sign reversal after standardization</w:t>
            </w:r>
          </w:p>
        </w:tc>
        <w:tc>
          <w:tcPr>
            <w:tcW w:w="3311" w:type="dxa"/>
            <w:tcBorders>
              <w:top w:val="nil"/>
              <w:left w:val="nil"/>
              <w:bottom w:val="single" w:color="000000" w:sz="8" w:space="0"/>
              <w:right w:val="nil"/>
              <w:insideH w:val="nil"/>
              <w:insideV w:val="nil"/>
            </w:tcBorders>
            <w:vAlign w:val="center"/>
          </w:tcPr>
          <w:p w14:paraId="6012027D">
            <w:pPr>
              <w:keepLines/>
              <w:spacing w:before="0" w:after="0" w:line="240" w:lineRule="auto"/>
              <w:jc w:val="left"/>
            </w:pPr>
            <w:r>
              <w:rPr>
                <w:rFonts w:ascii="Times New Roman" w:hAnsi="Times New Roman" w:eastAsia="Times New Roman"/>
                <w:b w:val="0"/>
                <w:i w:val="0"/>
                <w:color w:val="000000"/>
                <w:sz w:val="18"/>
              </w:rPr>
              <w:t>The moderation models are not driven by severe collinearity</w:t>
            </w:r>
          </w:p>
        </w:tc>
      </w:tr>
    </w:tbl>
    <w:p w14:paraId="421E01B3">
      <w:pPr>
        <w:pStyle w:val="168"/>
        <w:keepLines/>
        <w:spacing w:before="60" w:after="60" w:line="240" w:lineRule="auto"/>
        <w:ind w:left="0" w:right="0" w:firstLine="0"/>
        <w:jc w:val="left"/>
      </w:pPr>
      <w:r>
        <w:rPr>
          <w:rFonts w:ascii="Times New Roman" w:hAnsi="Times New Roman" w:eastAsia="Times New Roman"/>
          <w:i/>
          <w:color w:val="000000"/>
          <w:sz w:val="20"/>
        </w:rPr>
        <w:t>Note. VIF diagnostics are computed after standardizing continuous moderators and before constructing interactions.</w:t>
      </w:r>
    </w:p>
    <w:p w14:paraId="5810A4F3">
      <w:pPr>
        <w:pStyle w:val="4"/>
        <w:spacing w:before="160" w:after="80" w:line="276" w:lineRule="auto"/>
        <w:ind w:left="0" w:right="0" w:firstLine="0"/>
        <w:jc w:val="left"/>
      </w:pPr>
      <w:r>
        <w:rPr>
          <w:rFonts w:ascii="Times New Roman" w:hAnsi="Times New Roman" w:eastAsia="Times New Roman"/>
          <w:b/>
          <w:i w:val="0"/>
          <w:color w:val="000000"/>
          <w:sz w:val="24"/>
        </w:rPr>
        <w:t>H.4 Full empirical results integrated into the manuscript</w:t>
      </w:r>
    </w:p>
    <w:p w14:paraId="1768A036">
      <w:pPr>
        <w:pStyle w:val="4"/>
        <w:spacing w:before="160" w:after="80" w:line="276" w:lineRule="auto"/>
        <w:ind w:left="0" w:right="0" w:firstLine="0"/>
        <w:jc w:val="left"/>
      </w:pPr>
      <w:r>
        <w:rPr>
          <w:rFonts w:ascii="Times New Roman" w:hAnsi="Times New Roman" w:eastAsia="Times New Roman"/>
          <w:b/>
          <w:i w:val="0"/>
          <w:color w:val="000000"/>
          <w:sz w:val="24"/>
        </w:rPr>
        <w:t>Appendix Table H9. Preferred fixed-effects baseline results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040"/>
        <w:gridCol w:w="2040"/>
        <w:gridCol w:w="2040"/>
        <w:gridCol w:w="2040"/>
        <w:gridCol w:w="2040"/>
      </w:tblGrid>
      <w:tr w14:paraId="0DD0D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1944" w:type="dxa"/>
            <w:tcBorders>
              <w:top w:val="single" w:color="000000" w:sz="8" w:space="0"/>
              <w:left w:val="nil"/>
              <w:bottom w:val="single" w:color="000000" w:sz="8" w:space="0"/>
              <w:right w:val="nil"/>
              <w:insideH w:val="nil"/>
              <w:insideV w:val="nil"/>
            </w:tcBorders>
            <w:vAlign w:val="center"/>
          </w:tcPr>
          <w:p w14:paraId="148C03D3">
            <w:pPr>
              <w:keepLines/>
              <w:spacing w:before="0" w:after="0" w:line="240" w:lineRule="auto"/>
              <w:jc w:val="center"/>
            </w:pPr>
            <w:r>
              <w:rPr>
                <w:rFonts w:ascii="Times New Roman" w:hAnsi="Times New Roman" w:eastAsia="Times New Roman"/>
                <w:b/>
                <w:i w:val="0"/>
                <w:color w:val="000000"/>
                <w:sz w:val="18"/>
              </w:rPr>
              <w:t>Outcome</w:t>
            </w:r>
          </w:p>
        </w:tc>
        <w:tc>
          <w:tcPr>
            <w:tcW w:w="2088" w:type="dxa"/>
            <w:tcBorders>
              <w:top w:val="single" w:color="000000" w:sz="8" w:space="0"/>
              <w:left w:val="nil"/>
              <w:bottom w:val="single" w:color="000000" w:sz="8" w:space="0"/>
              <w:right w:val="nil"/>
              <w:insideH w:val="nil"/>
              <w:insideV w:val="nil"/>
            </w:tcBorders>
            <w:vAlign w:val="center"/>
          </w:tcPr>
          <w:p w14:paraId="4D21BBB4">
            <w:pPr>
              <w:keepLines/>
              <w:spacing w:before="0" w:after="0" w:line="240" w:lineRule="auto"/>
              <w:jc w:val="center"/>
            </w:pPr>
            <w:r>
              <w:rPr>
                <w:rFonts w:ascii="Times New Roman" w:hAnsi="Times New Roman" w:eastAsia="Times New Roman"/>
                <w:b/>
                <w:i w:val="0"/>
                <w:color w:val="000000"/>
                <w:sz w:val="18"/>
              </w:rPr>
              <w:t>ClimateShock coefficient</w:t>
            </w:r>
          </w:p>
        </w:tc>
        <w:tc>
          <w:tcPr>
            <w:tcW w:w="1296" w:type="dxa"/>
            <w:tcBorders>
              <w:top w:val="single" w:color="000000" w:sz="8" w:space="0"/>
              <w:left w:val="nil"/>
              <w:bottom w:val="single" w:color="000000" w:sz="8" w:space="0"/>
              <w:right w:val="nil"/>
              <w:insideH w:val="nil"/>
              <w:insideV w:val="nil"/>
            </w:tcBorders>
            <w:vAlign w:val="center"/>
          </w:tcPr>
          <w:p w14:paraId="52610113">
            <w:pPr>
              <w:keepLines/>
              <w:spacing w:before="0" w:after="0" w:line="240" w:lineRule="auto"/>
              <w:jc w:val="center"/>
            </w:pPr>
            <w:r>
              <w:rPr>
                <w:rFonts w:ascii="Times New Roman" w:hAnsi="Times New Roman" w:eastAsia="Times New Roman"/>
                <w:b/>
                <w:i w:val="0"/>
                <w:color w:val="000000"/>
                <w:sz w:val="18"/>
              </w:rPr>
              <w:t>County-clustered SE</w:t>
            </w:r>
          </w:p>
        </w:tc>
        <w:tc>
          <w:tcPr>
            <w:tcW w:w="1296" w:type="dxa"/>
            <w:tcBorders>
              <w:top w:val="single" w:color="000000" w:sz="8" w:space="0"/>
              <w:left w:val="nil"/>
              <w:bottom w:val="single" w:color="000000" w:sz="8" w:space="0"/>
              <w:right w:val="nil"/>
              <w:insideH w:val="nil"/>
              <w:insideV w:val="nil"/>
            </w:tcBorders>
            <w:vAlign w:val="center"/>
          </w:tcPr>
          <w:p w14:paraId="3241369B">
            <w:pPr>
              <w:keepLines/>
              <w:spacing w:before="0" w:after="0" w:line="240" w:lineRule="auto"/>
              <w:jc w:val="center"/>
            </w:pPr>
            <w:r>
              <w:rPr>
                <w:rFonts w:ascii="Times New Roman" w:hAnsi="Times New Roman" w:eastAsia="Times New Roman"/>
                <w:b/>
                <w:i w:val="0"/>
                <w:color w:val="000000"/>
                <w:sz w:val="18"/>
              </w:rPr>
              <w:t>R2</w:t>
            </w:r>
          </w:p>
        </w:tc>
        <w:tc>
          <w:tcPr>
            <w:tcW w:w="2736" w:type="dxa"/>
            <w:tcBorders>
              <w:top w:val="single" w:color="000000" w:sz="8" w:space="0"/>
              <w:left w:val="nil"/>
              <w:bottom w:val="single" w:color="000000" w:sz="8" w:space="0"/>
              <w:right w:val="nil"/>
              <w:insideH w:val="nil"/>
              <w:insideV w:val="nil"/>
            </w:tcBorders>
            <w:vAlign w:val="center"/>
          </w:tcPr>
          <w:p w14:paraId="2AD6D205">
            <w:pPr>
              <w:keepLines/>
              <w:spacing w:before="0" w:after="0" w:line="240" w:lineRule="auto"/>
              <w:jc w:val="center"/>
            </w:pPr>
            <w:r>
              <w:rPr>
                <w:rFonts w:ascii="Times New Roman" w:hAnsi="Times New Roman" w:eastAsia="Times New Roman"/>
                <w:b/>
                <w:i w:val="0"/>
                <w:color w:val="000000"/>
                <w:sz w:val="18"/>
              </w:rPr>
              <w:t>Observations</w:t>
            </w:r>
          </w:p>
        </w:tc>
      </w:tr>
      <w:tr w14:paraId="0A14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6A981431">
            <w:pPr>
              <w:keepLines/>
              <w:spacing w:before="0" w:after="0" w:line="240" w:lineRule="auto"/>
              <w:jc w:val="left"/>
            </w:pPr>
            <w:r>
              <w:rPr>
                <w:rFonts w:ascii="Times New Roman" w:hAnsi="Times New Roman" w:eastAsia="Times New Roman"/>
                <w:b w:val="0"/>
                <w:i w:val="0"/>
                <w:color w:val="000000"/>
                <w:sz w:val="18"/>
              </w:rPr>
              <w:t>LifeStability</w:t>
            </w:r>
          </w:p>
        </w:tc>
        <w:tc>
          <w:tcPr>
            <w:tcW w:w="2088" w:type="dxa"/>
            <w:tcBorders>
              <w:top w:val="nil"/>
              <w:left w:val="nil"/>
              <w:bottom w:val="nil"/>
              <w:right w:val="nil"/>
              <w:insideH w:val="nil"/>
              <w:insideV w:val="nil"/>
            </w:tcBorders>
            <w:vAlign w:val="center"/>
          </w:tcPr>
          <w:p w14:paraId="46E1DF3E">
            <w:pPr>
              <w:keepLines/>
              <w:spacing w:before="0" w:after="0" w:line="240" w:lineRule="auto"/>
              <w:jc w:val="left"/>
            </w:pPr>
            <w:r>
              <w:rPr>
                <w:rFonts w:ascii="Times New Roman" w:hAnsi="Times New Roman" w:eastAsia="Times New Roman"/>
                <w:b w:val="0"/>
                <w:i w:val="0"/>
                <w:color w:val="000000"/>
                <w:sz w:val="18"/>
              </w:rPr>
              <w:t>-0.081***</w:t>
            </w:r>
          </w:p>
        </w:tc>
        <w:tc>
          <w:tcPr>
            <w:tcW w:w="1296" w:type="dxa"/>
            <w:tcBorders>
              <w:top w:val="nil"/>
              <w:left w:val="nil"/>
              <w:bottom w:val="nil"/>
              <w:right w:val="nil"/>
              <w:insideH w:val="nil"/>
              <w:insideV w:val="nil"/>
            </w:tcBorders>
            <w:vAlign w:val="center"/>
          </w:tcPr>
          <w:p w14:paraId="57D9FA8D">
            <w:pPr>
              <w:keepLines/>
              <w:spacing w:before="0" w:after="0" w:line="240" w:lineRule="auto"/>
              <w:jc w:val="left"/>
            </w:pPr>
            <w:r>
              <w:rPr>
                <w:rFonts w:ascii="Times New Roman" w:hAnsi="Times New Roman" w:eastAsia="Times New Roman"/>
                <w:b w:val="0"/>
                <w:i w:val="0"/>
                <w:color w:val="000000"/>
                <w:sz w:val="18"/>
              </w:rPr>
              <w:t>(0.009)</w:t>
            </w:r>
          </w:p>
        </w:tc>
        <w:tc>
          <w:tcPr>
            <w:tcW w:w="1296" w:type="dxa"/>
            <w:tcBorders>
              <w:top w:val="nil"/>
              <w:left w:val="nil"/>
              <w:bottom w:val="nil"/>
              <w:right w:val="nil"/>
              <w:insideH w:val="nil"/>
              <w:insideV w:val="nil"/>
            </w:tcBorders>
            <w:vAlign w:val="center"/>
          </w:tcPr>
          <w:p w14:paraId="114C8CFB">
            <w:pPr>
              <w:keepLines/>
              <w:spacing w:before="0" w:after="0" w:line="240" w:lineRule="auto"/>
              <w:jc w:val="left"/>
            </w:pPr>
            <w:r>
              <w:rPr>
                <w:rFonts w:ascii="Times New Roman" w:hAnsi="Times New Roman" w:eastAsia="Times New Roman"/>
                <w:b w:val="0"/>
                <w:i w:val="0"/>
                <w:color w:val="000000"/>
                <w:sz w:val="18"/>
              </w:rPr>
              <w:t>0.384</w:t>
            </w:r>
          </w:p>
        </w:tc>
        <w:tc>
          <w:tcPr>
            <w:tcW w:w="2736" w:type="dxa"/>
            <w:tcBorders>
              <w:top w:val="nil"/>
              <w:left w:val="nil"/>
              <w:bottom w:val="nil"/>
              <w:right w:val="nil"/>
              <w:insideH w:val="nil"/>
              <w:insideV w:val="nil"/>
            </w:tcBorders>
            <w:vAlign w:val="center"/>
          </w:tcPr>
          <w:p w14:paraId="205DCD2E">
            <w:pPr>
              <w:keepLines/>
              <w:spacing w:before="0" w:after="0" w:line="240" w:lineRule="auto"/>
              <w:jc w:val="left"/>
            </w:pPr>
            <w:r>
              <w:rPr>
                <w:rFonts w:ascii="Times New Roman" w:hAnsi="Times New Roman" w:eastAsia="Times New Roman"/>
                <w:b w:val="0"/>
                <w:i w:val="0"/>
                <w:color w:val="000000"/>
                <w:sz w:val="18"/>
              </w:rPr>
              <w:t>126,847</w:t>
            </w:r>
          </w:p>
        </w:tc>
      </w:tr>
      <w:tr w14:paraId="1C442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2B2E882E">
            <w:pPr>
              <w:keepLines/>
              <w:spacing w:before="0" w:after="0" w:line="240" w:lineRule="auto"/>
              <w:jc w:val="left"/>
            </w:pPr>
            <w:r>
              <w:rPr>
                <w:rFonts w:ascii="Times New Roman" w:hAnsi="Times New Roman" w:eastAsia="Times New Roman"/>
                <w:b w:val="0"/>
                <w:i w:val="0"/>
                <w:color w:val="000000"/>
                <w:sz w:val="18"/>
              </w:rPr>
              <w:t>PsychDistress</w:t>
            </w:r>
          </w:p>
        </w:tc>
        <w:tc>
          <w:tcPr>
            <w:tcW w:w="2088" w:type="dxa"/>
            <w:tcBorders>
              <w:top w:val="nil"/>
              <w:left w:val="nil"/>
              <w:bottom w:val="nil"/>
              <w:right w:val="nil"/>
              <w:insideH w:val="nil"/>
              <w:insideV w:val="nil"/>
            </w:tcBorders>
            <w:vAlign w:val="center"/>
          </w:tcPr>
          <w:p w14:paraId="7562D042">
            <w:pPr>
              <w:keepLines/>
              <w:spacing w:before="0" w:after="0" w:line="240" w:lineRule="auto"/>
              <w:jc w:val="left"/>
            </w:pPr>
            <w:r>
              <w:rPr>
                <w:rFonts w:ascii="Times New Roman" w:hAnsi="Times New Roman" w:eastAsia="Times New Roman"/>
                <w:b w:val="0"/>
                <w:i w:val="0"/>
                <w:color w:val="000000"/>
                <w:sz w:val="18"/>
              </w:rPr>
              <w:t>0.092***</w:t>
            </w:r>
          </w:p>
        </w:tc>
        <w:tc>
          <w:tcPr>
            <w:tcW w:w="1296" w:type="dxa"/>
            <w:tcBorders>
              <w:top w:val="nil"/>
              <w:left w:val="nil"/>
              <w:bottom w:val="nil"/>
              <w:right w:val="nil"/>
              <w:insideH w:val="nil"/>
              <w:insideV w:val="nil"/>
            </w:tcBorders>
            <w:vAlign w:val="center"/>
          </w:tcPr>
          <w:p w14:paraId="6FAAEE4D">
            <w:pPr>
              <w:keepLines/>
              <w:spacing w:before="0" w:after="0" w:line="240" w:lineRule="auto"/>
              <w:jc w:val="left"/>
            </w:pPr>
            <w:r>
              <w:rPr>
                <w:rFonts w:ascii="Times New Roman" w:hAnsi="Times New Roman" w:eastAsia="Times New Roman"/>
                <w:b w:val="0"/>
                <w:i w:val="0"/>
                <w:color w:val="000000"/>
                <w:sz w:val="18"/>
              </w:rPr>
              <w:t>(0.010)</w:t>
            </w:r>
          </w:p>
        </w:tc>
        <w:tc>
          <w:tcPr>
            <w:tcW w:w="1296" w:type="dxa"/>
            <w:tcBorders>
              <w:top w:val="nil"/>
              <w:left w:val="nil"/>
              <w:bottom w:val="nil"/>
              <w:right w:val="nil"/>
              <w:insideH w:val="nil"/>
              <w:insideV w:val="nil"/>
            </w:tcBorders>
            <w:vAlign w:val="center"/>
          </w:tcPr>
          <w:p w14:paraId="67DCAC6C">
            <w:pPr>
              <w:keepLines/>
              <w:spacing w:before="0" w:after="0" w:line="240" w:lineRule="auto"/>
              <w:jc w:val="left"/>
            </w:pPr>
            <w:r>
              <w:rPr>
                <w:rFonts w:ascii="Times New Roman" w:hAnsi="Times New Roman" w:eastAsia="Times New Roman"/>
                <w:b w:val="0"/>
                <w:i w:val="0"/>
                <w:color w:val="000000"/>
                <w:sz w:val="18"/>
              </w:rPr>
              <w:t>0.369</w:t>
            </w:r>
          </w:p>
        </w:tc>
        <w:tc>
          <w:tcPr>
            <w:tcW w:w="2736" w:type="dxa"/>
            <w:tcBorders>
              <w:top w:val="nil"/>
              <w:left w:val="nil"/>
              <w:bottom w:val="nil"/>
              <w:right w:val="nil"/>
              <w:insideH w:val="nil"/>
              <w:insideV w:val="nil"/>
            </w:tcBorders>
            <w:vAlign w:val="center"/>
          </w:tcPr>
          <w:p w14:paraId="0D582F2D">
            <w:pPr>
              <w:keepLines/>
              <w:spacing w:before="0" w:after="0" w:line="240" w:lineRule="auto"/>
              <w:jc w:val="left"/>
            </w:pPr>
            <w:r>
              <w:rPr>
                <w:rFonts w:ascii="Times New Roman" w:hAnsi="Times New Roman" w:eastAsia="Times New Roman"/>
                <w:b w:val="0"/>
                <w:i w:val="0"/>
                <w:color w:val="000000"/>
                <w:sz w:val="18"/>
              </w:rPr>
              <w:t>126,847</w:t>
            </w:r>
          </w:p>
        </w:tc>
      </w:tr>
      <w:tr w14:paraId="6CCAD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single" w:color="000000" w:sz="8" w:space="0"/>
              <w:right w:val="nil"/>
              <w:insideH w:val="nil"/>
              <w:insideV w:val="nil"/>
            </w:tcBorders>
            <w:vAlign w:val="center"/>
          </w:tcPr>
          <w:p w14:paraId="4747B83D">
            <w:pPr>
              <w:keepLines/>
              <w:spacing w:before="0" w:after="0" w:line="240" w:lineRule="auto"/>
              <w:jc w:val="left"/>
            </w:pPr>
            <w:r>
              <w:rPr>
                <w:rFonts w:ascii="Times New Roman" w:hAnsi="Times New Roman" w:eastAsia="Times New Roman"/>
                <w:b w:val="0"/>
                <w:i w:val="0"/>
                <w:color w:val="000000"/>
                <w:sz w:val="18"/>
              </w:rPr>
              <w:t>MigIntent</w:t>
            </w:r>
          </w:p>
        </w:tc>
        <w:tc>
          <w:tcPr>
            <w:tcW w:w="2088" w:type="dxa"/>
            <w:tcBorders>
              <w:top w:val="nil"/>
              <w:left w:val="nil"/>
              <w:bottom w:val="single" w:color="000000" w:sz="8" w:space="0"/>
              <w:right w:val="nil"/>
              <w:insideH w:val="nil"/>
              <w:insideV w:val="nil"/>
            </w:tcBorders>
            <w:vAlign w:val="center"/>
          </w:tcPr>
          <w:p w14:paraId="5024A840">
            <w:pPr>
              <w:keepLines/>
              <w:spacing w:before="0" w:after="0" w:line="240" w:lineRule="auto"/>
              <w:jc w:val="left"/>
            </w:pPr>
            <w:r>
              <w:rPr>
                <w:rFonts w:ascii="Times New Roman" w:hAnsi="Times New Roman" w:eastAsia="Times New Roman"/>
                <w:b w:val="0"/>
                <w:i w:val="0"/>
                <w:color w:val="000000"/>
                <w:sz w:val="18"/>
              </w:rPr>
              <w:t>0.076***</w:t>
            </w:r>
          </w:p>
        </w:tc>
        <w:tc>
          <w:tcPr>
            <w:tcW w:w="1296" w:type="dxa"/>
            <w:tcBorders>
              <w:top w:val="nil"/>
              <w:left w:val="nil"/>
              <w:bottom w:val="single" w:color="000000" w:sz="8" w:space="0"/>
              <w:right w:val="nil"/>
              <w:insideH w:val="nil"/>
              <w:insideV w:val="nil"/>
            </w:tcBorders>
            <w:vAlign w:val="center"/>
          </w:tcPr>
          <w:p w14:paraId="46609EE8">
            <w:pPr>
              <w:keepLines/>
              <w:spacing w:before="0" w:after="0" w:line="240" w:lineRule="auto"/>
              <w:jc w:val="left"/>
            </w:pPr>
            <w:r>
              <w:rPr>
                <w:rFonts w:ascii="Times New Roman" w:hAnsi="Times New Roman" w:eastAsia="Times New Roman"/>
                <w:b w:val="0"/>
                <w:i w:val="0"/>
                <w:color w:val="000000"/>
                <w:sz w:val="18"/>
              </w:rPr>
              <w:t>(0.009)</w:t>
            </w:r>
          </w:p>
        </w:tc>
        <w:tc>
          <w:tcPr>
            <w:tcW w:w="1296" w:type="dxa"/>
            <w:tcBorders>
              <w:top w:val="nil"/>
              <w:left w:val="nil"/>
              <w:bottom w:val="single" w:color="000000" w:sz="8" w:space="0"/>
              <w:right w:val="nil"/>
              <w:insideH w:val="nil"/>
              <w:insideV w:val="nil"/>
            </w:tcBorders>
            <w:vAlign w:val="center"/>
          </w:tcPr>
          <w:p w14:paraId="37828AA0">
            <w:pPr>
              <w:keepLines/>
              <w:spacing w:before="0" w:after="0" w:line="240" w:lineRule="auto"/>
              <w:jc w:val="left"/>
            </w:pPr>
            <w:r>
              <w:rPr>
                <w:rFonts w:ascii="Times New Roman" w:hAnsi="Times New Roman" w:eastAsia="Times New Roman"/>
                <w:b w:val="0"/>
                <w:i w:val="0"/>
                <w:color w:val="000000"/>
                <w:sz w:val="18"/>
              </w:rPr>
              <w:t>0.347</w:t>
            </w:r>
          </w:p>
        </w:tc>
        <w:tc>
          <w:tcPr>
            <w:tcW w:w="2736" w:type="dxa"/>
            <w:tcBorders>
              <w:top w:val="nil"/>
              <w:left w:val="nil"/>
              <w:bottom w:val="single" w:color="000000" w:sz="8" w:space="0"/>
              <w:right w:val="nil"/>
              <w:insideH w:val="nil"/>
              <w:insideV w:val="nil"/>
            </w:tcBorders>
            <w:vAlign w:val="center"/>
          </w:tcPr>
          <w:p w14:paraId="46C1B917">
            <w:pPr>
              <w:keepLines/>
              <w:spacing w:before="0" w:after="0" w:line="240" w:lineRule="auto"/>
              <w:jc w:val="left"/>
            </w:pPr>
            <w:r>
              <w:rPr>
                <w:rFonts w:ascii="Times New Roman" w:hAnsi="Times New Roman" w:eastAsia="Times New Roman"/>
                <w:b w:val="0"/>
                <w:i w:val="0"/>
                <w:color w:val="000000"/>
                <w:sz w:val="18"/>
              </w:rPr>
              <w:t>126,847</w:t>
            </w:r>
          </w:p>
        </w:tc>
      </w:tr>
    </w:tbl>
    <w:p w14:paraId="06D53FBB">
      <w:pPr>
        <w:pStyle w:val="168"/>
        <w:keepLines/>
        <w:spacing w:before="60" w:after="60" w:line="240" w:lineRule="auto"/>
        <w:ind w:left="0" w:right="0" w:firstLine="0"/>
        <w:jc w:val="left"/>
      </w:pPr>
      <w:r>
        <w:rPr>
          <w:rFonts w:ascii="Times New Roman" w:hAnsi="Times New Roman" w:eastAsia="Times New Roman"/>
          <w:i/>
          <w:color w:val="000000"/>
          <w:sz w:val="20"/>
        </w:rPr>
        <w:t>Note. Preferred model: individual fixed effects plus province-by-year fixed effects, with county-clustered standard errors. *** p&lt;0.001, ** p&lt;0.01, * p&lt;0.05, n.s. = not significant.</w:t>
      </w:r>
    </w:p>
    <w:p w14:paraId="20B3BEE5">
      <w:pPr>
        <w:pStyle w:val="4"/>
        <w:spacing w:before="160" w:after="80" w:line="276" w:lineRule="auto"/>
        <w:ind w:left="0" w:right="0" w:firstLine="0"/>
        <w:jc w:val="left"/>
      </w:pPr>
      <w:r>
        <w:rPr>
          <w:rFonts w:ascii="Times New Roman" w:hAnsi="Times New Roman" w:eastAsia="Times New Roman"/>
          <w:b/>
          <w:i w:val="0"/>
          <w:color w:val="000000"/>
          <w:sz w:val="24"/>
        </w:rPr>
        <w:t>Appendix Table H10. Mediation Panel A: first-stage effects of ClimateShock on mediators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3400"/>
        <w:gridCol w:w="3400"/>
        <w:gridCol w:w="3400"/>
      </w:tblGrid>
      <w:tr w14:paraId="68EDE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3168" w:type="dxa"/>
            <w:tcBorders>
              <w:top w:val="single" w:color="000000" w:sz="8" w:space="0"/>
              <w:left w:val="nil"/>
              <w:bottom w:val="single" w:color="000000" w:sz="8" w:space="0"/>
              <w:right w:val="nil"/>
              <w:insideH w:val="nil"/>
              <w:insideV w:val="nil"/>
            </w:tcBorders>
            <w:vAlign w:val="center"/>
          </w:tcPr>
          <w:p w14:paraId="1E8C2C55">
            <w:pPr>
              <w:keepLines/>
              <w:spacing w:before="0" w:after="0" w:line="240" w:lineRule="auto"/>
              <w:jc w:val="center"/>
            </w:pPr>
            <w:r>
              <w:rPr>
                <w:rFonts w:ascii="Times New Roman" w:hAnsi="Times New Roman" w:eastAsia="Times New Roman"/>
                <w:b/>
                <w:i w:val="0"/>
                <w:color w:val="000000"/>
                <w:sz w:val="18"/>
              </w:rPr>
              <w:t>Mediator</w:t>
            </w:r>
          </w:p>
        </w:tc>
        <w:tc>
          <w:tcPr>
            <w:tcW w:w="2880" w:type="dxa"/>
            <w:tcBorders>
              <w:top w:val="single" w:color="000000" w:sz="8" w:space="0"/>
              <w:left w:val="nil"/>
              <w:bottom w:val="single" w:color="000000" w:sz="8" w:space="0"/>
              <w:right w:val="nil"/>
              <w:insideH w:val="nil"/>
              <w:insideV w:val="nil"/>
            </w:tcBorders>
            <w:vAlign w:val="center"/>
          </w:tcPr>
          <w:p w14:paraId="0BACCBA4">
            <w:pPr>
              <w:keepLines/>
              <w:spacing w:before="0" w:after="0" w:line="240" w:lineRule="auto"/>
              <w:jc w:val="center"/>
            </w:pPr>
            <w:r>
              <w:rPr>
                <w:rFonts w:ascii="Times New Roman" w:hAnsi="Times New Roman" w:eastAsia="Times New Roman"/>
                <w:b/>
                <w:i w:val="0"/>
                <w:color w:val="000000"/>
                <w:sz w:val="18"/>
              </w:rPr>
              <w:t>ClimateShock coefficient</w:t>
            </w:r>
          </w:p>
        </w:tc>
        <w:tc>
          <w:tcPr>
            <w:tcW w:w="3311" w:type="dxa"/>
            <w:tcBorders>
              <w:top w:val="single" w:color="000000" w:sz="8" w:space="0"/>
              <w:left w:val="nil"/>
              <w:bottom w:val="single" w:color="000000" w:sz="8" w:space="0"/>
              <w:right w:val="nil"/>
              <w:insideH w:val="nil"/>
              <w:insideV w:val="nil"/>
            </w:tcBorders>
            <w:vAlign w:val="center"/>
          </w:tcPr>
          <w:p w14:paraId="709583C0">
            <w:pPr>
              <w:keepLines/>
              <w:spacing w:before="0" w:after="0" w:line="240" w:lineRule="auto"/>
              <w:jc w:val="center"/>
            </w:pPr>
            <w:r>
              <w:rPr>
                <w:rFonts w:ascii="Times New Roman" w:hAnsi="Times New Roman" w:eastAsia="Times New Roman"/>
                <w:b/>
                <w:i w:val="0"/>
                <w:color w:val="000000"/>
                <w:sz w:val="18"/>
              </w:rPr>
              <w:t>SE</w:t>
            </w:r>
          </w:p>
        </w:tc>
      </w:tr>
      <w:tr w14:paraId="0B02B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6B6FD9CE">
            <w:pPr>
              <w:keepLines/>
              <w:spacing w:before="0" w:after="0" w:line="240" w:lineRule="auto"/>
              <w:jc w:val="left"/>
            </w:pPr>
            <w:r>
              <w:rPr>
                <w:rFonts w:ascii="Times New Roman" w:hAnsi="Times New Roman" w:eastAsia="Times New Roman"/>
                <w:b w:val="0"/>
                <w:i w:val="0"/>
                <w:color w:val="000000"/>
                <w:sz w:val="18"/>
              </w:rPr>
              <w:t>Trust</w:t>
            </w:r>
          </w:p>
        </w:tc>
        <w:tc>
          <w:tcPr>
            <w:tcW w:w="2880" w:type="dxa"/>
            <w:tcBorders>
              <w:top w:val="nil"/>
              <w:left w:val="nil"/>
              <w:bottom w:val="nil"/>
              <w:right w:val="nil"/>
              <w:insideH w:val="nil"/>
              <w:insideV w:val="nil"/>
            </w:tcBorders>
            <w:vAlign w:val="center"/>
          </w:tcPr>
          <w:p w14:paraId="7B63502B">
            <w:pPr>
              <w:keepLines/>
              <w:spacing w:before="0" w:after="0" w:line="240" w:lineRule="auto"/>
              <w:jc w:val="left"/>
            </w:pPr>
            <w:r>
              <w:rPr>
                <w:rFonts w:ascii="Times New Roman" w:hAnsi="Times New Roman" w:eastAsia="Times New Roman"/>
                <w:b w:val="0"/>
                <w:i w:val="0"/>
                <w:color w:val="000000"/>
                <w:sz w:val="18"/>
              </w:rPr>
              <w:t>-0.064***</w:t>
            </w:r>
          </w:p>
        </w:tc>
        <w:tc>
          <w:tcPr>
            <w:tcW w:w="3311" w:type="dxa"/>
            <w:tcBorders>
              <w:top w:val="nil"/>
              <w:left w:val="nil"/>
              <w:bottom w:val="nil"/>
              <w:right w:val="nil"/>
              <w:insideH w:val="nil"/>
              <w:insideV w:val="nil"/>
            </w:tcBorders>
            <w:vAlign w:val="center"/>
          </w:tcPr>
          <w:p w14:paraId="771B42B3">
            <w:pPr>
              <w:keepLines/>
              <w:spacing w:before="0" w:after="0" w:line="240" w:lineRule="auto"/>
              <w:jc w:val="left"/>
            </w:pPr>
            <w:r>
              <w:rPr>
                <w:rFonts w:ascii="Times New Roman" w:hAnsi="Times New Roman" w:eastAsia="Times New Roman"/>
                <w:b w:val="0"/>
                <w:i w:val="0"/>
                <w:color w:val="000000"/>
                <w:sz w:val="18"/>
              </w:rPr>
              <w:t>(0.008)</w:t>
            </w:r>
          </w:p>
        </w:tc>
      </w:tr>
      <w:tr w14:paraId="2EB0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015FFDC1">
            <w:pPr>
              <w:keepLines/>
              <w:spacing w:before="0" w:after="0" w:line="240" w:lineRule="auto"/>
              <w:jc w:val="left"/>
            </w:pPr>
            <w:r>
              <w:rPr>
                <w:rFonts w:ascii="Times New Roman" w:hAnsi="Times New Roman" w:eastAsia="Times New Roman"/>
                <w:b w:val="0"/>
                <w:i w:val="0"/>
                <w:color w:val="000000"/>
                <w:sz w:val="18"/>
              </w:rPr>
              <w:t>Reciprocity</w:t>
            </w:r>
          </w:p>
        </w:tc>
        <w:tc>
          <w:tcPr>
            <w:tcW w:w="2880" w:type="dxa"/>
            <w:tcBorders>
              <w:top w:val="nil"/>
              <w:left w:val="nil"/>
              <w:bottom w:val="nil"/>
              <w:right w:val="nil"/>
              <w:insideH w:val="nil"/>
              <w:insideV w:val="nil"/>
            </w:tcBorders>
            <w:vAlign w:val="center"/>
          </w:tcPr>
          <w:p w14:paraId="0737F749">
            <w:pPr>
              <w:keepLines/>
              <w:spacing w:before="0" w:after="0" w:line="240" w:lineRule="auto"/>
              <w:jc w:val="left"/>
            </w:pPr>
            <w:r>
              <w:rPr>
                <w:rFonts w:ascii="Times New Roman" w:hAnsi="Times New Roman" w:eastAsia="Times New Roman"/>
                <w:b w:val="0"/>
                <w:i w:val="0"/>
                <w:color w:val="000000"/>
                <w:sz w:val="18"/>
              </w:rPr>
              <w:t>-0.057***</w:t>
            </w:r>
          </w:p>
        </w:tc>
        <w:tc>
          <w:tcPr>
            <w:tcW w:w="3311" w:type="dxa"/>
            <w:tcBorders>
              <w:top w:val="nil"/>
              <w:left w:val="nil"/>
              <w:bottom w:val="nil"/>
              <w:right w:val="nil"/>
              <w:insideH w:val="nil"/>
              <w:insideV w:val="nil"/>
            </w:tcBorders>
            <w:vAlign w:val="center"/>
          </w:tcPr>
          <w:p w14:paraId="5CB26249">
            <w:pPr>
              <w:keepLines/>
              <w:spacing w:before="0" w:after="0" w:line="240" w:lineRule="auto"/>
              <w:jc w:val="left"/>
            </w:pPr>
            <w:r>
              <w:rPr>
                <w:rFonts w:ascii="Times New Roman" w:hAnsi="Times New Roman" w:eastAsia="Times New Roman"/>
                <w:b w:val="0"/>
                <w:i w:val="0"/>
                <w:color w:val="000000"/>
                <w:sz w:val="18"/>
              </w:rPr>
              <w:t>(0.008)</w:t>
            </w:r>
          </w:p>
        </w:tc>
      </w:tr>
      <w:tr w14:paraId="70D3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single" w:color="000000" w:sz="8" w:space="0"/>
              <w:right w:val="nil"/>
              <w:insideH w:val="nil"/>
              <w:insideV w:val="nil"/>
            </w:tcBorders>
            <w:vAlign w:val="center"/>
          </w:tcPr>
          <w:p w14:paraId="0CA235F3">
            <w:pPr>
              <w:keepLines/>
              <w:spacing w:before="0" w:after="0" w:line="240" w:lineRule="auto"/>
              <w:jc w:val="left"/>
            </w:pPr>
            <w:r>
              <w:rPr>
                <w:rFonts w:ascii="Times New Roman" w:hAnsi="Times New Roman" w:eastAsia="Times New Roman"/>
                <w:b w:val="0"/>
                <w:i w:val="0"/>
                <w:color w:val="000000"/>
                <w:sz w:val="18"/>
              </w:rPr>
              <w:t>PublicService</w:t>
            </w:r>
          </w:p>
        </w:tc>
        <w:tc>
          <w:tcPr>
            <w:tcW w:w="2880" w:type="dxa"/>
            <w:tcBorders>
              <w:top w:val="nil"/>
              <w:left w:val="nil"/>
              <w:bottom w:val="single" w:color="000000" w:sz="8" w:space="0"/>
              <w:right w:val="nil"/>
              <w:insideH w:val="nil"/>
              <w:insideV w:val="nil"/>
            </w:tcBorders>
            <w:vAlign w:val="center"/>
          </w:tcPr>
          <w:p w14:paraId="3BC2CFB0">
            <w:pPr>
              <w:keepLines/>
              <w:spacing w:before="0" w:after="0" w:line="240" w:lineRule="auto"/>
              <w:jc w:val="left"/>
            </w:pPr>
            <w:r>
              <w:rPr>
                <w:rFonts w:ascii="Times New Roman" w:hAnsi="Times New Roman" w:eastAsia="Times New Roman"/>
                <w:b w:val="0"/>
                <w:i w:val="0"/>
                <w:color w:val="000000"/>
                <w:sz w:val="18"/>
              </w:rPr>
              <w:t>-0.071***</w:t>
            </w:r>
          </w:p>
        </w:tc>
        <w:tc>
          <w:tcPr>
            <w:tcW w:w="3311" w:type="dxa"/>
            <w:tcBorders>
              <w:top w:val="nil"/>
              <w:left w:val="nil"/>
              <w:bottom w:val="single" w:color="000000" w:sz="8" w:space="0"/>
              <w:right w:val="nil"/>
              <w:insideH w:val="nil"/>
              <w:insideV w:val="nil"/>
            </w:tcBorders>
            <w:vAlign w:val="center"/>
          </w:tcPr>
          <w:p w14:paraId="59301B49">
            <w:pPr>
              <w:keepLines/>
              <w:spacing w:before="0" w:after="0" w:line="240" w:lineRule="auto"/>
              <w:jc w:val="left"/>
            </w:pPr>
            <w:r>
              <w:rPr>
                <w:rFonts w:ascii="Times New Roman" w:hAnsi="Times New Roman" w:eastAsia="Times New Roman"/>
                <w:b w:val="0"/>
                <w:i w:val="0"/>
                <w:color w:val="000000"/>
                <w:sz w:val="18"/>
              </w:rPr>
              <w:t>(0.009)</w:t>
            </w:r>
          </w:p>
        </w:tc>
      </w:tr>
    </w:tbl>
    <w:p w14:paraId="7365CF83">
      <w:pPr>
        <w:pStyle w:val="168"/>
        <w:keepLines/>
        <w:spacing w:before="60" w:after="60" w:line="240" w:lineRule="auto"/>
        <w:ind w:left="0" w:right="0" w:firstLine="0"/>
        <w:jc w:val="left"/>
      </w:pPr>
      <w:r>
        <w:rPr>
          <w:rFonts w:ascii="Times New Roman" w:hAnsi="Times New Roman" w:eastAsia="Times New Roman"/>
          <w:i/>
          <w:color w:val="000000"/>
          <w:sz w:val="20"/>
        </w:rPr>
        <w:t>Note. Preferred fixed-effects specification with county-clustered standard errors.</w:t>
      </w:r>
    </w:p>
    <w:p w14:paraId="4CBB7A0E">
      <w:pPr>
        <w:pStyle w:val="4"/>
        <w:spacing w:before="160" w:after="80" w:line="276" w:lineRule="auto"/>
        <w:ind w:left="0" w:right="0" w:firstLine="0"/>
        <w:jc w:val="left"/>
      </w:pPr>
      <w:r>
        <w:rPr>
          <w:rFonts w:ascii="Times New Roman" w:hAnsi="Times New Roman" w:eastAsia="Times New Roman"/>
          <w:b/>
          <w:i w:val="0"/>
          <w:color w:val="000000"/>
          <w:sz w:val="24"/>
        </w:rPr>
        <w:t>Appendix Table H11. Mediation Panel B: outcome models including all mediators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6B39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28AAC6DD">
            <w:pPr>
              <w:keepLines/>
              <w:spacing w:before="0" w:after="0" w:line="240" w:lineRule="auto"/>
              <w:jc w:val="center"/>
            </w:pPr>
            <w:r>
              <w:rPr>
                <w:rFonts w:ascii="Times New Roman" w:hAnsi="Times New Roman" w:eastAsia="Times New Roman"/>
                <w:b/>
                <w:i w:val="0"/>
                <w:color w:val="000000"/>
                <w:sz w:val="18"/>
              </w:rPr>
              <w:t>Variable</w:t>
            </w:r>
          </w:p>
        </w:tc>
        <w:tc>
          <w:tcPr>
            <w:tcW w:w="2015" w:type="dxa"/>
            <w:tcBorders>
              <w:top w:val="single" w:color="000000" w:sz="8" w:space="0"/>
              <w:left w:val="nil"/>
              <w:bottom w:val="single" w:color="000000" w:sz="8" w:space="0"/>
              <w:right w:val="nil"/>
              <w:insideH w:val="nil"/>
              <w:insideV w:val="nil"/>
            </w:tcBorders>
            <w:vAlign w:val="center"/>
          </w:tcPr>
          <w:p w14:paraId="2E0AE66B">
            <w:pPr>
              <w:keepLines/>
              <w:spacing w:before="0" w:after="0" w:line="240" w:lineRule="auto"/>
              <w:jc w:val="center"/>
            </w:pPr>
            <w:r>
              <w:rPr>
                <w:rFonts w:ascii="Times New Roman" w:hAnsi="Times New Roman" w:eastAsia="Times New Roman"/>
                <w:b/>
                <w:i w:val="0"/>
                <w:color w:val="000000"/>
                <w:sz w:val="18"/>
              </w:rPr>
              <w:t>LifeStability</w:t>
            </w:r>
          </w:p>
        </w:tc>
        <w:tc>
          <w:tcPr>
            <w:tcW w:w="1728" w:type="dxa"/>
            <w:tcBorders>
              <w:top w:val="single" w:color="000000" w:sz="8" w:space="0"/>
              <w:left w:val="nil"/>
              <w:bottom w:val="single" w:color="000000" w:sz="8" w:space="0"/>
              <w:right w:val="nil"/>
              <w:insideH w:val="nil"/>
              <w:insideV w:val="nil"/>
            </w:tcBorders>
            <w:vAlign w:val="center"/>
          </w:tcPr>
          <w:p w14:paraId="5EDCCC40">
            <w:pPr>
              <w:keepLines/>
              <w:spacing w:before="0" w:after="0" w:line="240" w:lineRule="auto"/>
              <w:jc w:val="center"/>
            </w:pPr>
            <w:r>
              <w:rPr>
                <w:rFonts w:ascii="Times New Roman" w:hAnsi="Times New Roman" w:eastAsia="Times New Roman"/>
                <w:b/>
                <w:i w:val="0"/>
                <w:color w:val="000000"/>
                <w:sz w:val="18"/>
              </w:rPr>
              <w:t>PsychDistress</w:t>
            </w:r>
          </w:p>
        </w:tc>
        <w:tc>
          <w:tcPr>
            <w:tcW w:w="2880" w:type="dxa"/>
            <w:tcBorders>
              <w:top w:val="single" w:color="000000" w:sz="8" w:space="0"/>
              <w:left w:val="nil"/>
              <w:bottom w:val="single" w:color="000000" w:sz="8" w:space="0"/>
              <w:right w:val="nil"/>
              <w:insideH w:val="nil"/>
              <w:insideV w:val="nil"/>
            </w:tcBorders>
            <w:vAlign w:val="center"/>
          </w:tcPr>
          <w:p w14:paraId="32A7D88A">
            <w:pPr>
              <w:keepLines/>
              <w:spacing w:before="0" w:after="0" w:line="240" w:lineRule="auto"/>
              <w:jc w:val="center"/>
            </w:pPr>
            <w:r>
              <w:rPr>
                <w:rFonts w:ascii="Times New Roman" w:hAnsi="Times New Roman" w:eastAsia="Times New Roman"/>
                <w:b/>
                <w:i w:val="0"/>
                <w:color w:val="000000"/>
                <w:sz w:val="18"/>
              </w:rPr>
              <w:t>MigIntent</w:t>
            </w:r>
          </w:p>
        </w:tc>
      </w:tr>
      <w:tr w14:paraId="7BD89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442FA395">
            <w:pPr>
              <w:keepLines/>
              <w:spacing w:before="0" w:after="0" w:line="240" w:lineRule="auto"/>
              <w:jc w:val="left"/>
            </w:pPr>
            <w:r>
              <w:rPr>
                <w:rFonts w:ascii="Times New Roman" w:hAnsi="Times New Roman" w:eastAsia="Times New Roman"/>
                <w:b w:val="0"/>
                <w:i w:val="0"/>
                <w:color w:val="000000"/>
                <w:sz w:val="18"/>
              </w:rPr>
              <w:t>ClimateShock direct effect c'</w:t>
            </w:r>
          </w:p>
        </w:tc>
        <w:tc>
          <w:tcPr>
            <w:tcW w:w="2015" w:type="dxa"/>
            <w:tcBorders>
              <w:top w:val="nil"/>
              <w:left w:val="nil"/>
              <w:bottom w:val="nil"/>
              <w:right w:val="nil"/>
              <w:insideH w:val="nil"/>
              <w:insideV w:val="nil"/>
            </w:tcBorders>
            <w:vAlign w:val="center"/>
          </w:tcPr>
          <w:p w14:paraId="0B5C2814">
            <w:pPr>
              <w:keepLines/>
              <w:spacing w:before="0" w:after="0" w:line="240" w:lineRule="auto"/>
              <w:jc w:val="left"/>
            </w:pPr>
            <w:r>
              <w:rPr>
                <w:rFonts w:ascii="Times New Roman" w:hAnsi="Times New Roman" w:eastAsia="Times New Roman"/>
                <w:b w:val="0"/>
                <w:i w:val="0"/>
                <w:color w:val="000000"/>
                <w:sz w:val="18"/>
              </w:rPr>
              <w:t>-0.042***</w:t>
            </w:r>
          </w:p>
        </w:tc>
        <w:tc>
          <w:tcPr>
            <w:tcW w:w="1728" w:type="dxa"/>
            <w:tcBorders>
              <w:top w:val="nil"/>
              <w:left w:val="nil"/>
              <w:bottom w:val="nil"/>
              <w:right w:val="nil"/>
              <w:insideH w:val="nil"/>
              <w:insideV w:val="nil"/>
            </w:tcBorders>
            <w:vAlign w:val="center"/>
          </w:tcPr>
          <w:p w14:paraId="694ED7BC">
            <w:pPr>
              <w:keepLines/>
              <w:spacing w:before="0" w:after="0" w:line="240" w:lineRule="auto"/>
              <w:jc w:val="left"/>
            </w:pPr>
            <w:r>
              <w:rPr>
                <w:rFonts w:ascii="Times New Roman" w:hAnsi="Times New Roman" w:eastAsia="Times New Roman"/>
                <w:b w:val="0"/>
                <w:i w:val="0"/>
                <w:color w:val="000000"/>
                <w:sz w:val="18"/>
              </w:rPr>
              <w:t>0.048***</w:t>
            </w:r>
          </w:p>
        </w:tc>
        <w:tc>
          <w:tcPr>
            <w:tcW w:w="2880" w:type="dxa"/>
            <w:tcBorders>
              <w:top w:val="nil"/>
              <w:left w:val="nil"/>
              <w:bottom w:val="nil"/>
              <w:right w:val="nil"/>
              <w:insideH w:val="nil"/>
              <w:insideV w:val="nil"/>
            </w:tcBorders>
            <w:vAlign w:val="center"/>
          </w:tcPr>
          <w:p w14:paraId="0DC08C22">
            <w:pPr>
              <w:keepLines/>
              <w:spacing w:before="0" w:after="0" w:line="240" w:lineRule="auto"/>
              <w:jc w:val="left"/>
            </w:pPr>
            <w:r>
              <w:rPr>
                <w:rFonts w:ascii="Times New Roman" w:hAnsi="Times New Roman" w:eastAsia="Times New Roman"/>
                <w:b w:val="0"/>
                <w:i w:val="0"/>
                <w:color w:val="000000"/>
                <w:sz w:val="18"/>
              </w:rPr>
              <w:t>0.039***</w:t>
            </w:r>
          </w:p>
        </w:tc>
      </w:tr>
      <w:tr w14:paraId="4F7ED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5AAC37FC">
            <w:pPr>
              <w:keepLines/>
              <w:spacing w:before="0" w:after="0" w:line="240" w:lineRule="auto"/>
              <w:jc w:val="left"/>
            </w:pPr>
            <w:r>
              <w:rPr>
                <w:rFonts w:ascii="Times New Roman" w:hAnsi="Times New Roman" w:eastAsia="Times New Roman"/>
                <w:b w:val="0"/>
                <w:i w:val="0"/>
                <w:color w:val="000000"/>
                <w:sz w:val="18"/>
              </w:rPr>
              <w:t>Trust</w:t>
            </w:r>
          </w:p>
        </w:tc>
        <w:tc>
          <w:tcPr>
            <w:tcW w:w="2015" w:type="dxa"/>
            <w:tcBorders>
              <w:top w:val="nil"/>
              <w:left w:val="nil"/>
              <w:bottom w:val="nil"/>
              <w:right w:val="nil"/>
              <w:insideH w:val="nil"/>
              <w:insideV w:val="nil"/>
            </w:tcBorders>
            <w:vAlign w:val="center"/>
          </w:tcPr>
          <w:p w14:paraId="45547282">
            <w:pPr>
              <w:keepLines/>
              <w:spacing w:before="0" w:after="0" w:line="240" w:lineRule="auto"/>
              <w:jc w:val="left"/>
            </w:pPr>
            <w:r>
              <w:rPr>
                <w:rFonts w:ascii="Times New Roman" w:hAnsi="Times New Roman" w:eastAsia="Times New Roman"/>
                <w:b w:val="0"/>
                <w:i w:val="0"/>
                <w:color w:val="000000"/>
                <w:sz w:val="18"/>
              </w:rPr>
              <w:t>0.216***</w:t>
            </w:r>
          </w:p>
        </w:tc>
        <w:tc>
          <w:tcPr>
            <w:tcW w:w="1728" w:type="dxa"/>
            <w:tcBorders>
              <w:top w:val="nil"/>
              <w:left w:val="nil"/>
              <w:bottom w:val="nil"/>
              <w:right w:val="nil"/>
              <w:insideH w:val="nil"/>
              <w:insideV w:val="nil"/>
            </w:tcBorders>
            <w:vAlign w:val="center"/>
          </w:tcPr>
          <w:p w14:paraId="3CE075DE">
            <w:pPr>
              <w:keepLines/>
              <w:spacing w:before="0" w:after="0" w:line="240" w:lineRule="auto"/>
              <w:jc w:val="left"/>
            </w:pPr>
            <w:r>
              <w:rPr>
                <w:rFonts w:ascii="Times New Roman" w:hAnsi="Times New Roman" w:eastAsia="Times New Roman"/>
                <w:b w:val="0"/>
                <w:i w:val="0"/>
                <w:color w:val="000000"/>
                <w:sz w:val="18"/>
              </w:rPr>
              <w:t>-0.183***</w:t>
            </w:r>
          </w:p>
        </w:tc>
        <w:tc>
          <w:tcPr>
            <w:tcW w:w="2880" w:type="dxa"/>
            <w:tcBorders>
              <w:top w:val="nil"/>
              <w:left w:val="nil"/>
              <w:bottom w:val="nil"/>
              <w:right w:val="nil"/>
              <w:insideH w:val="nil"/>
              <w:insideV w:val="nil"/>
            </w:tcBorders>
            <w:vAlign w:val="center"/>
          </w:tcPr>
          <w:p w14:paraId="1A1B1E48">
            <w:pPr>
              <w:keepLines/>
              <w:spacing w:before="0" w:after="0" w:line="240" w:lineRule="auto"/>
              <w:jc w:val="left"/>
            </w:pPr>
            <w:r>
              <w:rPr>
                <w:rFonts w:ascii="Times New Roman" w:hAnsi="Times New Roman" w:eastAsia="Times New Roman"/>
                <w:b w:val="0"/>
                <w:i w:val="0"/>
                <w:color w:val="000000"/>
                <w:sz w:val="18"/>
              </w:rPr>
              <w:t>-0.147***</w:t>
            </w:r>
          </w:p>
        </w:tc>
      </w:tr>
      <w:tr w14:paraId="321CB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8754F6F">
            <w:pPr>
              <w:keepLines/>
              <w:spacing w:before="0" w:after="0" w:line="240" w:lineRule="auto"/>
              <w:jc w:val="left"/>
            </w:pPr>
            <w:r>
              <w:rPr>
                <w:rFonts w:ascii="Times New Roman" w:hAnsi="Times New Roman" w:eastAsia="Times New Roman"/>
                <w:b w:val="0"/>
                <w:i w:val="0"/>
                <w:color w:val="000000"/>
                <w:sz w:val="18"/>
              </w:rPr>
              <w:t>Reciprocity</w:t>
            </w:r>
          </w:p>
        </w:tc>
        <w:tc>
          <w:tcPr>
            <w:tcW w:w="2015" w:type="dxa"/>
            <w:tcBorders>
              <w:top w:val="nil"/>
              <w:left w:val="nil"/>
              <w:bottom w:val="nil"/>
              <w:right w:val="nil"/>
              <w:insideH w:val="nil"/>
              <w:insideV w:val="nil"/>
            </w:tcBorders>
            <w:vAlign w:val="center"/>
          </w:tcPr>
          <w:p w14:paraId="10D9F977">
            <w:pPr>
              <w:keepLines/>
              <w:spacing w:before="0" w:after="0" w:line="240" w:lineRule="auto"/>
              <w:jc w:val="left"/>
            </w:pPr>
            <w:r>
              <w:rPr>
                <w:rFonts w:ascii="Times New Roman" w:hAnsi="Times New Roman" w:eastAsia="Times New Roman"/>
                <w:b w:val="0"/>
                <w:i w:val="0"/>
                <w:color w:val="000000"/>
                <w:sz w:val="18"/>
              </w:rPr>
              <w:t>0.174***</w:t>
            </w:r>
          </w:p>
        </w:tc>
        <w:tc>
          <w:tcPr>
            <w:tcW w:w="1728" w:type="dxa"/>
            <w:tcBorders>
              <w:top w:val="nil"/>
              <w:left w:val="nil"/>
              <w:bottom w:val="nil"/>
              <w:right w:val="nil"/>
              <w:insideH w:val="nil"/>
              <w:insideV w:val="nil"/>
            </w:tcBorders>
            <w:vAlign w:val="center"/>
          </w:tcPr>
          <w:p w14:paraId="5DBF31A9">
            <w:pPr>
              <w:keepLines/>
              <w:spacing w:before="0" w:after="0" w:line="240" w:lineRule="auto"/>
              <w:jc w:val="left"/>
            </w:pPr>
            <w:r>
              <w:rPr>
                <w:rFonts w:ascii="Times New Roman" w:hAnsi="Times New Roman" w:eastAsia="Times New Roman"/>
                <w:b w:val="0"/>
                <w:i w:val="0"/>
                <w:color w:val="000000"/>
                <w:sz w:val="18"/>
              </w:rPr>
              <w:t>-0.141***</w:t>
            </w:r>
          </w:p>
        </w:tc>
        <w:tc>
          <w:tcPr>
            <w:tcW w:w="2880" w:type="dxa"/>
            <w:tcBorders>
              <w:top w:val="nil"/>
              <w:left w:val="nil"/>
              <w:bottom w:val="nil"/>
              <w:right w:val="nil"/>
              <w:insideH w:val="nil"/>
              <w:insideV w:val="nil"/>
            </w:tcBorders>
            <w:vAlign w:val="center"/>
          </w:tcPr>
          <w:p w14:paraId="249731FF">
            <w:pPr>
              <w:keepLines/>
              <w:spacing w:before="0" w:after="0" w:line="240" w:lineRule="auto"/>
              <w:jc w:val="left"/>
            </w:pPr>
            <w:r>
              <w:rPr>
                <w:rFonts w:ascii="Times New Roman" w:hAnsi="Times New Roman" w:eastAsia="Times New Roman"/>
                <w:b w:val="0"/>
                <w:i w:val="0"/>
                <w:color w:val="000000"/>
                <w:sz w:val="18"/>
              </w:rPr>
              <w:t>-0.112***</w:t>
            </w:r>
          </w:p>
        </w:tc>
      </w:tr>
      <w:tr w14:paraId="2F5B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763F40A2">
            <w:pPr>
              <w:keepLines/>
              <w:spacing w:before="0" w:after="0" w:line="240" w:lineRule="auto"/>
              <w:jc w:val="left"/>
            </w:pPr>
            <w:r>
              <w:rPr>
                <w:rFonts w:ascii="Times New Roman" w:hAnsi="Times New Roman" w:eastAsia="Times New Roman"/>
                <w:b w:val="0"/>
                <w:i w:val="0"/>
                <w:color w:val="000000"/>
                <w:sz w:val="18"/>
              </w:rPr>
              <w:t>PublicService</w:t>
            </w:r>
          </w:p>
        </w:tc>
        <w:tc>
          <w:tcPr>
            <w:tcW w:w="2015" w:type="dxa"/>
            <w:tcBorders>
              <w:top w:val="nil"/>
              <w:left w:val="nil"/>
              <w:bottom w:val="single" w:color="000000" w:sz="8" w:space="0"/>
              <w:right w:val="nil"/>
              <w:insideH w:val="nil"/>
              <w:insideV w:val="nil"/>
            </w:tcBorders>
            <w:vAlign w:val="center"/>
          </w:tcPr>
          <w:p w14:paraId="2F12065B">
            <w:pPr>
              <w:keepLines/>
              <w:spacing w:before="0" w:after="0" w:line="240" w:lineRule="auto"/>
              <w:jc w:val="left"/>
            </w:pPr>
            <w:r>
              <w:rPr>
                <w:rFonts w:ascii="Times New Roman" w:hAnsi="Times New Roman" w:eastAsia="Times New Roman"/>
                <w:b w:val="0"/>
                <w:i w:val="0"/>
                <w:color w:val="000000"/>
                <w:sz w:val="18"/>
              </w:rPr>
              <w:t>0.249***</w:t>
            </w:r>
          </w:p>
        </w:tc>
        <w:tc>
          <w:tcPr>
            <w:tcW w:w="1728" w:type="dxa"/>
            <w:tcBorders>
              <w:top w:val="nil"/>
              <w:left w:val="nil"/>
              <w:bottom w:val="single" w:color="000000" w:sz="8" w:space="0"/>
              <w:right w:val="nil"/>
              <w:insideH w:val="nil"/>
              <w:insideV w:val="nil"/>
            </w:tcBorders>
            <w:vAlign w:val="center"/>
          </w:tcPr>
          <w:p w14:paraId="16DF55ED">
            <w:pPr>
              <w:keepLines/>
              <w:spacing w:before="0" w:after="0" w:line="240" w:lineRule="auto"/>
              <w:jc w:val="left"/>
            </w:pPr>
            <w:r>
              <w:rPr>
                <w:rFonts w:ascii="Times New Roman" w:hAnsi="Times New Roman" w:eastAsia="Times New Roman"/>
                <w:b w:val="0"/>
                <w:i w:val="0"/>
                <w:color w:val="000000"/>
                <w:sz w:val="18"/>
              </w:rPr>
              <w:t>-0.207***</w:t>
            </w:r>
          </w:p>
        </w:tc>
        <w:tc>
          <w:tcPr>
            <w:tcW w:w="2880" w:type="dxa"/>
            <w:tcBorders>
              <w:top w:val="nil"/>
              <w:left w:val="nil"/>
              <w:bottom w:val="single" w:color="000000" w:sz="8" w:space="0"/>
              <w:right w:val="nil"/>
              <w:insideH w:val="nil"/>
              <w:insideV w:val="nil"/>
            </w:tcBorders>
            <w:vAlign w:val="center"/>
          </w:tcPr>
          <w:p w14:paraId="51621EE8">
            <w:pPr>
              <w:keepLines/>
              <w:spacing w:before="0" w:after="0" w:line="240" w:lineRule="auto"/>
              <w:jc w:val="left"/>
            </w:pPr>
            <w:r>
              <w:rPr>
                <w:rFonts w:ascii="Times New Roman" w:hAnsi="Times New Roman" w:eastAsia="Times New Roman"/>
                <w:b w:val="0"/>
                <w:i w:val="0"/>
                <w:color w:val="000000"/>
                <w:sz w:val="18"/>
              </w:rPr>
              <w:t>-0.168***</w:t>
            </w:r>
          </w:p>
        </w:tc>
      </w:tr>
    </w:tbl>
    <w:p w14:paraId="4FD7DF22">
      <w:pPr>
        <w:pStyle w:val="168"/>
        <w:keepLines/>
        <w:spacing w:before="60" w:after="60" w:line="240" w:lineRule="auto"/>
        <w:ind w:left="0" w:right="0" w:firstLine="0"/>
        <w:jc w:val="left"/>
      </w:pPr>
      <w:r>
        <w:rPr>
          <w:rFonts w:ascii="Times New Roman" w:hAnsi="Times New Roman" w:eastAsia="Times New Roman"/>
          <w:i/>
          <w:color w:val="000000"/>
          <w:sz w:val="20"/>
        </w:rPr>
        <w:t>Note. Controls and fixed effects are included but omitted for compact presentation.</w:t>
      </w:r>
    </w:p>
    <w:p w14:paraId="4921E672">
      <w:pPr>
        <w:pStyle w:val="4"/>
        <w:spacing w:before="160" w:after="80" w:line="276" w:lineRule="auto"/>
        <w:ind w:left="0" w:right="0" w:firstLine="0"/>
        <w:jc w:val="left"/>
      </w:pPr>
      <w:r>
        <w:rPr>
          <w:rFonts w:ascii="Times New Roman" w:hAnsi="Times New Roman" w:eastAsia="Times New Roman"/>
          <w:b/>
          <w:i w:val="0"/>
          <w:color w:val="000000"/>
          <w:sz w:val="24"/>
        </w:rPr>
        <w:t>Appendix Table H12. Mediation Panel C: bootstrap indirect effects, 5,000 repetitions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040"/>
        <w:gridCol w:w="2040"/>
        <w:gridCol w:w="2040"/>
        <w:gridCol w:w="2040"/>
        <w:gridCol w:w="2040"/>
      </w:tblGrid>
      <w:tr w14:paraId="27F2B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1944" w:type="dxa"/>
            <w:tcBorders>
              <w:top w:val="single" w:color="000000" w:sz="8" w:space="0"/>
              <w:left w:val="nil"/>
              <w:bottom w:val="single" w:color="000000" w:sz="8" w:space="0"/>
              <w:right w:val="nil"/>
              <w:insideH w:val="nil"/>
              <w:insideV w:val="nil"/>
            </w:tcBorders>
            <w:vAlign w:val="center"/>
          </w:tcPr>
          <w:p w14:paraId="5B2CC894">
            <w:pPr>
              <w:keepLines/>
              <w:spacing w:before="0" w:after="0" w:line="240" w:lineRule="auto"/>
              <w:jc w:val="center"/>
            </w:pPr>
            <w:r>
              <w:rPr>
                <w:rFonts w:ascii="Times New Roman" w:hAnsi="Times New Roman" w:eastAsia="Times New Roman"/>
                <w:b/>
                <w:i w:val="0"/>
                <w:color w:val="000000"/>
                <w:sz w:val="18"/>
              </w:rPr>
              <w:t>Indirect pathway</w:t>
            </w:r>
          </w:p>
        </w:tc>
        <w:tc>
          <w:tcPr>
            <w:tcW w:w="2088" w:type="dxa"/>
            <w:tcBorders>
              <w:top w:val="single" w:color="000000" w:sz="8" w:space="0"/>
              <w:left w:val="nil"/>
              <w:bottom w:val="single" w:color="000000" w:sz="8" w:space="0"/>
              <w:right w:val="nil"/>
              <w:insideH w:val="nil"/>
              <w:insideV w:val="nil"/>
            </w:tcBorders>
            <w:vAlign w:val="center"/>
          </w:tcPr>
          <w:p w14:paraId="10EF31EA">
            <w:pPr>
              <w:keepLines/>
              <w:spacing w:before="0" w:after="0" w:line="240" w:lineRule="auto"/>
              <w:jc w:val="center"/>
            </w:pPr>
            <w:r>
              <w:rPr>
                <w:rFonts w:ascii="Times New Roman" w:hAnsi="Times New Roman" w:eastAsia="Times New Roman"/>
                <w:b/>
                <w:i w:val="0"/>
                <w:color w:val="000000"/>
                <w:sz w:val="18"/>
              </w:rPr>
              <w:t>Indirect effect</w:t>
            </w:r>
          </w:p>
        </w:tc>
        <w:tc>
          <w:tcPr>
            <w:tcW w:w="1296" w:type="dxa"/>
            <w:tcBorders>
              <w:top w:val="single" w:color="000000" w:sz="8" w:space="0"/>
              <w:left w:val="nil"/>
              <w:bottom w:val="single" w:color="000000" w:sz="8" w:space="0"/>
              <w:right w:val="nil"/>
              <w:insideH w:val="nil"/>
              <w:insideV w:val="nil"/>
            </w:tcBorders>
            <w:vAlign w:val="center"/>
          </w:tcPr>
          <w:p w14:paraId="55F7EC5A">
            <w:pPr>
              <w:keepLines/>
              <w:spacing w:before="0" w:after="0" w:line="240" w:lineRule="auto"/>
              <w:jc w:val="center"/>
            </w:pPr>
            <w:r>
              <w:rPr>
                <w:rFonts w:ascii="Times New Roman" w:hAnsi="Times New Roman" w:eastAsia="Times New Roman"/>
                <w:b/>
                <w:i w:val="0"/>
                <w:color w:val="000000"/>
                <w:sz w:val="18"/>
              </w:rPr>
              <w:t>95% CI lower</w:t>
            </w:r>
          </w:p>
        </w:tc>
        <w:tc>
          <w:tcPr>
            <w:tcW w:w="1296" w:type="dxa"/>
            <w:tcBorders>
              <w:top w:val="single" w:color="000000" w:sz="8" w:space="0"/>
              <w:left w:val="nil"/>
              <w:bottom w:val="single" w:color="000000" w:sz="8" w:space="0"/>
              <w:right w:val="nil"/>
              <w:insideH w:val="nil"/>
              <w:insideV w:val="nil"/>
            </w:tcBorders>
            <w:vAlign w:val="center"/>
          </w:tcPr>
          <w:p w14:paraId="2027C9B7">
            <w:pPr>
              <w:keepLines/>
              <w:spacing w:before="0" w:after="0" w:line="240" w:lineRule="auto"/>
              <w:jc w:val="center"/>
            </w:pPr>
            <w:r>
              <w:rPr>
                <w:rFonts w:ascii="Times New Roman" w:hAnsi="Times New Roman" w:eastAsia="Times New Roman"/>
                <w:b/>
                <w:i w:val="0"/>
                <w:color w:val="000000"/>
                <w:sz w:val="18"/>
              </w:rPr>
              <w:t>95% CI upper</w:t>
            </w:r>
          </w:p>
        </w:tc>
        <w:tc>
          <w:tcPr>
            <w:tcW w:w="2736" w:type="dxa"/>
            <w:tcBorders>
              <w:top w:val="single" w:color="000000" w:sz="8" w:space="0"/>
              <w:left w:val="nil"/>
              <w:bottom w:val="single" w:color="000000" w:sz="8" w:space="0"/>
              <w:right w:val="nil"/>
              <w:insideH w:val="nil"/>
              <w:insideV w:val="nil"/>
            </w:tcBorders>
            <w:vAlign w:val="center"/>
          </w:tcPr>
          <w:p w14:paraId="5BCBF36E">
            <w:pPr>
              <w:keepLines/>
              <w:spacing w:before="0" w:after="0" w:line="240" w:lineRule="auto"/>
              <w:jc w:val="center"/>
            </w:pPr>
            <w:r>
              <w:rPr>
                <w:rFonts w:ascii="Times New Roman" w:hAnsi="Times New Roman" w:eastAsia="Times New Roman"/>
                <w:b/>
                <w:i w:val="0"/>
                <w:color w:val="000000"/>
                <w:sz w:val="18"/>
              </w:rPr>
              <w:t>Significance</w:t>
            </w:r>
          </w:p>
        </w:tc>
      </w:tr>
      <w:tr w14:paraId="226DA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7F7EDAF0">
            <w:pPr>
              <w:keepLines/>
              <w:spacing w:before="0" w:after="0" w:line="240" w:lineRule="auto"/>
              <w:jc w:val="left"/>
            </w:pPr>
            <w:r>
              <w:rPr>
                <w:rFonts w:ascii="Times New Roman" w:hAnsi="Times New Roman" w:eastAsia="Times New Roman"/>
                <w:b w:val="0"/>
                <w:i w:val="0"/>
                <w:color w:val="000000"/>
                <w:sz w:val="18"/>
              </w:rPr>
              <w:t>ClimateShock -&gt; Trust -&gt; LifeStability</w:t>
            </w:r>
          </w:p>
        </w:tc>
        <w:tc>
          <w:tcPr>
            <w:tcW w:w="2088" w:type="dxa"/>
            <w:tcBorders>
              <w:top w:val="nil"/>
              <w:left w:val="nil"/>
              <w:bottom w:val="nil"/>
              <w:right w:val="nil"/>
              <w:insideH w:val="nil"/>
              <w:insideV w:val="nil"/>
            </w:tcBorders>
            <w:vAlign w:val="center"/>
          </w:tcPr>
          <w:p w14:paraId="10AA96C4">
            <w:pPr>
              <w:keepLines/>
              <w:spacing w:before="0" w:after="0" w:line="240" w:lineRule="auto"/>
              <w:jc w:val="left"/>
            </w:pPr>
            <w:r>
              <w:rPr>
                <w:rFonts w:ascii="Times New Roman" w:hAnsi="Times New Roman" w:eastAsia="Times New Roman"/>
                <w:b w:val="0"/>
                <w:i w:val="0"/>
                <w:color w:val="000000"/>
                <w:sz w:val="18"/>
              </w:rPr>
              <w:t>-0.0138</w:t>
            </w:r>
          </w:p>
        </w:tc>
        <w:tc>
          <w:tcPr>
            <w:tcW w:w="1296" w:type="dxa"/>
            <w:tcBorders>
              <w:top w:val="nil"/>
              <w:left w:val="nil"/>
              <w:bottom w:val="nil"/>
              <w:right w:val="nil"/>
              <w:insideH w:val="nil"/>
              <w:insideV w:val="nil"/>
            </w:tcBorders>
            <w:vAlign w:val="center"/>
          </w:tcPr>
          <w:p w14:paraId="5681B4D7">
            <w:pPr>
              <w:keepLines/>
              <w:spacing w:before="0" w:after="0" w:line="240" w:lineRule="auto"/>
              <w:jc w:val="left"/>
            </w:pPr>
            <w:r>
              <w:rPr>
                <w:rFonts w:ascii="Times New Roman" w:hAnsi="Times New Roman" w:eastAsia="Times New Roman"/>
                <w:b w:val="0"/>
                <w:i w:val="0"/>
                <w:color w:val="000000"/>
                <w:sz w:val="18"/>
              </w:rPr>
              <w:t>-0.0176</w:t>
            </w:r>
          </w:p>
        </w:tc>
        <w:tc>
          <w:tcPr>
            <w:tcW w:w="1296" w:type="dxa"/>
            <w:tcBorders>
              <w:top w:val="nil"/>
              <w:left w:val="nil"/>
              <w:bottom w:val="nil"/>
              <w:right w:val="nil"/>
              <w:insideH w:val="nil"/>
              <w:insideV w:val="nil"/>
            </w:tcBorders>
            <w:vAlign w:val="center"/>
          </w:tcPr>
          <w:p w14:paraId="49A0D76C">
            <w:pPr>
              <w:keepLines/>
              <w:spacing w:before="0" w:after="0" w:line="240" w:lineRule="auto"/>
              <w:jc w:val="left"/>
            </w:pPr>
            <w:r>
              <w:rPr>
                <w:rFonts w:ascii="Times New Roman" w:hAnsi="Times New Roman" w:eastAsia="Times New Roman"/>
                <w:b w:val="0"/>
                <w:i w:val="0"/>
                <w:color w:val="000000"/>
                <w:sz w:val="18"/>
              </w:rPr>
              <w:t>-0.0101</w:t>
            </w:r>
          </w:p>
        </w:tc>
        <w:tc>
          <w:tcPr>
            <w:tcW w:w="2736" w:type="dxa"/>
            <w:tcBorders>
              <w:top w:val="nil"/>
              <w:left w:val="nil"/>
              <w:bottom w:val="nil"/>
              <w:right w:val="nil"/>
              <w:insideH w:val="nil"/>
              <w:insideV w:val="nil"/>
            </w:tcBorders>
            <w:vAlign w:val="center"/>
          </w:tcPr>
          <w:p w14:paraId="0209482A">
            <w:pPr>
              <w:keepLines/>
              <w:spacing w:before="0" w:after="0" w:line="240" w:lineRule="auto"/>
              <w:jc w:val="left"/>
            </w:pPr>
            <w:r>
              <w:rPr>
                <w:rFonts w:ascii="Times New Roman" w:hAnsi="Times New Roman" w:eastAsia="Times New Roman"/>
                <w:b w:val="0"/>
                <w:i w:val="0"/>
                <w:color w:val="000000"/>
                <w:sz w:val="18"/>
              </w:rPr>
              <w:t>***</w:t>
            </w:r>
          </w:p>
        </w:tc>
      </w:tr>
      <w:tr w14:paraId="3D64B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20AF7BC9">
            <w:pPr>
              <w:keepLines/>
              <w:spacing w:before="0" w:after="0" w:line="240" w:lineRule="auto"/>
              <w:jc w:val="left"/>
            </w:pPr>
            <w:r>
              <w:rPr>
                <w:rFonts w:ascii="Times New Roman" w:hAnsi="Times New Roman" w:eastAsia="Times New Roman"/>
                <w:b w:val="0"/>
                <w:i w:val="0"/>
                <w:color w:val="000000"/>
                <w:sz w:val="18"/>
              </w:rPr>
              <w:t>ClimateShock -&gt; Reciprocity -&gt; LifeStability</w:t>
            </w:r>
          </w:p>
        </w:tc>
        <w:tc>
          <w:tcPr>
            <w:tcW w:w="2088" w:type="dxa"/>
            <w:tcBorders>
              <w:top w:val="nil"/>
              <w:left w:val="nil"/>
              <w:bottom w:val="nil"/>
              <w:right w:val="nil"/>
              <w:insideH w:val="nil"/>
              <w:insideV w:val="nil"/>
            </w:tcBorders>
            <w:vAlign w:val="center"/>
          </w:tcPr>
          <w:p w14:paraId="61FE4394">
            <w:pPr>
              <w:keepLines/>
              <w:spacing w:before="0" w:after="0" w:line="240" w:lineRule="auto"/>
              <w:jc w:val="left"/>
            </w:pPr>
            <w:r>
              <w:rPr>
                <w:rFonts w:ascii="Times New Roman" w:hAnsi="Times New Roman" w:eastAsia="Times New Roman"/>
                <w:b w:val="0"/>
                <w:i w:val="0"/>
                <w:color w:val="000000"/>
                <w:sz w:val="18"/>
              </w:rPr>
              <w:t>-0.0099</w:t>
            </w:r>
          </w:p>
        </w:tc>
        <w:tc>
          <w:tcPr>
            <w:tcW w:w="1296" w:type="dxa"/>
            <w:tcBorders>
              <w:top w:val="nil"/>
              <w:left w:val="nil"/>
              <w:bottom w:val="nil"/>
              <w:right w:val="nil"/>
              <w:insideH w:val="nil"/>
              <w:insideV w:val="nil"/>
            </w:tcBorders>
            <w:vAlign w:val="center"/>
          </w:tcPr>
          <w:p w14:paraId="44410C47">
            <w:pPr>
              <w:keepLines/>
              <w:spacing w:before="0" w:after="0" w:line="240" w:lineRule="auto"/>
              <w:jc w:val="left"/>
            </w:pPr>
            <w:r>
              <w:rPr>
                <w:rFonts w:ascii="Times New Roman" w:hAnsi="Times New Roman" w:eastAsia="Times New Roman"/>
                <w:b w:val="0"/>
                <w:i w:val="0"/>
                <w:color w:val="000000"/>
                <w:sz w:val="18"/>
              </w:rPr>
              <w:t>-0.0132</w:t>
            </w:r>
          </w:p>
        </w:tc>
        <w:tc>
          <w:tcPr>
            <w:tcW w:w="1296" w:type="dxa"/>
            <w:tcBorders>
              <w:top w:val="nil"/>
              <w:left w:val="nil"/>
              <w:bottom w:val="nil"/>
              <w:right w:val="nil"/>
              <w:insideH w:val="nil"/>
              <w:insideV w:val="nil"/>
            </w:tcBorders>
            <w:vAlign w:val="center"/>
          </w:tcPr>
          <w:p w14:paraId="2FA5C982">
            <w:pPr>
              <w:keepLines/>
              <w:spacing w:before="0" w:after="0" w:line="240" w:lineRule="auto"/>
              <w:jc w:val="left"/>
            </w:pPr>
            <w:r>
              <w:rPr>
                <w:rFonts w:ascii="Times New Roman" w:hAnsi="Times New Roman" w:eastAsia="Times New Roman"/>
                <w:b w:val="0"/>
                <w:i w:val="0"/>
                <w:color w:val="000000"/>
                <w:sz w:val="18"/>
              </w:rPr>
              <w:t>-0.0068</w:t>
            </w:r>
          </w:p>
        </w:tc>
        <w:tc>
          <w:tcPr>
            <w:tcW w:w="2736" w:type="dxa"/>
            <w:tcBorders>
              <w:top w:val="nil"/>
              <w:left w:val="nil"/>
              <w:bottom w:val="nil"/>
              <w:right w:val="nil"/>
              <w:insideH w:val="nil"/>
              <w:insideV w:val="nil"/>
            </w:tcBorders>
            <w:vAlign w:val="center"/>
          </w:tcPr>
          <w:p w14:paraId="42F20064">
            <w:pPr>
              <w:keepLines/>
              <w:spacing w:before="0" w:after="0" w:line="240" w:lineRule="auto"/>
              <w:jc w:val="left"/>
            </w:pPr>
            <w:r>
              <w:rPr>
                <w:rFonts w:ascii="Times New Roman" w:hAnsi="Times New Roman" w:eastAsia="Times New Roman"/>
                <w:b w:val="0"/>
                <w:i w:val="0"/>
                <w:color w:val="000000"/>
                <w:sz w:val="18"/>
              </w:rPr>
              <w:t>***</w:t>
            </w:r>
          </w:p>
        </w:tc>
      </w:tr>
      <w:tr w14:paraId="027BD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4BD764DA">
            <w:pPr>
              <w:keepLines/>
              <w:spacing w:before="0" w:after="0" w:line="240" w:lineRule="auto"/>
              <w:jc w:val="left"/>
            </w:pPr>
            <w:r>
              <w:rPr>
                <w:rFonts w:ascii="Times New Roman" w:hAnsi="Times New Roman" w:eastAsia="Times New Roman"/>
                <w:b w:val="0"/>
                <w:i w:val="0"/>
                <w:color w:val="000000"/>
                <w:sz w:val="18"/>
              </w:rPr>
              <w:t>ClimateShock -&gt; PublicService -&gt; LifeStability</w:t>
            </w:r>
          </w:p>
        </w:tc>
        <w:tc>
          <w:tcPr>
            <w:tcW w:w="2088" w:type="dxa"/>
            <w:tcBorders>
              <w:top w:val="nil"/>
              <w:left w:val="nil"/>
              <w:bottom w:val="nil"/>
              <w:right w:val="nil"/>
              <w:insideH w:val="nil"/>
              <w:insideV w:val="nil"/>
            </w:tcBorders>
            <w:vAlign w:val="center"/>
          </w:tcPr>
          <w:p w14:paraId="5949722B">
            <w:pPr>
              <w:keepLines/>
              <w:spacing w:before="0" w:after="0" w:line="240" w:lineRule="auto"/>
              <w:jc w:val="left"/>
            </w:pPr>
            <w:r>
              <w:rPr>
                <w:rFonts w:ascii="Times New Roman" w:hAnsi="Times New Roman" w:eastAsia="Times New Roman"/>
                <w:b w:val="0"/>
                <w:i w:val="0"/>
                <w:color w:val="000000"/>
                <w:sz w:val="18"/>
              </w:rPr>
              <w:t>-0.0177</w:t>
            </w:r>
          </w:p>
        </w:tc>
        <w:tc>
          <w:tcPr>
            <w:tcW w:w="1296" w:type="dxa"/>
            <w:tcBorders>
              <w:top w:val="nil"/>
              <w:left w:val="nil"/>
              <w:bottom w:val="nil"/>
              <w:right w:val="nil"/>
              <w:insideH w:val="nil"/>
              <w:insideV w:val="nil"/>
            </w:tcBorders>
            <w:vAlign w:val="center"/>
          </w:tcPr>
          <w:p w14:paraId="11D94A5D">
            <w:pPr>
              <w:keepLines/>
              <w:spacing w:before="0" w:after="0" w:line="240" w:lineRule="auto"/>
              <w:jc w:val="left"/>
            </w:pPr>
            <w:r>
              <w:rPr>
                <w:rFonts w:ascii="Times New Roman" w:hAnsi="Times New Roman" w:eastAsia="Times New Roman"/>
                <w:b w:val="0"/>
                <w:i w:val="0"/>
                <w:color w:val="000000"/>
                <w:sz w:val="18"/>
              </w:rPr>
              <w:t>-0.0215</w:t>
            </w:r>
          </w:p>
        </w:tc>
        <w:tc>
          <w:tcPr>
            <w:tcW w:w="1296" w:type="dxa"/>
            <w:tcBorders>
              <w:top w:val="nil"/>
              <w:left w:val="nil"/>
              <w:bottom w:val="nil"/>
              <w:right w:val="nil"/>
              <w:insideH w:val="nil"/>
              <w:insideV w:val="nil"/>
            </w:tcBorders>
            <w:vAlign w:val="center"/>
          </w:tcPr>
          <w:p w14:paraId="1310F879">
            <w:pPr>
              <w:keepLines/>
              <w:spacing w:before="0" w:after="0" w:line="240" w:lineRule="auto"/>
              <w:jc w:val="left"/>
            </w:pPr>
            <w:r>
              <w:rPr>
                <w:rFonts w:ascii="Times New Roman" w:hAnsi="Times New Roman" w:eastAsia="Times New Roman"/>
                <w:b w:val="0"/>
                <w:i w:val="0"/>
                <w:color w:val="000000"/>
                <w:sz w:val="18"/>
              </w:rPr>
              <w:t>-0.0140</w:t>
            </w:r>
          </w:p>
        </w:tc>
        <w:tc>
          <w:tcPr>
            <w:tcW w:w="2736" w:type="dxa"/>
            <w:tcBorders>
              <w:top w:val="nil"/>
              <w:left w:val="nil"/>
              <w:bottom w:val="nil"/>
              <w:right w:val="nil"/>
              <w:insideH w:val="nil"/>
              <w:insideV w:val="nil"/>
            </w:tcBorders>
            <w:vAlign w:val="center"/>
          </w:tcPr>
          <w:p w14:paraId="3DE73845">
            <w:pPr>
              <w:keepLines/>
              <w:spacing w:before="0" w:after="0" w:line="240" w:lineRule="auto"/>
              <w:jc w:val="left"/>
            </w:pPr>
            <w:r>
              <w:rPr>
                <w:rFonts w:ascii="Times New Roman" w:hAnsi="Times New Roman" w:eastAsia="Times New Roman"/>
                <w:b w:val="0"/>
                <w:i w:val="0"/>
                <w:color w:val="000000"/>
                <w:sz w:val="18"/>
              </w:rPr>
              <w:t>***</w:t>
            </w:r>
          </w:p>
        </w:tc>
      </w:tr>
      <w:tr w14:paraId="3475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6AB4E0AF">
            <w:pPr>
              <w:keepLines/>
              <w:spacing w:before="0" w:after="0" w:line="240" w:lineRule="auto"/>
              <w:jc w:val="left"/>
            </w:pPr>
            <w:r>
              <w:rPr>
                <w:rFonts w:ascii="Times New Roman" w:hAnsi="Times New Roman" w:eastAsia="Times New Roman"/>
                <w:b w:val="0"/>
                <w:i w:val="0"/>
                <w:color w:val="000000"/>
                <w:sz w:val="18"/>
              </w:rPr>
              <w:t>ClimateShock -&gt; Trust -&gt; PsychDistress</w:t>
            </w:r>
          </w:p>
        </w:tc>
        <w:tc>
          <w:tcPr>
            <w:tcW w:w="2088" w:type="dxa"/>
            <w:tcBorders>
              <w:top w:val="nil"/>
              <w:left w:val="nil"/>
              <w:bottom w:val="nil"/>
              <w:right w:val="nil"/>
              <w:insideH w:val="nil"/>
              <w:insideV w:val="nil"/>
            </w:tcBorders>
            <w:vAlign w:val="center"/>
          </w:tcPr>
          <w:p w14:paraId="1D7326B4">
            <w:pPr>
              <w:keepLines/>
              <w:spacing w:before="0" w:after="0" w:line="240" w:lineRule="auto"/>
              <w:jc w:val="left"/>
            </w:pPr>
            <w:r>
              <w:rPr>
                <w:rFonts w:ascii="Times New Roman" w:hAnsi="Times New Roman" w:eastAsia="Times New Roman"/>
                <w:b w:val="0"/>
                <w:i w:val="0"/>
                <w:color w:val="000000"/>
                <w:sz w:val="18"/>
              </w:rPr>
              <w:t>0.0117</w:t>
            </w:r>
          </w:p>
        </w:tc>
        <w:tc>
          <w:tcPr>
            <w:tcW w:w="1296" w:type="dxa"/>
            <w:tcBorders>
              <w:top w:val="nil"/>
              <w:left w:val="nil"/>
              <w:bottom w:val="nil"/>
              <w:right w:val="nil"/>
              <w:insideH w:val="nil"/>
              <w:insideV w:val="nil"/>
            </w:tcBorders>
            <w:vAlign w:val="center"/>
          </w:tcPr>
          <w:p w14:paraId="73873EB4">
            <w:pPr>
              <w:keepLines/>
              <w:spacing w:before="0" w:after="0" w:line="240" w:lineRule="auto"/>
              <w:jc w:val="left"/>
            </w:pPr>
            <w:r>
              <w:rPr>
                <w:rFonts w:ascii="Times New Roman" w:hAnsi="Times New Roman" w:eastAsia="Times New Roman"/>
                <w:b w:val="0"/>
                <w:i w:val="0"/>
                <w:color w:val="000000"/>
                <w:sz w:val="18"/>
              </w:rPr>
              <w:t>0.0082</w:t>
            </w:r>
          </w:p>
        </w:tc>
        <w:tc>
          <w:tcPr>
            <w:tcW w:w="1296" w:type="dxa"/>
            <w:tcBorders>
              <w:top w:val="nil"/>
              <w:left w:val="nil"/>
              <w:bottom w:val="nil"/>
              <w:right w:val="nil"/>
              <w:insideH w:val="nil"/>
              <w:insideV w:val="nil"/>
            </w:tcBorders>
            <w:vAlign w:val="center"/>
          </w:tcPr>
          <w:p w14:paraId="772DC400">
            <w:pPr>
              <w:keepLines/>
              <w:spacing w:before="0" w:after="0" w:line="240" w:lineRule="auto"/>
              <w:jc w:val="left"/>
            </w:pPr>
            <w:r>
              <w:rPr>
                <w:rFonts w:ascii="Times New Roman" w:hAnsi="Times New Roman" w:eastAsia="Times New Roman"/>
                <w:b w:val="0"/>
                <w:i w:val="0"/>
                <w:color w:val="000000"/>
                <w:sz w:val="18"/>
              </w:rPr>
              <w:t>0.0153</w:t>
            </w:r>
          </w:p>
        </w:tc>
        <w:tc>
          <w:tcPr>
            <w:tcW w:w="2736" w:type="dxa"/>
            <w:tcBorders>
              <w:top w:val="nil"/>
              <w:left w:val="nil"/>
              <w:bottom w:val="nil"/>
              <w:right w:val="nil"/>
              <w:insideH w:val="nil"/>
              <w:insideV w:val="nil"/>
            </w:tcBorders>
            <w:vAlign w:val="center"/>
          </w:tcPr>
          <w:p w14:paraId="46572376">
            <w:pPr>
              <w:keepLines/>
              <w:spacing w:before="0" w:after="0" w:line="240" w:lineRule="auto"/>
              <w:jc w:val="left"/>
            </w:pPr>
            <w:r>
              <w:rPr>
                <w:rFonts w:ascii="Times New Roman" w:hAnsi="Times New Roman" w:eastAsia="Times New Roman"/>
                <w:b w:val="0"/>
                <w:i w:val="0"/>
                <w:color w:val="000000"/>
                <w:sz w:val="18"/>
              </w:rPr>
              <w:t>***</w:t>
            </w:r>
          </w:p>
        </w:tc>
      </w:tr>
      <w:tr w14:paraId="1147F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541006F4">
            <w:pPr>
              <w:keepLines/>
              <w:spacing w:before="0" w:after="0" w:line="240" w:lineRule="auto"/>
              <w:jc w:val="left"/>
            </w:pPr>
            <w:r>
              <w:rPr>
                <w:rFonts w:ascii="Times New Roman" w:hAnsi="Times New Roman" w:eastAsia="Times New Roman"/>
                <w:b w:val="0"/>
                <w:i w:val="0"/>
                <w:color w:val="000000"/>
                <w:sz w:val="18"/>
              </w:rPr>
              <w:t>ClimateShock -&gt; Reciprocity -&gt; PsychDistress</w:t>
            </w:r>
          </w:p>
        </w:tc>
        <w:tc>
          <w:tcPr>
            <w:tcW w:w="2088" w:type="dxa"/>
            <w:tcBorders>
              <w:top w:val="nil"/>
              <w:left w:val="nil"/>
              <w:bottom w:val="nil"/>
              <w:right w:val="nil"/>
              <w:insideH w:val="nil"/>
              <w:insideV w:val="nil"/>
            </w:tcBorders>
            <w:vAlign w:val="center"/>
          </w:tcPr>
          <w:p w14:paraId="6D6BED57">
            <w:pPr>
              <w:keepLines/>
              <w:spacing w:before="0" w:after="0" w:line="240" w:lineRule="auto"/>
              <w:jc w:val="left"/>
            </w:pPr>
            <w:r>
              <w:rPr>
                <w:rFonts w:ascii="Times New Roman" w:hAnsi="Times New Roman" w:eastAsia="Times New Roman"/>
                <w:b w:val="0"/>
                <w:i w:val="0"/>
                <w:color w:val="000000"/>
                <w:sz w:val="18"/>
              </w:rPr>
              <w:t>0.0080</w:t>
            </w:r>
          </w:p>
        </w:tc>
        <w:tc>
          <w:tcPr>
            <w:tcW w:w="1296" w:type="dxa"/>
            <w:tcBorders>
              <w:top w:val="nil"/>
              <w:left w:val="nil"/>
              <w:bottom w:val="nil"/>
              <w:right w:val="nil"/>
              <w:insideH w:val="nil"/>
              <w:insideV w:val="nil"/>
            </w:tcBorders>
            <w:vAlign w:val="center"/>
          </w:tcPr>
          <w:p w14:paraId="6796AE28">
            <w:pPr>
              <w:keepLines/>
              <w:spacing w:before="0" w:after="0" w:line="240" w:lineRule="auto"/>
              <w:jc w:val="left"/>
            </w:pPr>
            <w:r>
              <w:rPr>
                <w:rFonts w:ascii="Times New Roman" w:hAnsi="Times New Roman" w:eastAsia="Times New Roman"/>
                <w:b w:val="0"/>
                <w:i w:val="0"/>
                <w:color w:val="000000"/>
                <w:sz w:val="18"/>
              </w:rPr>
              <w:t>0.0047</w:t>
            </w:r>
          </w:p>
        </w:tc>
        <w:tc>
          <w:tcPr>
            <w:tcW w:w="1296" w:type="dxa"/>
            <w:tcBorders>
              <w:top w:val="nil"/>
              <w:left w:val="nil"/>
              <w:bottom w:val="nil"/>
              <w:right w:val="nil"/>
              <w:insideH w:val="nil"/>
              <w:insideV w:val="nil"/>
            </w:tcBorders>
            <w:vAlign w:val="center"/>
          </w:tcPr>
          <w:p w14:paraId="744C7803">
            <w:pPr>
              <w:keepLines/>
              <w:spacing w:before="0" w:after="0" w:line="240" w:lineRule="auto"/>
              <w:jc w:val="left"/>
            </w:pPr>
            <w:r>
              <w:rPr>
                <w:rFonts w:ascii="Times New Roman" w:hAnsi="Times New Roman" w:eastAsia="Times New Roman"/>
                <w:b w:val="0"/>
                <w:i w:val="0"/>
                <w:color w:val="000000"/>
                <w:sz w:val="18"/>
              </w:rPr>
              <w:t>0.0113</w:t>
            </w:r>
          </w:p>
        </w:tc>
        <w:tc>
          <w:tcPr>
            <w:tcW w:w="2736" w:type="dxa"/>
            <w:tcBorders>
              <w:top w:val="nil"/>
              <w:left w:val="nil"/>
              <w:bottom w:val="nil"/>
              <w:right w:val="nil"/>
              <w:insideH w:val="nil"/>
              <w:insideV w:val="nil"/>
            </w:tcBorders>
            <w:vAlign w:val="center"/>
          </w:tcPr>
          <w:p w14:paraId="1227EA9A">
            <w:pPr>
              <w:keepLines/>
              <w:spacing w:before="0" w:after="0" w:line="240" w:lineRule="auto"/>
              <w:jc w:val="left"/>
            </w:pPr>
            <w:r>
              <w:rPr>
                <w:rFonts w:ascii="Times New Roman" w:hAnsi="Times New Roman" w:eastAsia="Times New Roman"/>
                <w:b w:val="0"/>
                <w:i w:val="0"/>
                <w:color w:val="000000"/>
                <w:sz w:val="18"/>
              </w:rPr>
              <w:t>***</w:t>
            </w:r>
          </w:p>
        </w:tc>
      </w:tr>
      <w:tr w14:paraId="56A0C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1798FA64">
            <w:pPr>
              <w:keepLines/>
              <w:spacing w:before="0" w:after="0" w:line="240" w:lineRule="auto"/>
              <w:jc w:val="left"/>
            </w:pPr>
            <w:r>
              <w:rPr>
                <w:rFonts w:ascii="Times New Roman" w:hAnsi="Times New Roman" w:eastAsia="Times New Roman"/>
                <w:b w:val="0"/>
                <w:i w:val="0"/>
                <w:color w:val="000000"/>
                <w:sz w:val="18"/>
              </w:rPr>
              <w:t>ClimateShock -&gt; PublicService -&gt; PsychDistress</w:t>
            </w:r>
          </w:p>
        </w:tc>
        <w:tc>
          <w:tcPr>
            <w:tcW w:w="2088" w:type="dxa"/>
            <w:tcBorders>
              <w:top w:val="nil"/>
              <w:left w:val="nil"/>
              <w:bottom w:val="nil"/>
              <w:right w:val="nil"/>
              <w:insideH w:val="nil"/>
              <w:insideV w:val="nil"/>
            </w:tcBorders>
            <w:vAlign w:val="center"/>
          </w:tcPr>
          <w:p w14:paraId="26A05C61">
            <w:pPr>
              <w:keepLines/>
              <w:spacing w:before="0" w:after="0" w:line="240" w:lineRule="auto"/>
              <w:jc w:val="left"/>
            </w:pPr>
            <w:r>
              <w:rPr>
                <w:rFonts w:ascii="Times New Roman" w:hAnsi="Times New Roman" w:eastAsia="Times New Roman"/>
                <w:b w:val="0"/>
                <w:i w:val="0"/>
                <w:color w:val="000000"/>
                <w:sz w:val="18"/>
              </w:rPr>
              <w:t>0.0147</w:t>
            </w:r>
          </w:p>
        </w:tc>
        <w:tc>
          <w:tcPr>
            <w:tcW w:w="1296" w:type="dxa"/>
            <w:tcBorders>
              <w:top w:val="nil"/>
              <w:left w:val="nil"/>
              <w:bottom w:val="nil"/>
              <w:right w:val="nil"/>
              <w:insideH w:val="nil"/>
              <w:insideV w:val="nil"/>
            </w:tcBorders>
            <w:vAlign w:val="center"/>
          </w:tcPr>
          <w:p w14:paraId="0A19C3EC">
            <w:pPr>
              <w:keepLines/>
              <w:spacing w:before="0" w:after="0" w:line="240" w:lineRule="auto"/>
              <w:jc w:val="left"/>
            </w:pPr>
            <w:r>
              <w:rPr>
                <w:rFonts w:ascii="Times New Roman" w:hAnsi="Times New Roman" w:eastAsia="Times New Roman"/>
                <w:b w:val="0"/>
                <w:i w:val="0"/>
                <w:color w:val="000000"/>
                <w:sz w:val="18"/>
              </w:rPr>
              <w:t>0.0109</w:t>
            </w:r>
          </w:p>
        </w:tc>
        <w:tc>
          <w:tcPr>
            <w:tcW w:w="1296" w:type="dxa"/>
            <w:tcBorders>
              <w:top w:val="nil"/>
              <w:left w:val="nil"/>
              <w:bottom w:val="nil"/>
              <w:right w:val="nil"/>
              <w:insideH w:val="nil"/>
              <w:insideV w:val="nil"/>
            </w:tcBorders>
            <w:vAlign w:val="center"/>
          </w:tcPr>
          <w:p w14:paraId="6E517266">
            <w:pPr>
              <w:keepLines/>
              <w:spacing w:before="0" w:after="0" w:line="240" w:lineRule="auto"/>
              <w:jc w:val="left"/>
            </w:pPr>
            <w:r>
              <w:rPr>
                <w:rFonts w:ascii="Times New Roman" w:hAnsi="Times New Roman" w:eastAsia="Times New Roman"/>
                <w:b w:val="0"/>
                <w:i w:val="0"/>
                <w:color w:val="000000"/>
                <w:sz w:val="18"/>
              </w:rPr>
              <w:t>0.0184</w:t>
            </w:r>
          </w:p>
        </w:tc>
        <w:tc>
          <w:tcPr>
            <w:tcW w:w="2736" w:type="dxa"/>
            <w:tcBorders>
              <w:top w:val="nil"/>
              <w:left w:val="nil"/>
              <w:bottom w:val="nil"/>
              <w:right w:val="nil"/>
              <w:insideH w:val="nil"/>
              <w:insideV w:val="nil"/>
            </w:tcBorders>
            <w:vAlign w:val="center"/>
          </w:tcPr>
          <w:p w14:paraId="620EE05D">
            <w:pPr>
              <w:keepLines/>
              <w:spacing w:before="0" w:after="0" w:line="240" w:lineRule="auto"/>
              <w:jc w:val="left"/>
            </w:pPr>
            <w:r>
              <w:rPr>
                <w:rFonts w:ascii="Times New Roman" w:hAnsi="Times New Roman" w:eastAsia="Times New Roman"/>
                <w:b w:val="0"/>
                <w:i w:val="0"/>
                <w:color w:val="000000"/>
                <w:sz w:val="18"/>
              </w:rPr>
              <w:t>***</w:t>
            </w:r>
          </w:p>
        </w:tc>
      </w:tr>
      <w:tr w14:paraId="12D7C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62884D14">
            <w:pPr>
              <w:keepLines/>
              <w:spacing w:before="0" w:after="0" w:line="240" w:lineRule="auto"/>
              <w:jc w:val="left"/>
            </w:pPr>
            <w:r>
              <w:rPr>
                <w:rFonts w:ascii="Times New Roman" w:hAnsi="Times New Roman" w:eastAsia="Times New Roman"/>
                <w:b w:val="0"/>
                <w:i w:val="0"/>
                <w:color w:val="000000"/>
                <w:sz w:val="18"/>
              </w:rPr>
              <w:t>ClimateShock -&gt; Trust -&gt; MigIntent</w:t>
            </w:r>
          </w:p>
        </w:tc>
        <w:tc>
          <w:tcPr>
            <w:tcW w:w="2088" w:type="dxa"/>
            <w:tcBorders>
              <w:top w:val="nil"/>
              <w:left w:val="nil"/>
              <w:bottom w:val="nil"/>
              <w:right w:val="nil"/>
              <w:insideH w:val="nil"/>
              <w:insideV w:val="nil"/>
            </w:tcBorders>
            <w:vAlign w:val="center"/>
          </w:tcPr>
          <w:p w14:paraId="4F3175EA">
            <w:pPr>
              <w:keepLines/>
              <w:spacing w:before="0" w:after="0" w:line="240" w:lineRule="auto"/>
              <w:jc w:val="left"/>
            </w:pPr>
            <w:r>
              <w:rPr>
                <w:rFonts w:ascii="Times New Roman" w:hAnsi="Times New Roman" w:eastAsia="Times New Roman"/>
                <w:b w:val="0"/>
                <w:i w:val="0"/>
                <w:color w:val="000000"/>
                <w:sz w:val="18"/>
              </w:rPr>
              <w:t>0.0094</w:t>
            </w:r>
          </w:p>
        </w:tc>
        <w:tc>
          <w:tcPr>
            <w:tcW w:w="1296" w:type="dxa"/>
            <w:tcBorders>
              <w:top w:val="nil"/>
              <w:left w:val="nil"/>
              <w:bottom w:val="nil"/>
              <w:right w:val="nil"/>
              <w:insideH w:val="nil"/>
              <w:insideV w:val="nil"/>
            </w:tcBorders>
            <w:vAlign w:val="center"/>
          </w:tcPr>
          <w:p w14:paraId="761E9323">
            <w:pPr>
              <w:keepLines/>
              <w:spacing w:before="0" w:after="0" w:line="240" w:lineRule="auto"/>
              <w:jc w:val="left"/>
            </w:pPr>
            <w:r>
              <w:rPr>
                <w:rFonts w:ascii="Times New Roman" w:hAnsi="Times New Roman" w:eastAsia="Times New Roman"/>
                <w:b w:val="0"/>
                <w:i w:val="0"/>
                <w:color w:val="000000"/>
                <w:sz w:val="18"/>
              </w:rPr>
              <w:t>0.0060</w:t>
            </w:r>
          </w:p>
        </w:tc>
        <w:tc>
          <w:tcPr>
            <w:tcW w:w="1296" w:type="dxa"/>
            <w:tcBorders>
              <w:top w:val="nil"/>
              <w:left w:val="nil"/>
              <w:bottom w:val="nil"/>
              <w:right w:val="nil"/>
              <w:insideH w:val="nil"/>
              <w:insideV w:val="nil"/>
            </w:tcBorders>
            <w:vAlign w:val="center"/>
          </w:tcPr>
          <w:p w14:paraId="371D437B">
            <w:pPr>
              <w:keepLines/>
              <w:spacing w:before="0" w:after="0" w:line="240" w:lineRule="auto"/>
              <w:jc w:val="left"/>
            </w:pPr>
            <w:r>
              <w:rPr>
                <w:rFonts w:ascii="Times New Roman" w:hAnsi="Times New Roman" w:eastAsia="Times New Roman"/>
                <w:b w:val="0"/>
                <w:i w:val="0"/>
                <w:color w:val="000000"/>
                <w:sz w:val="18"/>
              </w:rPr>
              <w:t>0.0127</w:t>
            </w:r>
          </w:p>
        </w:tc>
        <w:tc>
          <w:tcPr>
            <w:tcW w:w="2736" w:type="dxa"/>
            <w:tcBorders>
              <w:top w:val="nil"/>
              <w:left w:val="nil"/>
              <w:bottom w:val="nil"/>
              <w:right w:val="nil"/>
              <w:insideH w:val="nil"/>
              <w:insideV w:val="nil"/>
            </w:tcBorders>
            <w:vAlign w:val="center"/>
          </w:tcPr>
          <w:p w14:paraId="2BB14843">
            <w:pPr>
              <w:keepLines/>
              <w:spacing w:before="0" w:after="0" w:line="240" w:lineRule="auto"/>
              <w:jc w:val="left"/>
            </w:pPr>
            <w:r>
              <w:rPr>
                <w:rFonts w:ascii="Times New Roman" w:hAnsi="Times New Roman" w:eastAsia="Times New Roman"/>
                <w:b w:val="0"/>
                <w:i w:val="0"/>
                <w:color w:val="000000"/>
                <w:sz w:val="18"/>
              </w:rPr>
              <w:t>***</w:t>
            </w:r>
          </w:p>
        </w:tc>
      </w:tr>
      <w:tr w14:paraId="0C1C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nil"/>
              <w:right w:val="nil"/>
              <w:insideH w:val="nil"/>
              <w:insideV w:val="nil"/>
            </w:tcBorders>
            <w:vAlign w:val="center"/>
          </w:tcPr>
          <w:p w14:paraId="7B41E305">
            <w:pPr>
              <w:keepLines/>
              <w:spacing w:before="0" w:after="0" w:line="240" w:lineRule="auto"/>
              <w:jc w:val="left"/>
            </w:pPr>
            <w:r>
              <w:rPr>
                <w:rFonts w:ascii="Times New Roman" w:hAnsi="Times New Roman" w:eastAsia="Times New Roman"/>
                <w:b w:val="0"/>
                <w:i w:val="0"/>
                <w:color w:val="000000"/>
                <w:sz w:val="18"/>
              </w:rPr>
              <w:t>ClimateShock -&gt; Reciprocity -&gt; MigIntent</w:t>
            </w:r>
          </w:p>
        </w:tc>
        <w:tc>
          <w:tcPr>
            <w:tcW w:w="2088" w:type="dxa"/>
            <w:tcBorders>
              <w:top w:val="nil"/>
              <w:left w:val="nil"/>
              <w:bottom w:val="nil"/>
              <w:right w:val="nil"/>
              <w:insideH w:val="nil"/>
              <w:insideV w:val="nil"/>
            </w:tcBorders>
            <w:vAlign w:val="center"/>
          </w:tcPr>
          <w:p w14:paraId="3CE2E7FD">
            <w:pPr>
              <w:keepLines/>
              <w:spacing w:before="0" w:after="0" w:line="240" w:lineRule="auto"/>
              <w:jc w:val="left"/>
            </w:pPr>
            <w:r>
              <w:rPr>
                <w:rFonts w:ascii="Times New Roman" w:hAnsi="Times New Roman" w:eastAsia="Times New Roman"/>
                <w:b w:val="0"/>
                <w:i w:val="0"/>
                <w:color w:val="000000"/>
                <w:sz w:val="18"/>
              </w:rPr>
              <w:t>0.0064</w:t>
            </w:r>
          </w:p>
        </w:tc>
        <w:tc>
          <w:tcPr>
            <w:tcW w:w="1296" w:type="dxa"/>
            <w:tcBorders>
              <w:top w:val="nil"/>
              <w:left w:val="nil"/>
              <w:bottom w:val="nil"/>
              <w:right w:val="nil"/>
              <w:insideH w:val="nil"/>
              <w:insideV w:val="nil"/>
            </w:tcBorders>
            <w:vAlign w:val="center"/>
          </w:tcPr>
          <w:p w14:paraId="18D69EC7">
            <w:pPr>
              <w:keepLines/>
              <w:spacing w:before="0" w:after="0" w:line="240" w:lineRule="auto"/>
              <w:jc w:val="left"/>
            </w:pPr>
            <w:r>
              <w:rPr>
                <w:rFonts w:ascii="Times New Roman" w:hAnsi="Times New Roman" w:eastAsia="Times New Roman"/>
                <w:b w:val="0"/>
                <w:i w:val="0"/>
                <w:color w:val="000000"/>
                <w:sz w:val="18"/>
              </w:rPr>
              <w:t>0.0031</w:t>
            </w:r>
          </w:p>
        </w:tc>
        <w:tc>
          <w:tcPr>
            <w:tcW w:w="1296" w:type="dxa"/>
            <w:tcBorders>
              <w:top w:val="nil"/>
              <w:left w:val="nil"/>
              <w:bottom w:val="nil"/>
              <w:right w:val="nil"/>
              <w:insideH w:val="nil"/>
              <w:insideV w:val="nil"/>
            </w:tcBorders>
            <w:vAlign w:val="center"/>
          </w:tcPr>
          <w:p w14:paraId="78B18BEF">
            <w:pPr>
              <w:keepLines/>
              <w:spacing w:before="0" w:after="0" w:line="240" w:lineRule="auto"/>
              <w:jc w:val="left"/>
            </w:pPr>
            <w:r>
              <w:rPr>
                <w:rFonts w:ascii="Times New Roman" w:hAnsi="Times New Roman" w:eastAsia="Times New Roman"/>
                <w:b w:val="0"/>
                <w:i w:val="0"/>
                <w:color w:val="000000"/>
                <w:sz w:val="18"/>
              </w:rPr>
              <w:t>0.0096</w:t>
            </w:r>
          </w:p>
        </w:tc>
        <w:tc>
          <w:tcPr>
            <w:tcW w:w="2736" w:type="dxa"/>
            <w:tcBorders>
              <w:top w:val="nil"/>
              <w:left w:val="nil"/>
              <w:bottom w:val="nil"/>
              <w:right w:val="nil"/>
              <w:insideH w:val="nil"/>
              <w:insideV w:val="nil"/>
            </w:tcBorders>
            <w:vAlign w:val="center"/>
          </w:tcPr>
          <w:p w14:paraId="64810CC8">
            <w:pPr>
              <w:keepLines/>
              <w:spacing w:before="0" w:after="0" w:line="240" w:lineRule="auto"/>
              <w:jc w:val="left"/>
            </w:pPr>
            <w:r>
              <w:rPr>
                <w:rFonts w:ascii="Times New Roman" w:hAnsi="Times New Roman" w:eastAsia="Times New Roman"/>
                <w:b w:val="0"/>
                <w:i w:val="0"/>
                <w:color w:val="000000"/>
                <w:sz w:val="18"/>
              </w:rPr>
              <w:t>***</w:t>
            </w:r>
          </w:p>
        </w:tc>
      </w:tr>
      <w:tr w14:paraId="5E343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1944" w:type="dxa"/>
            <w:tcBorders>
              <w:top w:val="nil"/>
              <w:left w:val="nil"/>
              <w:bottom w:val="single" w:color="000000" w:sz="8" w:space="0"/>
              <w:right w:val="nil"/>
              <w:insideH w:val="nil"/>
              <w:insideV w:val="nil"/>
            </w:tcBorders>
            <w:vAlign w:val="center"/>
          </w:tcPr>
          <w:p w14:paraId="4DD362BF">
            <w:pPr>
              <w:keepLines/>
              <w:spacing w:before="0" w:after="0" w:line="240" w:lineRule="auto"/>
              <w:jc w:val="left"/>
            </w:pPr>
            <w:r>
              <w:rPr>
                <w:rFonts w:ascii="Times New Roman" w:hAnsi="Times New Roman" w:eastAsia="Times New Roman"/>
                <w:b w:val="0"/>
                <w:i w:val="0"/>
                <w:color w:val="000000"/>
                <w:sz w:val="18"/>
              </w:rPr>
              <w:t>ClimateShock -&gt; PublicService -&gt; MigIntent</w:t>
            </w:r>
          </w:p>
        </w:tc>
        <w:tc>
          <w:tcPr>
            <w:tcW w:w="2088" w:type="dxa"/>
            <w:tcBorders>
              <w:top w:val="nil"/>
              <w:left w:val="nil"/>
              <w:bottom w:val="single" w:color="000000" w:sz="8" w:space="0"/>
              <w:right w:val="nil"/>
              <w:insideH w:val="nil"/>
              <w:insideV w:val="nil"/>
            </w:tcBorders>
            <w:vAlign w:val="center"/>
          </w:tcPr>
          <w:p w14:paraId="0EF0E1BF">
            <w:pPr>
              <w:keepLines/>
              <w:spacing w:before="0" w:after="0" w:line="240" w:lineRule="auto"/>
              <w:jc w:val="left"/>
            </w:pPr>
            <w:r>
              <w:rPr>
                <w:rFonts w:ascii="Times New Roman" w:hAnsi="Times New Roman" w:eastAsia="Times New Roman"/>
                <w:b w:val="0"/>
                <w:i w:val="0"/>
                <w:color w:val="000000"/>
                <w:sz w:val="18"/>
              </w:rPr>
              <w:t>0.0119</w:t>
            </w:r>
          </w:p>
        </w:tc>
        <w:tc>
          <w:tcPr>
            <w:tcW w:w="1296" w:type="dxa"/>
            <w:tcBorders>
              <w:top w:val="nil"/>
              <w:left w:val="nil"/>
              <w:bottom w:val="single" w:color="000000" w:sz="8" w:space="0"/>
              <w:right w:val="nil"/>
              <w:insideH w:val="nil"/>
              <w:insideV w:val="nil"/>
            </w:tcBorders>
            <w:vAlign w:val="center"/>
          </w:tcPr>
          <w:p w14:paraId="6B30F0D3">
            <w:pPr>
              <w:keepLines/>
              <w:spacing w:before="0" w:after="0" w:line="240" w:lineRule="auto"/>
              <w:jc w:val="left"/>
            </w:pPr>
            <w:r>
              <w:rPr>
                <w:rFonts w:ascii="Times New Roman" w:hAnsi="Times New Roman" w:eastAsia="Times New Roman"/>
                <w:b w:val="0"/>
                <w:i w:val="0"/>
                <w:color w:val="000000"/>
                <w:sz w:val="18"/>
              </w:rPr>
              <w:t>0.0083</w:t>
            </w:r>
          </w:p>
        </w:tc>
        <w:tc>
          <w:tcPr>
            <w:tcW w:w="1296" w:type="dxa"/>
            <w:tcBorders>
              <w:top w:val="nil"/>
              <w:left w:val="nil"/>
              <w:bottom w:val="single" w:color="000000" w:sz="8" w:space="0"/>
              <w:right w:val="nil"/>
              <w:insideH w:val="nil"/>
              <w:insideV w:val="nil"/>
            </w:tcBorders>
            <w:vAlign w:val="center"/>
          </w:tcPr>
          <w:p w14:paraId="09ECBF9D">
            <w:pPr>
              <w:keepLines/>
              <w:spacing w:before="0" w:after="0" w:line="240" w:lineRule="auto"/>
              <w:jc w:val="left"/>
            </w:pPr>
            <w:r>
              <w:rPr>
                <w:rFonts w:ascii="Times New Roman" w:hAnsi="Times New Roman" w:eastAsia="Times New Roman"/>
                <w:b w:val="0"/>
                <w:i w:val="0"/>
                <w:color w:val="000000"/>
                <w:sz w:val="18"/>
              </w:rPr>
              <w:t>0.0154</w:t>
            </w:r>
          </w:p>
        </w:tc>
        <w:tc>
          <w:tcPr>
            <w:tcW w:w="2736" w:type="dxa"/>
            <w:tcBorders>
              <w:top w:val="nil"/>
              <w:left w:val="nil"/>
              <w:bottom w:val="single" w:color="000000" w:sz="8" w:space="0"/>
              <w:right w:val="nil"/>
              <w:insideH w:val="nil"/>
              <w:insideV w:val="nil"/>
            </w:tcBorders>
            <w:vAlign w:val="center"/>
          </w:tcPr>
          <w:p w14:paraId="764083B0">
            <w:pPr>
              <w:keepLines/>
              <w:spacing w:before="0" w:after="0" w:line="240" w:lineRule="auto"/>
              <w:jc w:val="left"/>
            </w:pPr>
            <w:r>
              <w:rPr>
                <w:rFonts w:ascii="Times New Roman" w:hAnsi="Times New Roman" w:eastAsia="Times New Roman"/>
                <w:b w:val="0"/>
                <w:i w:val="0"/>
                <w:color w:val="000000"/>
                <w:sz w:val="18"/>
              </w:rPr>
              <w:t>***</w:t>
            </w:r>
          </w:p>
        </w:tc>
      </w:tr>
    </w:tbl>
    <w:p w14:paraId="6BC4B86B">
      <w:pPr>
        <w:pStyle w:val="168"/>
        <w:keepLines/>
        <w:spacing w:before="60" w:after="60" w:line="240" w:lineRule="auto"/>
        <w:ind w:left="0" w:right="0" w:firstLine="0"/>
        <w:jc w:val="left"/>
      </w:pPr>
      <w:r>
        <w:rPr>
          <w:rFonts w:ascii="Times New Roman" w:hAnsi="Times New Roman" w:eastAsia="Times New Roman"/>
          <w:i/>
          <w:color w:val="000000"/>
          <w:sz w:val="20"/>
        </w:rPr>
        <w:t>Note. Indirect effects are interpreted as mechanism-consistent evidence. Bootstrap confidence intervals are based on 5,000 resamples.</w:t>
      </w:r>
    </w:p>
    <w:p w14:paraId="5B4C39F5">
      <w:pPr>
        <w:pStyle w:val="4"/>
        <w:spacing w:before="160" w:after="80" w:line="276" w:lineRule="auto"/>
        <w:ind w:left="0" w:right="0" w:firstLine="0"/>
        <w:jc w:val="left"/>
      </w:pPr>
      <w:r>
        <w:rPr>
          <w:rFonts w:ascii="Times New Roman" w:hAnsi="Times New Roman" w:eastAsia="Times New Roman"/>
          <w:b/>
          <w:i w:val="0"/>
          <w:color w:val="000000"/>
          <w:sz w:val="24"/>
        </w:rPr>
        <w:t>Appendix Table H13. Moderation models for LifeStability</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641D1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10A16D0F">
            <w:pPr>
              <w:keepLines/>
              <w:spacing w:before="0" w:after="0" w:line="240" w:lineRule="auto"/>
              <w:jc w:val="center"/>
            </w:pPr>
            <w:r>
              <w:rPr>
                <w:rFonts w:ascii="Times New Roman" w:hAnsi="Times New Roman" w:eastAsia="Times New Roman"/>
                <w:b/>
                <w:i w:val="0"/>
                <w:color w:val="000000"/>
                <w:sz w:val="18"/>
              </w:rPr>
              <w:t>Variable</w:t>
            </w:r>
          </w:p>
        </w:tc>
        <w:tc>
          <w:tcPr>
            <w:tcW w:w="2015" w:type="dxa"/>
            <w:tcBorders>
              <w:top w:val="single" w:color="000000" w:sz="8" w:space="0"/>
              <w:left w:val="nil"/>
              <w:bottom w:val="single" w:color="000000" w:sz="8" w:space="0"/>
              <w:right w:val="nil"/>
              <w:insideH w:val="nil"/>
              <w:insideV w:val="nil"/>
            </w:tcBorders>
            <w:vAlign w:val="center"/>
          </w:tcPr>
          <w:p w14:paraId="5396E071">
            <w:pPr>
              <w:keepLines/>
              <w:spacing w:before="0" w:after="0" w:line="240" w:lineRule="auto"/>
              <w:jc w:val="center"/>
            </w:pPr>
            <w:r>
              <w:rPr>
                <w:rFonts w:ascii="Times New Roman" w:hAnsi="Times New Roman" w:eastAsia="Times New Roman"/>
                <w:b/>
                <w:i w:val="0"/>
                <w:color w:val="000000"/>
                <w:sz w:val="18"/>
              </w:rPr>
              <w:t>Governance moderation</w:t>
            </w:r>
          </w:p>
        </w:tc>
        <w:tc>
          <w:tcPr>
            <w:tcW w:w="1728" w:type="dxa"/>
            <w:tcBorders>
              <w:top w:val="single" w:color="000000" w:sz="8" w:space="0"/>
              <w:left w:val="nil"/>
              <w:bottom w:val="single" w:color="000000" w:sz="8" w:space="0"/>
              <w:right w:val="nil"/>
              <w:insideH w:val="nil"/>
              <w:insideV w:val="nil"/>
            </w:tcBorders>
            <w:vAlign w:val="center"/>
          </w:tcPr>
          <w:p w14:paraId="3F46AA43">
            <w:pPr>
              <w:keepLines/>
              <w:spacing w:before="0" w:after="0" w:line="240" w:lineRule="auto"/>
              <w:jc w:val="center"/>
            </w:pPr>
            <w:r>
              <w:rPr>
                <w:rFonts w:ascii="Times New Roman" w:hAnsi="Times New Roman" w:eastAsia="Times New Roman"/>
                <w:b/>
                <w:i w:val="0"/>
                <w:color w:val="000000"/>
                <w:sz w:val="18"/>
              </w:rPr>
              <w:t>Organization-density moderation</w:t>
            </w:r>
          </w:p>
        </w:tc>
        <w:tc>
          <w:tcPr>
            <w:tcW w:w="2880" w:type="dxa"/>
            <w:tcBorders>
              <w:top w:val="single" w:color="000000" w:sz="8" w:space="0"/>
              <w:left w:val="nil"/>
              <w:bottom w:val="single" w:color="000000" w:sz="8" w:space="0"/>
              <w:right w:val="nil"/>
              <w:insideH w:val="nil"/>
              <w:insideV w:val="nil"/>
            </w:tcBorders>
            <w:vAlign w:val="center"/>
          </w:tcPr>
          <w:p w14:paraId="44804552">
            <w:pPr>
              <w:keepLines/>
              <w:spacing w:before="0" w:after="0" w:line="240" w:lineRule="auto"/>
              <w:jc w:val="center"/>
            </w:pPr>
            <w:r>
              <w:rPr>
                <w:rFonts w:ascii="Times New Roman" w:hAnsi="Times New Roman" w:eastAsia="Times New Roman"/>
                <w:b/>
                <w:i w:val="0"/>
                <w:color w:val="000000"/>
                <w:sz w:val="18"/>
              </w:rPr>
              <w:t>Digital-infrastructure moderation</w:t>
            </w:r>
          </w:p>
        </w:tc>
      </w:tr>
      <w:tr w14:paraId="280C6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12005FF">
            <w:pPr>
              <w:keepLines/>
              <w:spacing w:before="0" w:after="0" w:line="240" w:lineRule="auto"/>
              <w:jc w:val="left"/>
            </w:pPr>
            <w:r>
              <w:rPr>
                <w:rFonts w:ascii="Times New Roman" w:hAnsi="Times New Roman" w:eastAsia="Times New Roman"/>
                <w:b w:val="0"/>
                <w:i w:val="0"/>
                <w:color w:val="000000"/>
                <w:sz w:val="18"/>
              </w:rPr>
              <w:t>ClimateShock</w:t>
            </w:r>
          </w:p>
        </w:tc>
        <w:tc>
          <w:tcPr>
            <w:tcW w:w="2015" w:type="dxa"/>
            <w:tcBorders>
              <w:top w:val="nil"/>
              <w:left w:val="nil"/>
              <w:bottom w:val="nil"/>
              <w:right w:val="nil"/>
              <w:insideH w:val="nil"/>
              <w:insideV w:val="nil"/>
            </w:tcBorders>
            <w:vAlign w:val="center"/>
          </w:tcPr>
          <w:p w14:paraId="2B9FE299">
            <w:pPr>
              <w:keepLines/>
              <w:spacing w:before="0" w:after="0" w:line="240" w:lineRule="auto"/>
              <w:jc w:val="left"/>
            </w:pPr>
            <w:r>
              <w:rPr>
                <w:rFonts w:ascii="Times New Roman" w:hAnsi="Times New Roman" w:eastAsia="Times New Roman"/>
                <w:b w:val="0"/>
                <w:i w:val="0"/>
                <w:color w:val="000000"/>
                <w:sz w:val="18"/>
              </w:rPr>
              <w:t>-0.084***</w:t>
            </w:r>
          </w:p>
        </w:tc>
        <w:tc>
          <w:tcPr>
            <w:tcW w:w="1728" w:type="dxa"/>
            <w:tcBorders>
              <w:top w:val="nil"/>
              <w:left w:val="nil"/>
              <w:bottom w:val="nil"/>
              <w:right w:val="nil"/>
              <w:insideH w:val="nil"/>
              <w:insideV w:val="nil"/>
            </w:tcBorders>
            <w:vAlign w:val="center"/>
          </w:tcPr>
          <w:p w14:paraId="722B74E1">
            <w:pPr>
              <w:keepLines/>
              <w:spacing w:before="0" w:after="0" w:line="240" w:lineRule="auto"/>
              <w:jc w:val="left"/>
            </w:pPr>
            <w:r>
              <w:rPr>
                <w:rFonts w:ascii="Times New Roman" w:hAnsi="Times New Roman" w:eastAsia="Times New Roman"/>
                <w:b w:val="0"/>
                <w:i w:val="0"/>
                <w:color w:val="000000"/>
                <w:sz w:val="18"/>
              </w:rPr>
              <w:t>-0.082***</w:t>
            </w:r>
          </w:p>
        </w:tc>
        <w:tc>
          <w:tcPr>
            <w:tcW w:w="2880" w:type="dxa"/>
            <w:tcBorders>
              <w:top w:val="nil"/>
              <w:left w:val="nil"/>
              <w:bottom w:val="nil"/>
              <w:right w:val="nil"/>
              <w:insideH w:val="nil"/>
              <w:insideV w:val="nil"/>
            </w:tcBorders>
            <w:vAlign w:val="center"/>
          </w:tcPr>
          <w:p w14:paraId="2CF7E574">
            <w:pPr>
              <w:keepLines/>
              <w:spacing w:before="0" w:after="0" w:line="240" w:lineRule="auto"/>
              <w:jc w:val="left"/>
            </w:pPr>
            <w:r>
              <w:rPr>
                <w:rFonts w:ascii="Times New Roman" w:hAnsi="Times New Roman" w:eastAsia="Times New Roman"/>
                <w:b w:val="0"/>
                <w:i w:val="0"/>
                <w:color w:val="000000"/>
                <w:sz w:val="18"/>
              </w:rPr>
              <w:t>-0.080***</w:t>
            </w:r>
          </w:p>
        </w:tc>
      </w:tr>
      <w:tr w14:paraId="37A2F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FCF1C80">
            <w:pPr>
              <w:keepLines/>
              <w:spacing w:before="0" w:after="0" w:line="240" w:lineRule="auto"/>
              <w:jc w:val="left"/>
            </w:pPr>
            <w:r>
              <w:rPr>
                <w:rFonts w:ascii="Times New Roman" w:hAnsi="Times New Roman" w:eastAsia="Times New Roman"/>
                <w:b w:val="0"/>
                <w:i w:val="0"/>
                <w:color w:val="000000"/>
                <w:sz w:val="18"/>
              </w:rPr>
              <w:t>Moderator main effect</w:t>
            </w:r>
          </w:p>
        </w:tc>
        <w:tc>
          <w:tcPr>
            <w:tcW w:w="2015" w:type="dxa"/>
            <w:tcBorders>
              <w:top w:val="nil"/>
              <w:left w:val="nil"/>
              <w:bottom w:val="nil"/>
              <w:right w:val="nil"/>
              <w:insideH w:val="nil"/>
              <w:insideV w:val="nil"/>
            </w:tcBorders>
            <w:vAlign w:val="center"/>
          </w:tcPr>
          <w:p w14:paraId="061746BB">
            <w:pPr>
              <w:keepLines/>
              <w:spacing w:before="0" w:after="0" w:line="240" w:lineRule="auto"/>
              <w:jc w:val="left"/>
            </w:pPr>
            <w:r>
              <w:rPr>
                <w:rFonts w:ascii="Times New Roman" w:hAnsi="Times New Roman" w:eastAsia="Times New Roman"/>
                <w:b w:val="0"/>
                <w:i w:val="0"/>
                <w:color w:val="000000"/>
                <w:sz w:val="18"/>
              </w:rPr>
              <w:t>0.197***</w:t>
            </w:r>
          </w:p>
        </w:tc>
        <w:tc>
          <w:tcPr>
            <w:tcW w:w="1728" w:type="dxa"/>
            <w:tcBorders>
              <w:top w:val="nil"/>
              <w:left w:val="nil"/>
              <w:bottom w:val="nil"/>
              <w:right w:val="nil"/>
              <w:insideH w:val="nil"/>
              <w:insideV w:val="nil"/>
            </w:tcBorders>
            <w:vAlign w:val="center"/>
          </w:tcPr>
          <w:p w14:paraId="1409612E">
            <w:pPr>
              <w:keepLines/>
              <w:spacing w:before="0" w:after="0" w:line="240" w:lineRule="auto"/>
              <w:jc w:val="left"/>
            </w:pPr>
            <w:r>
              <w:rPr>
                <w:rFonts w:ascii="Times New Roman" w:hAnsi="Times New Roman" w:eastAsia="Times New Roman"/>
                <w:b w:val="0"/>
                <w:i w:val="0"/>
                <w:color w:val="000000"/>
                <w:sz w:val="18"/>
              </w:rPr>
              <w:t>0.163***</w:t>
            </w:r>
          </w:p>
        </w:tc>
        <w:tc>
          <w:tcPr>
            <w:tcW w:w="2880" w:type="dxa"/>
            <w:tcBorders>
              <w:top w:val="nil"/>
              <w:left w:val="nil"/>
              <w:bottom w:val="nil"/>
              <w:right w:val="nil"/>
              <w:insideH w:val="nil"/>
              <w:insideV w:val="nil"/>
            </w:tcBorders>
            <w:vAlign w:val="center"/>
          </w:tcPr>
          <w:p w14:paraId="129E167F">
            <w:pPr>
              <w:keepLines/>
              <w:spacing w:before="0" w:after="0" w:line="240" w:lineRule="auto"/>
              <w:jc w:val="left"/>
            </w:pPr>
            <w:r>
              <w:rPr>
                <w:rFonts w:ascii="Times New Roman" w:hAnsi="Times New Roman" w:eastAsia="Times New Roman"/>
                <w:b w:val="0"/>
                <w:i w:val="0"/>
                <w:color w:val="000000"/>
                <w:sz w:val="18"/>
              </w:rPr>
              <w:t>0.142***</w:t>
            </w:r>
          </w:p>
        </w:tc>
      </w:tr>
      <w:tr w14:paraId="4E603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57BF43D">
            <w:pPr>
              <w:keepLines/>
              <w:spacing w:before="0" w:after="0" w:line="240" w:lineRule="auto"/>
              <w:jc w:val="left"/>
            </w:pPr>
            <w:r>
              <w:rPr>
                <w:rFonts w:ascii="Times New Roman" w:hAnsi="Times New Roman" w:eastAsia="Times New Roman"/>
                <w:b w:val="0"/>
                <w:i w:val="0"/>
                <w:color w:val="000000"/>
                <w:sz w:val="18"/>
              </w:rPr>
              <w:t>ClimateShock x Moderator</w:t>
            </w:r>
          </w:p>
        </w:tc>
        <w:tc>
          <w:tcPr>
            <w:tcW w:w="2015" w:type="dxa"/>
            <w:tcBorders>
              <w:top w:val="nil"/>
              <w:left w:val="nil"/>
              <w:bottom w:val="nil"/>
              <w:right w:val="nil"/>
              <w:insideH w:val="nil"/>
              <w:insideV w:val="nil"/>
            </w:tcBorders>
            <w:vAlign w:val="center"/>
          </w:tcPr>
          <w:p w14:paraId="536BBC0D">
            <w:pPr>
              <w:keepLines/>
              <w:spacing w:before="0" w:after="0" w:line="240" w:lineRule="auto"/>
              <w:jc w:val="left"/>
            </w:pPr>
            <w:r>
              <w:rPr>
                <w:rFonts w:ascii="Times New Roman" w:hAnsi="Times New Roman" w:eastAsia="Times New Roman"/>
                <w:b w:val="0"/>
                <w:i w:val="0"/>
                <w:color w:val="000000"/>
                <w:sz w:val="18"/>
              </w:rPr>
              <w:t>0.036***</w:t>
            </w:r>
          </w:p>
        </w:tc>
        <w:tc>
          <w:tcPr>
            <w:tcW w:w="1728" w:type="dxa"/>
            <w:tcBorders>
              <w:top w:val="nil"/>
              <w:left w:val="nil"/>
              <w:bottom w:val="nil"/>
              <w:right w:val="nil"/>
              <w:insideH w:val="nil"/>
              <w:insideV w:val="nil"/>
            </w:tcBorders>
            <w:vAlign w:val="center"/>
          </w:tcPr>
          <w:p w14:paraId="50051F6C">
            <w:pPr>
              <w:keepLines/>
              <w:spacing w:before="0" w:after="0" w:line="240" w:lineRule="auto"/>
              <w:jc w:val="left"/>
            </w:pPr>
            <w:r>
              <w:rPr>
                <w:rFonts w:ascii="Times New Roman" w:hAnsi="Times New Roman" w:eastAsia="Times New Roman"/>
                <w:b w:val="0"/>
                <w:i w:val="0"/>
                <w:color w:val="000000"/>
                <w:sz w:val="18"/>
              </w:rPr>
              <w:t>0.029***</w:t>
            </w:r>
          </w:p>
        </w:tc>
        <w:tc>
          <w:tcPr>
            <w:tcW w:w="2880" w:type="dxa"/>
            <w:tcBorders>
              <w:top w:val="nil"/>
              <w:left w:val="nil"/>
              <w:bottom w:val="nil"/>
              <w:right w:val="nil"/>
              <w:insideH w:val="nil"/>
              <w:insideV w:val="nil"/>
            </w:tcBorders>
            <w:vAlign w:val="center"/>
          </w:tcPr>
          <w:p w14:paraId="7580A97E">
            <w:pPr>
              <w:keepLines/>
              <w:spacing w:before="0" w:after="0" w:line="240" w:lineRule="auto"/>
              <w:jc w:val="left"/>
            </w:pPr>
            <w:r>
              <w:rPr>
                <w:rFonts w:ascii="Times New Roman" w:hAnsi="Times New Roman" w:eastAsia="Times New Roman"/>
                <w:b w:val="0"/>
                <w:i w:val="0"/>
                <w:color w:val="000000"/>
                <w:sz w:val="18"/>
              </w:rPr>
              <w:t>0.024***</w:t>
            </w:r>
          </w:p>
        </w:tc>
      </w:tr>
      <w:tr w14:paraId="483E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443594D4">
            <w:pPr>
              <w:keepLines/>
              <w:spacing w:before="0" w:after="0" w:line="240" w:lineRule="auto"/>
              <w:jc w:val="left"/>
            </w:pPr>
            <w:r>
              <w:rPr>
                <w:rFonts w:ascii="Times New Roman" w:hAnsi="Times New Roman" w:eastAsia="Times New Roman"/>
                <w:b w:val="0"/>
                <w:i w:val="0"/>
                <w:color w:val="000000"/>
                <w:sz w:val="18"/>
              </w:rPr>
              <w:t>R2</w:t>
            </w:r>
          </w:p>
        </w:tc>
        <w:tc>
          <w:tcPr>
            <w:tcW w:w="2015" w:type="dxa"/>
            <w:tcBorders>
              <w:top w:val="nil"/>
              <w:left w:val="nil"/>
              <w:bottom w:val="nil"/>
              <w:right w:val="nil"/>
              <w:insideH w:val="nil"/>
              <w:insideV w:val="nil"/>
            </w:tcBorders>
            <w:vAlign w:val="center"/>
          </w:tcPr>
          <w:p w14:paraId="601F94F7">
            <w:pPr>
              <w:keepLines/>
              <w:spacing w:before="0" w:after="0" w:line="240" w:lineRule="auto"/>
              <w:jc w:val="left"/>
            </w:pPr>
            <w:r>
              <w:rPr>
                <w:rFonts w:ascii="Times New Roman" w:hAnsi="Times New Roman" w:eastAsia="Times New Roman"/>
                <w:b w:val="0"/>
                <w:i w:val="0"/>
                <w:color w:val="000000"/>
                <w:sz w:val="18"/>
              </w:rPr>
              <w:t>0.389</w:t>
            </w:r>
          </w:p>
        </w:tc>
        <w:tc>
          <w:tcPr>
            <w:tcW w:w="1728" w:type="dxa"/>
            <w:tcBorders>
              <w:top w:val="nil"/>
              <w:left w:val="nil"/>
              <w:bottom w:val="nil"/>
              <w:right w:val="nil"/>
              <w:insideH w:val="nil"/>
              <w:insideV w:val="nil"/>
            </w:tcBorders>
            <w:vAlign w:val="center"/>
          </w:tcPr>
          <w:p w14:paraId="19F0C18E">
            <w:pPr>
              <w:keepLines/>
              <w:spacing w:before="0" w:after="0" w:line="240" w:lineRule="auto"/>
              <w:jc w:val="left"/>
            </w:pPr>
            <w:r>
              <w:rPr>
                <w:rFonts w:ascii="Times New Roman" w:hAnsi="Times New Roman" w:eastAsia="Times New Roman"/>
                <w:b w:val="0"/>
                <w:i w:val="0"/>
                <w:color w:val="000000"/>
                <w:sz w:val="18"/>
              </w:rPr>
              <w:t>0.387</w:t>
            </w:r>
          </w:p>
        </w:tc>
        <w:tc>
          <w:tcPr>
            <w:tcW w:w="2880" w:type="dxa"/>
            <w:tcBorders>
              <w:top w:val="nil"/>
              <w:left w:val="nil"/>
              <w:bottom w:val="nil"/>
              <w:right w:val="nil"/>
              <w:insideH w:val="nil"/>
              <w:insideV w:val="nil"/>
            </w:tcBorders>
            <w:vAlign w:val="center"/>
          </w:tcPr>
          <w:p w14:paraId="670B1BB4">
            <w:pPr>
              <w:keepLines/>
              <w:spacing w:before="0" w:after="0" w:line="240" w:lineRule="auto"/>
              <w:jc w:val="left"/>
            </w:pPr>
            <w:r>
              <w:rPr>
                <w:rFonts w:ascii="Times New Roman" w:hAnsi="Times New Roman" w:eastAsia="Times New Roman"/>
                <w:b w:val="0"/>
                <w:i w:val="0"/>
                <w:color w:val="000000"/>
                <w:sz w:val="18"/>
              </w:rPr>
              <w:t>0.386</w:t>
            </w:r>
          </w:p>
        </w:tc>
      </w:tr>
      <w:tr w14:paraId="137E7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12DEBB75">
            <w:pPr>
              <w:keepLines/>
              <w:spacing w:before="0" w:after="0" w:line="240" w:lineRule="auto"/>
              <w:jc w:val="left"/>
            </w:pPr>
            <w:r>
              <w:rPr>
                <w:rFonts w:ascii="Times New Roman" w:hAnsi="Times New Roman" w:eastAsia="Times New Roman"/>
                <w:b w:val="0"/>
                <w:i w:val="0"/>
                <w:color w:val="000000"/>
                <w:sz w:val="18"/>
              </w:rPr>
              <w:t>Observations</w:t>
            </w:r>
          </w:p>
        </w:tc>
        <w:tc>
          <w:tcPr>
            <w:tcW w:w="2015" w:type="dxa"/>
            <w:tcBorders>
              <w:top w:val="nil"/>
              <w:left w:val="nil"/>
              <w:bottom w:val="single" w:color="000000" w:sz="8" w:space="0"/>
              <w:right w:val="nil"/>
              <w:insideH w:val="nil"/>
              <w:insideV w:val="nil"/>
            </w:tcBorders>
            <w:vAlign w:val="center"/>
          </w:tcPr>
          <w:p w14:paraId="79D487B2">
            <w:pPr>
              <w:keepLines/>
              <w:spacing w:before="0" w:after="0" w:line="240" w:lineRule="auto"/>
              <w:jc w:val="left"/>
            </w:pPr>
            <w:r>
              <w:rPr>
                <w:rFonts w:ascii="Times New Roman" w:hAnsi="Times New Roman" w:eastAsia="Times New Roman"/>
                <w:b w:val="0"/>
                <w:i w:val="0"/>
                <w:color w:val="000000"/>
                <w:sz w:val="18"/>
              </w:rPr>
              <w:t>126,847</w:t>
            </w:r>
          </w:p>
        </w:tc>
        <w:tc>
          <w:tcPr>
            <w:tcW w:w="1728" w:type="dxa"/>
            <w:tcBorders>
              <w:top w:val="nil"/>
              <w:left w:val="nil"/>
              <w:bottom w:val="single" w:color="000000" w:sz="8" w:space="0"/>
              <w:right w:val="nil"/>
              <w:insideH w:val="nil"/>
              <w:insideV w:val="nil"/>
            </w:tcBorders>
            <w:vAlign w:val="center"/>
          </w:tcPr>
          <w:p w14:paraId="667CE05C">
            <w:pPr>
              <w:keepLines/>
              <w:spacing w:before="0" w:after="0" w:line="240" w:lineRule="auto"/>
              <w:jc w:val="left"/>
            </w:pPr>
            <w:r>
              <w:rPr>
                <w:rFonts w:ascii="Times New Roman" w:hAnsi="Times New Roman" w:eastAsia="Times New Roman"/>
                <w:b w:val="0"/>
                <w:i w:val="0"/>
                <w:color w:val="000000"/>
                <w:sz w:val="18"/>
              </w:rPr>
              <w:t>126,847</w:t>
            </w:r>
          </w:p>
        </w:tc>
        <w:tc>
          <w:tcPr>
            <w:tcW w:w="2880" w:type="dxa"/>
            <w:tcBorders>
              <w:top w:val="nil"/>
              <w:left w:val="nil"/>
              <w:bottom w:val="single" w:color="000000" w:sz="8" w:space="0"/>
              <w:right w:val="nil"/>
              <w:insideH w:val="nil"/>
              <w:insideV w:val="nil"/>
            </w:tcBorders>
            <w:vAlign w:val="center"/>
          </w:tcPr>
          <w:p w14:paraId="30C144D9">
            <w:pPr>
              <w:keepLines/>
              <w:spacing w:before="0" w:after="0" w:line="240" w:lineRule="auto"/>
              <w:jc w:val="left"/>
            </w:pPr>
            <w:r>
              <w:rPr>
                <w:rFonts w:ascii="Times New Roman" w:hAnsi="Times New Roman" w:eastAsia="Times New Roman"/>
                <w:b w:val="0"/>
                <w:i w:val="0"/>
                <w:color w:val="000000"/>
                <w:sz w:val="18"/>
              </w:rPr>
              <w:t>126,847</w:t>
            </w:r>
          </w:p>
        </w:tc>
      </w:tr>
    </w:tbl>
    <w:p w14:paraId="35914AE4">
      <w:pPr>
        <w:pStyle w:val="168"/>
        <w:keepLines/>
        <w:spacing w:before="60" w:after="60" w:line="240" w:lineRule="auto"/>
        <w:ind w:left="0" w:right="0" w:firstLine="0"/>
        <w:jc w:val="left"/>
      </w:pPr>
      <w:r>
        <w:rPr>
          <w:rFonts w:ascii="Times New Roman" w:hAnsi="Times New Roman" w:eastAsia="Times New Roman"/>
          <w:i/>
          <w:color w:val="000000"/>
          <w:sz w:val="20"/>
        </w:rPr>
        <w:t>Note. Positive interaction coefficients indicate that governance capacity, organization density, and digital infrastructure buffer climate-related losses in LifeStability.</w:t>
      </w:r>
    </w:p>
    <w:p w14:paraId="4BB866A3">
      <w:pPr>
        <w:pStyle w:val="4"/>
        <w:spacing w:before="160" w:after="80" w:line="276" w:lineRule="auto"/>
        <w:ind w:left="0" w:right="0" w:firstLine="0"/>
        <w:jc w:val="left"/>
      </w:pPr>
      <w:r>
        <w:rPr>
          <w:rFonts w:ascii="Times New Roman" w:hAnsi="Times New Roman" w:eastAsia="Times New Roman"/>
          <w:b/>
          <w:i w:val="0"/>
          <w:color w:val="000000"/>
          <w:sz w:val="24"/>
        </w:rPr>
        <w:t>Appendix Table H14. Digital-exclusion subgroup test and governance marginal effects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6D642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4EE6D43E">
            <w:pPr>
              <w:keepLines/>
              <w:spacing w:before="0" w:after="0" w:line="240" w:lineRule="auto"/>
              <w:jc w:val="center"/>
            </w:pPr>
            <w:r>
              <w:rPr>
                <w:rFonts w:ascii="Times New Roman" w:hAnsi="Times New Roman" w:eastAsia="Times New Roman"/>
                <w:b/>
                <w:i w:val="0"/>
                <w:color w:val="000000"/>
                <w:sz w:val="18"/>
              </w:rPr>
              <w:t>Panel</w:t>
            </w:r>
          </w:p>
        </w:tc>
        <w:tc>
          <w:tcPr>
            <w:tcW w:w="2015" w:type="dxa"/>
            <w:tcBorders>
              <w:top w:val="single" w:color="000000" w:sz="8" w:space="0"/>
              <w:left w:val="nil"/>
              <w:bottom w:val="single" w:color="000000" w:sz="8" w:space="0"/>
              <w:right w:val="nil"/>
              <w:insideH w:val="nil"/>
              <w:insideV w:val="nil"/>
            </w:tcBorders>
            <w:vAlign w:val="center"/>
          </w:tcPr>
          <w:p w14:paraId="4AA3E3A4">
            <w:pPr>
              <w:keepLines/>
              <w:spacing w:before="0" w:after="0" w:line="240" w:lineRule="auto"/>
              <w:jc w:val="center"/>
            </w:pPr>
            <w:r>
              <w:rPr>
                <w:rFonts w:ascii="Times New Roman" w:hAnsi="Times New Roman" w:eastAsia="Times New Roman"/>
                <w:b/>
                <w:i w:val="0"/>
                <w:color w:val="000000"/>
                <w:sz w:val="18"/>
              </w:rPr>
              <w:t>Group / governance level</w:t>
            </w:r>
          </w:p>
        </w:tc>
        <w:tc>
          <w:tcPr>
            <w:tcW w:w="1728" w:type="dxa"/>
            <w:tcBorders>
              <w:top w:val="single" w:color="000000" w:sz="8" w:space="0"/>
              <w:left w:val="nil"/>
              <w:bottom w:val="single" w:color="000000" w:sz="8" w:space="0"/>
              <w:right w:val="nil"/>
              <w:insideH w:val="nil"/>
              <w:insideV w:val="nil"/>
            </w:tcBorders>
            <w:vAlign w:val="center"/>
          </w:tcPr>
          <w:p w14:paraId="7E37E684">
            <w:pPr>
              <w:keepLines/>
              <w:spacing w:before="0" w:after="0" w:line="240" w:lineRule="auto"/>
              <w:jc w:val="center"/>
            </w:pPr>
            <w:r>
              <w:rPr>
                <w:rFonts w:ascii="Times New Roman" w:hAnsi="Times New Roman" w:eastAsia="Times New Roman"/>
                <w:b/>
                <w:i w:val="0"/>
                <w:color w:val="000000"/>
                <w:sz w:val="18"/>
              </w:rPr>
              <w:t>ClimateShock effect</w:t>
            </w:r>
          </w:p>
        </w:tc>
        <w:tc>
          <w:tcPr>
            <w:tcW w:w="2880" w:type="dxa"/>
            <w:tcBorders>
              <w:top w:val="single" w:color="000000" w:sz="8" w:space="0"/>
              <w:left w:val="nil"/>
              <w:bottom w:val="single" w:color="000000" w:sz="8" w:space="0"/>
              <w:right w:val="nil"/>
              <w:insideH w:val="nil"/>
              <w:insideV w:val="nil"/>
            </w:tcBorders>
            <w:vAlign w:val="center"/>
          </w:tcPr>
          <w:p w14:paraId="39A063AA">
            <w:pPr>
              <w:keepLines/>
              <w:spacing w:before="0" w:after="0" w:line="240" w:lineRule="auto"/>
              <w:jc w:val="center"/>
            </w:pPr>
            <w:r>
              <w:rPr>
                <w:rFonts w:ascii="Times New Roman" w:hAnsi="Times New Roman" w:eastAsia="Times New Roman"/>
                <w:b/>
                <w:i w:val="0"/>
                <w:color w:val="000000"/>
                <w:sz w:val="18"/>
              </w:rPr>
              <w:t>Significance</w:t>
            </w:r>
          </w:p>
        </w:tc>
      </w:tr>
      <w:tr w14:paraId="71AC4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485EAE9E">
            <w:pPr>
              <w:keepLines/>
              <w:spacing w:before="0" w:after="0" w:line="240" w:lineRule="auto"/>
              <w:jc w:val="left"/>
            </w:pPr>
            <w:r>
              <w:rPr>
                <w:rFonts w:ascii="Times New Roman" w:hAnsi="Times New Roman" w:eastAsia="Times New Roman"/>
                <w:b w:val="0"/>
                <w:i w:val="0"/>
                <w:color w:val="000000"/>
                <w:sz w:val="18"/>
              </w:rPr>
              <w:t>Digital-literacy subgroup</w:t>
            </w:r>
          </w:p>
        </w:tc>
        <w:tc>
          <w:tcPr>
            <w:tcW w:w="2015" w:type="dxa"/>
            <w:tcBorders>
              <w:top w:val="nil"/>
              <w:left w:val="nil"/>
              <w:bottom w:val="nil"/>
              <w:right w:val="nil"/>
              <w:insideH w:val="nil"/>
              <w:insideV w:val="nil"/>
            </w:tcBorders>
            <w:vAlign w:val="center"/>
          </w:tcPr>
          <w:p w14:paraId="2F8F79F0">
            <w:pPr>
              <w:keepLines/>
              <w:spacing w:before="0" w:after="0" w:line="240" w:lineRule="auto"/>
              <w:jc w:val="left"/>
            </w:pPr>
            <w:r>
              <w:rPr>
                <w:rFonts w:ascii="Times New Roman" w:hAnsi="Times New Roman" w:eastAsia="Times New Roman"/>
                <w:b w:val="0"/>
                <w:i w:val="0"/>
                <w:color w:val="000000"/>
                <w:sz w:val="18"/>
              </w:rPr>
              <w:t>Younger / college-educated high digital literacy</w:t>
            </w:r>
          </w:p>
        </w:tc>
        <w:tc>
          <w:tcPr>
            <w:tcW w:w="1728" w:type="dxa"/>
            <w:tcBorders>
              <w:top w:val="nil"/>
              <w:left w:val="nil"/>
              <w:bottom w:val="nil"/>
              <w:right w:val="nil"/>
              <w:insideH w:val="nil"/>
              <w:insideV w:val="nil"/>
            </w:tcBorders>
            <w:vAlign w:val="center"/>
          </w:tcPr>
          <w:p w14:paraId="5F8D32BA">
            <w:pPr>
              <w:keepLines/>
              <w:spacing w:before="0" w:after="0" w:line="240" w:lineRule="auto"/>
              <w:jc w:val="left"/>
            </w:pPr>
            <w:r>
              <w:rPr>
                <w:rFonts w:ascii="Times New Roman" w:hAnsi="Times New Roman" w:eastAsia="Times New Roman"/>
                <w:b w:val="0"/>
                <w:i w:val="0"/>
                <w:color w:val="000000"/>
                <w:sz w:val="18"/>
              </w:rPr>
              <w:t>-0.051***</w:t>
            </w:r>
          </w:p>
        </w:tc>
        <w:tc>
          <w:tcPr>
            <w:tcW w:w="2880" w:type="dxa"/>
            <w:tcBorders>
              <w:top w:val="nil"/>
              <w:left w:val="nil"/>
              <w:bottom w:val="nil"/>
              <w:right w:val="nil"/>
              <w:insideH w:val="nil"/>
              <w:insideV w:val="nil"/>
            </w:tcBorders>
            <w:vAlign w:val="center"/>
          </w:tcPr>
          <w:p w14:paraId="33B5A29E">
            <w:pPr>
              <w:keepLines/>
              <w:spacing w:before="0" w:after="0" w:line="240" w:lineRule="auto"/>
              <w:jc w:val="left"/>
            </w:pPr>
            <w:r>
              <w:rPr>
                <w:rFonts w:ascii="Times New Roman" w:hAnsi="Times New Roman" w:eastAsia="Times New Roman"/>
                <w:b w:val="0"/>
                <w:i w:val="0"/>
                <w:color w:val="000000"/>
                <w:sz w:val="18"/>
              </w:rPr>
              <w:t>***</w:t>
            </w:r>
          </w:p>
        </w:tc>
      </w:tr>
      <w:tr w14:paraId="294A4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C4F2DCE">
            <w:pPr>
              <w:keepLines/>
              <w:spacing w:before="0" w:after="0" w:line="240" w:lineRule="auto"/>
              <w:jc w:val="left"/>
            </w:pPr>
            <w:r>
              <w:rPr>
                <w:rFonts w:ascii="Times New Roman" w:hAnsi="Times New Roman" w:eastAsia="Times New Roman"/>
                <w:b w:val="0"/>
                <w:i w:val="0"/>
                <w:color w:val="000000"/>
                <w:sz w:val="18"/>
              </w:rPr>
              <w:t>Digital-literacy subgroup</w:t>
            </w:r>
          </w:p>
        </w:tc>
        <w:tc>
          <w:tcPr>
            <w:tcW w:w="2015" w:type="dxa"/>
            <w:tcBorders>
              <w:top w:val="nil"/>
              <w:left w:val="nil"/>
              <w:bottom w:val="nil"/>
              <w:right w:val="nil"/>
              <w:insideH w:val="nil"/>
              <w:insideV w:val="nil"/>
            </w:tcBorders>
            <w:vAlign w:val="center"/>
          </w:tcPr>
          <w:p w14:paraId="0F08BACB">
            <w:pPr>
              <w:keepLines/>
              <w:spacing w:before="0" w:after="0" w:line="240" w:lineRule="auto"/>
              <w:jc w:val="left"/>
            </w:pPr>
            <w:r>
              <w:rPr>
                <w:rFonts w:ascii="Times New Roman" w:hAnsi="Times New Roman" w:eastAsia="Times New Roman"/>
                <w:b w:val="0"/>
                <w:i w:val="0"/>
                <w:color w:val="000000"/>
                <w:sz w:val="18"/>
              </w:rPr>
              <w:t>Age 60+ / primary education or below</w:t>
            </w:r>
          </w:p>
        </w:tc>
        <w:tc>
          <w:tcPr>
            <w:tcW w:w="1728" w:type="dxa"/>
            <w:tcBorders>
              <w:top w:val="nil"/>
              <w:left w:val="nil"/>
              <w:bottom w:val="nil"/>
              <w:right w:val="nil"/>
              <w:insideH w:val="nil"/>
              <w:insideV w:val="nil"/>
            </w:tcBorders>
            <w:vAlign w:val="center"/>
          </w:tcPr>
          <w:p w14:paraId="09DD32B0">
            <w:pPr>
              <w:keepLines/>
              <w:spacing w:before="0" w:after="0" w:line="240" w:lineRule="auto"/>
              <w:jc w:val="left"/>
            </w:pPr>
            <w:r>
              <w:rPr>
                <w:rFonts w:ascii="Times New Roman" w:hAnsi="Times New Roman" w:eastAsia="Times New Roman"/>
                <w:b w:val="0"/>
                <w:i w:val="0"/>
                <w:color w:val="000000"/>
                <w:sz w:val="18"/>
              </w:rPr>
              <w:t>-0.107***</w:t>
            </w:r>
          </w:p>
        </w:tc>
        <w:tc>
          <w:tcPr>
            <w:tcW w:w="2880" w:type="dxa"/>
            <w:tcBorders>
              <w:top w:val="nil"/>
              <w:left w:val="nil"/>
              <w:bottom w:val="nil"/>
              <w:right w:val="nil"/>
              <w:insideH w:val="nil"/>
              <w:insideV w:val="nil"/>
            </w:tcBorders>
            <w:vAlign w:val="center"/>
          </w:tcPr>
          <w:p w14:paraId="5DDA99D8">
            <w:pPr>
              <w:keepLines/>
              <w:spacing w:before="0" w:after="0" w:line="240" w:lineRule="auto"/>
              <w:jc w:val="left"/>
            </w:pPr>
            <w:r>
              <w:rPr>
                <w:rFonts w:ascii="Times New Roman" w:hAnsi="Times New Roman" w:eastAsia="Times New Roman"/>
                <w:b w:val="0"/>
                <w:i w:val="0"/>
                <w:color w:val="000000"/>
                <w:sz w:val="18"/>
              </w:rPr>
              <w:t>***</w:t>
            </w:r>
          </w:p>
        </w:tc>
      </w:tr>
      <w:tr w14:paraId="6523F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7CF9D6CD">
            <w:pPr>
              <w:keepLines/>
              <w:spacing w:before="0" w:after="0" w:line="240" w:lineRule="auto"/>
              <w:jc w:val="left"/>
            </w:pPr>
            <w:r>
              <w:rPr>
                <w:rFonts w:ascii="Times New Roman" w:hAnsi="Times New Roman" w:eastAsia="Times New Roman"/>
                <w:b w:val="0"/>
                <w:i w:val="0"/>
                <w:color w:val="000000"/>
                <w:sz w:val="18"/>
              </w:rPr>
              <w:t>Governance marginal effect</w:t>
            </w:r>
          </w:p>
        </w:tc>
        <w:tc>
          <w:tcPr>
            <w:tcW w:w="2015" w:type="dxa"/>
            <w:tcBorders>
              <w:top w:val="nil"/>
              <w:left w:val="nil"/>
              <w:bottom w:val="nil"/>
              <w:right w:val="nil"/>
              <w:insideH w:val="nil"/>
              <w:insideV w:val="nil"/>
            </w:tcBorders>
            <w:vAlign w:val="center"/>
          </w:tcPr>
          <w:p w14:paraId="12FBDF1E">
            <w:pPr>
              <w:keepLines/>
              <w:spacing w:before="0" w:after="0" w:line="240" w:lineRule="auto"/>
              <w:jc w:val="left"/>
            </w:pPr>
            <w:r>
              <w:rPr>
                <w:rFonts w:ascii="Times New Roman" w:hAnsi="Times New Roman" w:eastAsia="Times New Roman"/>
                <w:b w:val="0"/>
                <w:i w:val="0"/>
                <w:color w:val="000000"/>
                <w:sz w:val="18"/>
              </w:rPr>
              <w:t>Low governance: mean - 1 SD</w:t>
            </w:r>
          </w:p>
        </w:tc>
        <w:tc>
          <w:tcPr>
            <w:tcW w:w="1728" w:type="dxa"/>
            <w:tcBorders>
              <w:top w:val="nil"/>
              <w:left w:val="nil"/>
              <w:bottom w:val="nil"/>
              <w:right w:val="nil"/>
              <w:insideH w:val="nil"/>
              <w:insideV w:val="nil"/>
            </w:tcBorders>
            <w:vAlign w:val="center"/>
          </w:tcPr>
          <w:p w14:paraId="3090FD4A">
            <w:pPr>
              <w:keepLines/>
              <w:spacing w:before="0" w:after="0" w:line="240" w:lineRule="auto"/>
              <w:jc w:val="left"/>
            </w:pPr>
            <w:r>
              <w:rPr>
                <w:rFonts w:ascii="Times New Roman" w:hAnsi="Times New Roman" w:eastAsia="Times New Roman"/>
                <w:b w:val="0"/>
                <w:i w:val="0"/>
                <w:color w:val="000000"/>
                <w:sz w:val="18"/>
              </w:rPr>
              <w:t>-0.119</w:t>
            </w:r>
          </w:p>
        </w:tc>
        <w:tc>
          <w:tcPr>
            <w:tcW w:w="2880" w:type="dxa"/>
            <w:tcBorders>
              <w:top w:val="nil"/>
              <w:left w:val="nil"/>
              <w:bottom w:val="nil"/>
              <w:right w:val="nil"/>
              <w:insideH w:val="nil"/>
              <w:insideV w:val="nil"/>
            </w:tcBorders>
            <w:vAlign w:val="center"/>
          </w:tcPr>
          <w:p w14:paraId="5E8E98CB">
            <w:pPr>
              <w:keepLines/>
              <w:spacing w:before="0" w:after="0" w:line="240" w:lineRule="auto"/>
              <w:jc w:val="left"/>
            </w:pPr>
          </w:p>
        </w:tc>
      </w:tr>
      <w:tr w14:paraId="01720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345AE24">
            <w:pPr>
              <w:keepLines/>
              <w:spacing w:before="0" w:after="0" w:line="240" w:lineRule="auto"/>
              <w:jc w:val="left"/>
            </w:pPr>
            <w:r>
              <w:rPr>
                <w:rFonts w:ascii="Times New Roman" w:hAnsi="Times New Roman" w:eastAsia="Times New Roman"/>
                <w:b w:val="0"/>
                <w:i w:val="0"/>
                <w:color w:val="000000"/>
                <w:sz w:val="18"/>
              </w:rPr>
              <w:t>Governance marginal effect</w:t>
            </w:r>
          </w:p>
        </w:tc>
        <w:tc>
          <w:tcPr>
            <w:tcW w:w="2015" w:type="dxa"/>
            <w:tcBorders>
              <w:top w:val="nil"/>
              <w:left w:val="nil"/>
              <w:bottom w:val="nil"/>
              <w:right w:val="nil"/>
              <w:insideH w:val="nil"/>
              <w:insideV w:val="nil"/>
            </w:tcBorders>
            <w:vAlign w:val="center"/>
          </w:tcPr>
          <w:p w14:paraId="6CA4528C">
            <w:pPr>
              <w:keepLines/>
              <w:spacing w:before="0" w:after="0" w:line="240" w:lineRule="auto"/>
              <w:jc w:val="left"/>
            </w:pPr>
            <w:r>
              <w:rPr>
                <w:rFonts w:ascii="Times New Roman" w:hAnsi="Times New Roman" w:eastAsia="Times New Roman"/>
                <w:b w:val="0"/>
                <w:i w:val="0"/>
                <w:color w:val="000000"/>
                <w:sz w:val="18"/>
              </w:rPr>
              <w:t>Mean governance</w:t>
            </w:r>
          </w:p>
        </w:tc>
        <w:tc>
          <w:tcPr>
            <w:tcW w:w="1728" w:type="dxa"/>
            <w:tcBorders>
              <w:top w:val="nil"/>
              <w:left w:val="nil"/>
              <w:bottom w:val="nil"/>
              <w:right w:val="nil"/>
              <w:insideH w:val="nil"/>
              <w:insideV w:val="nil"/>
            </w:tcBorders>
            <w:vAlign w:val="center"/>
          </w:tcPr>
          <w:p w14:paraId="5BA83962">
            <w:pPr>
              <w:keepLines/>
              <w:spacing w:before="0" w:after="0" w:line="240" w:lineRule="auto"/>
              <w:jc w:val="left"/>
            </w:pPr>
            <w:r>
              <w:rPr>
                <w:rFonts w:ascii="Times New Roman" w:hAnsi="Times New Roman" w:eastAsia="Times New Roman"/>
                <w:b w:val="0"/>
                <w:i w:val="0"/>
                <w:color w:val="000000"/>
                <w:sz w:val="18"/>
              </w:rPr>
              <w:t>-0.083</w:t>
            </w:r>
          </w:p>
        </w:tc>
        <w:tc>
          <w:tcPr>
            <w:tcW w:w="2880" w:type="dxa"/>
            <w:tcBorders>
              <w:top w:val="nil"/>
              <w:left w:val="nil"/>
              <w:bottom w:val="nil"/>
              <w:right w:val="nil"/>
              <w:insideH w:val="nil"/>
              <w:insideV w:val="nil"/>
            </w:tcBorders>
            <w:vAlign w:val="center"/>
          </w:tcPr>
          <w:p w14:paraId="0A7E5435">
            <w:pPr>
              <w:keepLines/>
              <w:spacing w:before="0" w:after="0" w:line="240" w:lineRule="auto"/>
              <w:jc w:val="left"/>
            </w:pPr>
          </w:p>
        </w:tc>
      </w:tr>
      <w:tr w14:paraId="6ADDC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46333E41">
            <w:pPr>
              <w:keepLines/>
              <w:spacing w:before="0" w:after="0" w:line="240" w:lineRule="auto"/>
              <w:jc w:val="left"/>
            </w:pPr>
            <w:r>
              <w:rPr>
                <w:rFonts w:ascii="Times New Roman" w:hAnsi="Times New Roman" w:eastAsia="Times New Roman"/>
                <w:b w:val="0"/>
                <w:i w:val="0"/>
                <w:color w:val="000000"/>
                <w:sz w:val="18"/>
              </w:rPr>
              <w:t>Governance marginal effect</w:t>
            </w:r>
          </w:p>
        </w:tc>
        <w:tc>
          <w:tcPr>
            <w:tcW w:w="2015" w:type="dxa"/>
            <w:tcBorders>
              <w:top w:val="nil"/>
              <w:left w:val="nil"/>
              <w:bottom w:val="single" w:color="000000" w:sz="8" w:space="0"/>
              <w:right w:val="nil"/>
              <w:insideH w:val="nil"/>
              <w:insideV w:val="nil"/>
            </w:tcBorders>
            <w:vAlign w:val="center"/>
          </w:tcPr>
          <w:p w14:paraId="048E8454">
            <w:pPr>
              <w:keepLines/>
              <w:spacing w:before="0" w:after="0" w:line="240" w:lineRule="auto"/>
              <w:jc w:val="left"/>
            </w:pPr>
            <w:r>
              <w:rPr>
                <w:rFonts w:ascii="Times New Roman" w:hAnsi="Times New Roman" w:eastAsia="Times New Roman"/>
                <w:b w:val="0"/>
                <w:i w:val="0"/>
                <w:color w:val="000000"/>
                <w:sz w:val="18"/>
              </w:rPr>
              <w:t>High governance: mean + 1 SD</w:t>
            </w:r>
          </w:p>
        </w:tc>
        <w:tc>
          <w:tcPr>
            <w:tcW w:w="1728" w:type="dxa"/>
            <w:tcBorders>
              <w:top w:val="nil"/>
              <w:left w:val="nil"/>
              <w:bottom w:val="single" w:color="000000" w:sz="8" w:space="0"/>
              <w:right w:val="nil"/>
              <w:insideH w:val="nil"/>
              <w:insideV w:val="nil"/>
            </w:tcBorders>
            <w:vAlign w:val="center"/>
          </w:tcPr>
          <w:p w14:paraId="4D20F117">
            <w:pPr>
              <w:keepLines/>
              <w:spacing w:before="0" w:after="0" w:line="240" w:lineRule="auto"/>
              <w:jc w:val="left"/>
            </w:pPr>
            <w:r>
              <w:rPr>
                <w:rFonts w:ascii="Times New Roman" w:hAnsi="Times New Roman" w:eastAsia="Times New Roman"/>
                <w:b w:val="0"/>
                <w:i w:val="0"/>
                <w:color w:val="000000"/>
                <w:sz w:val="18"/>
              </w:rPr>
              <w:t>-0.047</w:t>
            </w:r>
          </w:p>
        </w:tc>
        <w:tc>
          <w:tcPr>
            <w:tcW w:w="2880" w:type="dxa"/>
            <w:tcBorders>
              <w:top w:val="nil"/>
              <w:left w:val="nil"/>
              <w:bottom w:val="single" w:color="000000" w:sz="8" w:space="0"/>
              <w:right w:val="nil"/>
              <w:insideH w:val="nil"/>
              <w:insideV w:val="nil"/>
            </w:tcBorders>
            <w:vAlign w:val="center"/>
          </w:tcPr>
          <w:p w14:paraId="10DA154B">
            <w:pPr>
              <w:keepLines/>
              <w:spacing w:before="0" w:after="0" w:line="240" w:lineRule="auto"/>
              <w:jc w:val="left"/>
            </w:pPr>
          </w:p>
        </w:tc>
      </w:tr>
    </w:tbl>
    <w:p w14:paraId="296382A8">
      <w:pPr>
        <w:pStyle w:val="168"/>
        <w:keepLines/>
        <w:spacing w:before="60" w:after="60" w:line="240" w:lineRule="auto"/>
        <w:ind w:left="0" w:right="0" w:firstLine="0"/>
        <w:jc w:val="left"/>
      </w:pPr>
      <w:r>
        <w:rPr>
          <w:rFonts w:ascii="Times New Roman" w:hAnsi="Times New Roman" w:eastAsia="Times New Roman"/>
          <w:i/>
          <w:color w:val="000000"/>
          <w:sz w:val="20"/>
        </w:rPr>
        <w:t>Note. The subgroup pattern supports the digital-exclusion interpretation: digital infrastructure offers weaker protection for older and less-educated residents.</w:t>
      </w:r>
    </w:p>
    <w:p w14:paraId="49B4B622">
      <w:pPr>
        <w:pStyle w:val="4"/>
        <w:spacing w:before="160" w:after="80" w:line="276" w:lineRule="auto"/>
        <w:ind w:left="0" w:right="0" w:firstLine="0"/>
        <w:jc w:val="left"/>
      </w:pPr>
      <w:r>
        <w:rPr>
          <w:rFonts w:ascii="Times New Roman" w:hAnsi="Times New Roman" w:eastAsia="Times New Roman"/>
          <w:b/>
          <w:i w:val="0"/>
          <w:color w:val="000000"/>
          <w:sz w:val="24"/>
        </w:rPr>
        <w:t>Appendix Table H15. Heterogeneity tests for unequal recovery, outcome = LifeStability</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66695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284ECADD">
            <w:pPr>
              <w:keepLines/>
              <w:spacing w:before="0" w:after="0" w:line="240" w:lineRule="auto"/>
              <w:jc w:val="center"/>
            </w:pPr>
            <w:r>
              <w:rPr>
                <w:rFonts w:ascii="Times New Roman" w:hAnsi="Times New Roman" w:eastAsia="Times New Roman"/>
                <w:b/>
                <w:i w:val="0"/>
                <w:color w:val="000000"/>
                <w:sz w:val="18"/>
              </w:rPr>
              <w:t>Dimension</w:t>
            </w:r>
          </w:p>
        </w:tc>
        <w:tc>
          <w:tcPr>
            <w:tcW w:w="2015" w:type="dxa"/>
            <w:tcBorders>
              <w:top w:val="single" w:color="000000" w:sz="8" w:space="0"/>
              <w:left w:val="nil"/>
              <w:bottom w:val="single" w:color="000000" w:sz="8" w:space="0"/>
              <w:right w:val="nil"/>
              <w:insideH w:val="nil"/>
              <w:insideV w:val="nil"/>
            </w:tcBorders>
            <w:vAlign w:val="center"/>
          </w:tcPr>
          <w:p w14:paraId="54683459">
            <w:pPr>
              <w:keepLines/>
              <w:spacing w:before="0" w:after="0" w:line="240" w:lineRule="auto"/>
              <w:jc w:val="center"/>
            </w:pPr>
            <w:r>
              <w:rPr>
                <w:rFonts w:ascii="Times New Roman" w:hAnsi="Times New Roman" w:eastAsia="Times New Roman"/>
                <w:b/>
                <w:i w:val="0"/>
                <w:color w:val="000000"/>
                <w:sz w:val="18"/>
              </w:rPr>
              <w:t>Subsample</w:t>
            </w:r>
          </w:p>
        </w:tc>
        <w:tc>
          <w:tcPr>
            <w:tcW w:w="1728" w:type="dxa"/>
            <w:tcBorders>
              <w:top w:val="single" w:color="000000" w:sz="8" w:space="0"/>
              <w:left w:val="nil"/>
              <w:bottom w:val="single" w:color="000000" w:sz="8" w:space="0"/>
              <w:right w:val="nil"/>
              <w:insideH w:val="nil"/>
              <w:insideV w:val="nil"/>
            </w:tcBorders>
            <w:vAlign w:val="center"/>
          </w:tcPr>
          <w:p w14:paraId="3A443B94">
            <w:pPr>
              <w:keepLines/>
              <w:spacing w:before="0" w:after="0" w:line="240" w:lineRule="auto"/>
              <w:jc w:val="center"/>
            </w:pPr>
            <w:r>
              <w:rPr>
                <w:rFonts w:ascii="Times New Roman" w:hAnsi="Times New Roman" w:eastAsia="Times New Roman"/>
                <w:b/>
                <w:i w:val="0"/>
                <w:color w:val="000000"/>
                <w:sz w:val="18"/>
              </w:rPr>
              <w:t>ClimateShock effect</w:t>
            </w:r>
          </w:p>
        </w:tc>
        <w:tc>
          <w:tcPr>
            <w:tcW w:w="2880" w:type="dxa"/>
            <w:tcBorders>
              <w:top w:val="single" w:color="000000" w:sz="8" w:space="0"/>
              <w:left w:val="nil"/>
              <w:bottom w:val="single" w:color="000000" w:sz="8" w:space="0"/>
              <w:right w:val="nil"/>
              <w:insideH w:val="nil"/>
              <w:insideV w:val="nil"/>
            </w:tcBorders>
            <w:vAlign w:val="center"/>
          </w:tcPr>
          <w:p w14:paraId="1C264F42">
            <w:pPr>
              <w:keepLines/>
              <w:spacing w:before="0" w:after="0" w:line="240" w:lineRule="auto"/>
              <w:jc w:val="center"/>
            </w:pPr>
            <w:r>
              <w:rPr>
                <w:rFonts w:ascii="Times New Roman" w:hAnsi="Times New Roman" w:eastAsia="Times New Roman"/>
                <w:b/>
                <w:i w:val="0"/>
                <w:color w:val="000000"/>
                <w:sz w:val="18"/>
              </w:rPr>
              <w:t>Between-group p-value</w:t>
            </w:r>
          </w:p>
        </w:tc>
      </w:tr>
      <w:tr w14:paraId="1C07E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59FE0701">
            <w:pPr>
              <w:keepLines/>
              <w:spacing w:before="0" w:after="0" w:line="240" w:lineRule="auto"/>
              <w:jc w:val="left"/>
            </w:pPr>
            <w:r>
              <w:rPr>
                <w:rFonts w:ascii="Times New Roman" w:hAnsi="Times New Roman" w:eastAsia="Times New Roman"/>
                <w:b w:val="0"/>
                <w:i w:val="0"/>
                <w:color w:val="000000"/>
                <w:sz w:val="18"/>
              </w:rPr>
              <w:t>Urban-rural</w:t>
            </w:r>
          </w:p>
        </w:tc>
        <w:tc>
          <w:tcPr>
            <w:tcW w:w="2015" w:type="dxa"/>
            <w:tcBorders>
              <w:top w:val="nil"/>
              <w:left w:val="nil"/>
              <w:bottom w:val="nil"/>
              <w:right w:val="nil"/>
              <w:insideH w:val="nil"/>
              <w:insideV w:val="nil"/>
            </w:tcBorders>
            <w:vAlign w:val="center"/>
          </w:tcPr>
          <w:p w14:paraId="5F37E993">
            <w:pPr>
              <w:keepLines/>
              <w:spacing w:before="0" w:after="0" w:line="240" w:lineRule="auto"/>
              <w:jc w:val="left"/>
            </w:pPr>
            <w:r>
              <w:rPr>
                <w:rFonts w:ascii="Times New Roman" w:hAnsi="Times New Roman" w:eastAsia="Times New Roman"/>
                <w:b w:val="0"/>
                <w:i w:val="0"/>
                <w:color w:val="000000"/>
                <w:sz w:val="18"/>
              </w:rPr>
              <w:t>Urban</w:t>
            </w:r>
          </w:p>
        </w:tc>
        <w:tc>
          <w:tcPr>
            <w:tcW w:w="1728" w:type="dxa"/>
            <w:tcBorders>
              <w:top w:val="nil"/>
              <w:left w:val="nil"/>
              <w:bottom w:val="nil"/>
              <w:right w:val="nil"/>
              <w:insideH w:val="nil"/>
              <w:insideV w:val="nil"/>
            </w:tcBorders>
            <w:vAlign w:val="center"/>
          </w:tcPr>
          <w:p w14:paraId="7DA01C96">
            <w:pPr>
              <w:keepLines/>
              <w:spacing w:before="0" w:after="0" w:line="240" w:lineRule="auto"/>
              <w:jc w:val="left"/>
            </w:pPr>
            <w:r>
              <w:rPr>
                <w:rFonts w:ascii="Times New Roman" w:hAnsi="Times New Roman" w:eastAsia="Times New Roman"/>
                <w:b w:val="0"/>
                <w:i w:val="0"/>
                <w:color w:val="000000"/>
                <w:sz w:val="18"/>
              </w:rPr>
              <w:t>-0.053***</w:t>
            </w:r>
          </w:p>
        </w:tc>
        <w:tc>
          <w:tcPr>
            <w:tcW w:w="2880" w:type="dxa"/>
            <w:tcBorders>
              <w:top w:val="nil"/>
              <w:left w:val="nil"/>
              <w:bottom w:val="nil"/>
              <w:right w:val="nil"/>
              <w:insideH w:val="nil"/>
              <w:insideV w:val="nil"/>
            </w:tcBorders>
            <w:vAlign w:val="center"/>
          </w:tcPr>
          <w:p w14:paraId="2241A625">
            <w:pPr>
              <w:keepLines/>
              <w:spacing w:before="0" w:after="0" w:line="240" w:lineRule="auto"/>
              <w:jc w:val="left"/>
            </w:pPr>
            <w:r>
              <w:rPr>
                <w:rFonts w:ascii="Times New Roman" w:hAnsi="Times New Roman" w:eastAsia="Times New Roman"/>
                <w:b w:val="0"/>
                <w:i w:val="0"/>
                <w:color w:val="000000"/>
                <w:sz w:val="18"/>
              </w:rPr>
              <w:t>0.002</w:t>
            </w:r>
          </w:p>
        </w:tc>
      </w:tr>
      <w:tr w14:paraId="0F84E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38EC94C">
            <w:pPr>
              <w:keepLines/>
              <w:spacing w:before="0" w:after="0" w:line="240" w:lineRule="auto"/>
              <w:jc w:val="left"/>
            </w:pPr>
            <w:r>
              <w:rPr>
                <w:rFonts w:ascii="Times New Roman" w:hAnsi="Times New Roman" w:eastAsia="Times New Roman"/>
                <w:b w:val="0"/>
                <w:i w:val="0"/>
                <w:color w:val="000000"/>
                <w:sz w:val="18"/>
              </w:rPr>
              <w:t>Urban-rural</w:t>
            </w:r>
          </w:p>
        </w:tc>
        <w:tc>
          <w:tcPr>
            <w:tcW w:w="2015" w:type="dxa"/>
            <w:tcBorders>
              <w:top w:val="nil"/>
              <w:left w:val="nil"/>
              <w:bottom w:val="nil"/>
              <w:right w:val="nil"/>
              <w:insideH w:val="nil"/>
              <w:insideV w:val="nil"/>
            </w:tcBorders>
            <w:vAlign w:val="center"/>
          </w:tcPr>
          <w:p w14:paraId="03D43897">
            <w:pPr>
              <w:keepLines/>
              <w:spacing w:before="0" w:after="0" w:line="240" w:lineRule="auto"/>
              <w:jc w:val="left"/>
            </w:pPr>
            <w:r>
              <w:rPr>
                <w:rFonts w:ascii="Times New Roman" w:hAnsi="Times New Roman" w:eastAsia="Times New Roman"/>
                <w:b w:val="0"/>
                <w:i w:val="0"/>
                <w:color w:val="000000"/>
                <w:sz w:val="18"/>
              </w:rPr>
              <w:t>Rural</w:t>
            </w:r>
          </w:p>
        </w:tc>
        <w:tc>
          <w:tcPr>
            <w:tcW w:w="1728" w:type="dxa"/>
            <w:tcBorders>
              <w:top w:val="nil"/>
              <w:left w:val="nil"/>
              <w:bottom w:val="nil"/>
              <w:right w:val="nil"/>
              <w:insideH w:val="nil"/>
              <w:insideV w:val="nil"/>
            </w:tcBorders>
            <w:vAlign w:val="center"/>
          </w:tcPr>
          <w:p w14:paraId="16744A51">
            <w:pPr>
              <w:keepLines/>
              <w:spacing w:before="0" w:after="0" w:line="240" w:lineRule="auto"/>
              <w:jc w:val="left"/>
            </w:pPr>
            <w:r>
              <w:rPr>
                <w:rFonts w:ascii="Times New Roman" w:hAnsi="Times New Roman" w:eastAsia="Times New Roman"/>
                <w:b w:val="0"/>
                <w:i w:val="0"/>
                <w:color w:val="000000"/>
                <w:sz w:val="18"/>
              </w:rPr>
              <w:t>-0.118***</w:t>
            </w:r>
          </w:p>
        </w:tc>
        <w:tc>
          <w:tcPr>
            <w:tcW w:w="2880" w:type="dxa"/>
            <w:tcBorders>
              <w:top w:val="nil"/>
              <w:left w:val="nil"/>
              <w:bottom w:val="nil"/>
              <w:right w:val="nil"/>
              <w:insideH w:val="nil"/>
              <w:insideV w:val="nil"/>
            </w:tcBorders>
            <w:vAlign w:val="center"/>
          </w:tcPr>
          <w:p w14:paraId="3F22F810">
            <w:pPr>
              <w:keepLines/>
              <w:spacing w:before="0" w:after="0" w:line="240" w:lineRule="auto"/>
              <w:jc w:val="left"/>
            </w:pPr>
          </w:p>
        </w:tc>
      </w:tr>
      <w:tr w14:paraId="733F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06F7CBB2">
            <w:pPr>
              <w:keepLines/>
              <w:spacing w:before="0" w:after="0" w:line="240" w:lineRule="auto"/>
              <w:jc w:val="left"/>
            </w:pPr>
            <w:r>
              <w:rPr>
                <w:rFonts w:ascii="Times New Roman" w:hAnsi="Times New Roman" w:eastAsia="Times New Roman"/>
                <w:b w:val="0"/>
                <w:i w:val="0"/>
                <w:color w:val="000000"/>
                <w:sz w:val="18"/>
              </w:rPr>
              <w:t>Income</w:t>
            </w:r>
          </w:p>
        </w:tc>
        <w:tc>
          <w:tcPr>
            <w:tcW w:w="2015" w:type="dxa"/>
            <w:tcBorders>
              <w:top w:val="nil"/>
              <w:left w:val="nil"/>
              <w:bottom w:val="nil"/>
              <w:right w:val="nil"/>
              <w:insideH w:val="nil"/>
              <w:insideV w:val="nil"/>
            </w:tcBorders>
            <w:vAlign w:val="center"/>
          </w:tcPr>
          <w:p w14:paraId="1182B7BD">
            <w:pPr>
              <w:keepLines/>
              <w:spacing w:before="0" w:after="0" w:line="240" w:lineRule="auto"/>
              <w:jc w:val="left"/>
            </w:pPr>
            <w:r>
              <w:rPr>
                <w:rFonts w:ascii="Times New Roman" w:hAnsi="Times New Roman" w:eastAsia="Times New Roman"/>
                <w:b w:val="0"/>
                <w:i w:val="0"/>
                <w:color w:val="000000"/>
                <w:sz w:val="18"/>
              </w:rPr>
              <w:t>Top income third</w:t>
            </w:r>
          </w:p>
        </w:tc>
        <w:tc>
          <w:tcPr>
            <w:tcW w:w="1728" w:type="dxa"/>
            <w:tcBorders>
              <w:top w:val="nil"/>
              <w:left w:val="nil"/>
              <w:bottom w:val="nil"/>
              <w:right w:val="nil"/>
              <w:insideH w:val="nil"/>
              <w:insideV w:val="nil"/>
            </w:tcBorders>
            <w:vAlign w:val="center"/>
          </w:tcPr>
          <w:p w14:paraId="47D262B0">
            <w:pPr>
              <w:keepLines/>
              <w:spacing w:before="0" w:after="0" w:line="240" w:lineRule="auto"/>
              <w:jc w:val="left"/>
            </w:pPr>
            <w:r>
              <w:rPr>
                <w:rFonts w:ascii="Times New Roman" w:hAnsi="Times New Roman" w:eastAsia="Times New Roman"/>
                <w:b w:val="0"/>
                <w:i w:val="0"/>
                <w:color w:val="000000"/>
                <w:sz w:val="18"/>
              </w:rPr>
              <w:t>-0.041***</w:t>
            </w:r>
          </w:p>
        </w:tc>
        <w:tc>
          <w:tcPr>
            <w:tcW w:w="2880" w:type="dxa"/>
            <w:tcBorders>
              <w:top w:val="nil"/>
              <w:left w:val="nil"/>
              <w:bottom w:val="nil"/>
              <w:right w:val="nil"/>
              <w:insideH w:val="nil"/>
              <w:insideV w:val="nil"/>
            </w:tcBorders>
            <w:vAlign w:val="center"/>
          </w:tcPr>
          <w:p w14:paraId="3E2C47CC">
            <w:pPr>
              <w:keepLines/>
              <w:spacing w:before="0" w:after="0" w:line="240" w:lineRule="auto"/>
              <w:jc w:val="left"/>
            </w:pPr>
            <w:r>
              <w:rPr>
                <w:rFonts w:ascii="Times New Roman" w:hAnsi="Times New Roman" w:eastAsia="Times New Roman"/>
                <w:b w:val="0"/>
                <w:i w:val="0"/>
                <w:color w:val="000000"/>
                <w:sz w:val="18"/>
              </w:rPr>
              <w:t>&lt;0.001</w:t>
            </w:r>
          </w:p>
        </w:tc>
      </w:tr>
      <w:tr w14:paraId="58636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78837F0">
            <w:pPr>
              <w:keepLines/>
              <w:spacing w:before="0" w:after="0" w:line="240" w:lineRule="auto"/>
              <w:jc w:val="left"/>
            </w:pPr>
            <w:r>
              <w:rPr>
                <w:rFonts w:ascii="Times New Roman" w:hAnsi="Times New Roman" w:eastAsia="Times New Roman"/>
                <w:b w:val="0"/>
                <w:i w:val="0"/>
                <w:color w:val="000000"/>
                <w:sz w:val="18"/>
              </w:rPr>
              <w:t>Income</w:t>
            </w:r>
          </w:p>
        </w:tc>
        <w:tc>
          <w:tcPr>
            <w:tcW w:w="2015" w:type="dxa"/>
            <w:tcBorders>
              <w:top w:val="nil"/>
              <w:left w:val="nil"/>
              <w:bottom w:val="nil"/>
              <w:right w:val="nil"/>
              <w:insideH w:val="nil"/>
              <w:insideV w:val="nil"/>
            </w:tcBorders>
            <w:vAlign w:val="center"/>
          </w:tcPr>
          <w:p w14:paraId="24DB4983">
            <w:pPr>
              <w:keepLines/>
              <w:spacing w:before="0" w:after="0" w:line="240" w:lineRule="auto"/>
              <w:jc w:val="left"/>
            </w:pPr>
            <w:r>
              <w:rPr>
                <w:rFonts w:ascii="Times New Roman" w:hAnsi="Times New Roman" w:eastAsia="Times New Roman"/>
                <w:b w:val="0"/>
                <w:i w:val="0"/>
                <w:color w:val="000000"/>
                <w:sz w:val="18"/>
              </w:rPr>
              <w:t>Middle income third</w:t>
            </w:r>
          </w:p>
        </w:tc>
        <w:tc>
          <w:tcPr>
            <w:tcW w:w="1728" w:type="dxa"/>
            <w:tcBorders>
              <w:top w:val="nil"/>
              <w:left w:val="nil"/>
              <w:bottom w:val="nil"/>
              <w:right w:val="nil"/>
              <w:insideH w:val="nil"/>
              <w:insideV w:val="nil"/>
            </w:tcBorders>
            <w:vAlign w:val="center"/>
          </w:tcPr>
          <w:p w14:paraId="0B33C0FF">
            <w:pPr>
              <w:keepLines/>
              <w:spacing w:before="0" w:after="0" w:line="240" w:lineRule="auto"/>
              <w:jc w:val="left"/>
            </w:pPr>
            <w:r>
              <w:rPr>
                <w:rFonts w:ascii="Times New Roman" w:hAnsi="Times New Roman" w:eastAsia="Times New Roman"/>
                <w:b w:val="0"/>
                <w:i w:val="0"/>
                <w:color w:val="000000"/>
                <w:sz w:val="18"/>
              </w:rPr>
              <w:t>-0.079***</w:t>
            </w:r>
          </w:p>
        </w:tc>
        <w:tc>
          <w:tcPr>
            <w:tcW w:w="2880" w:type="dxa"/>
            <w:tcBorders>
              <w:top w:val="nil"/>
              <w:left w:val="nil"/>
              <w:bottom w:val="nil"/>
              <w:right w:val="nil"/>
              <w:insideH w:val="nil"/>
              <w:insideV w:val="nil"/>
            </w:tcBorders>
            <w:vAlign w:val="center"/>
          </w:tcPr>
          <w:p w14:paraId="31941FF4">
            <w:pPr>
              <w:keepLines/>
              <w:spacing w:before="0" w:after="0" w:line="240" w:lineRule="auto"/>
              <w:jc w:val="left"/>
            </w:pPr>
          </w:p>
        </w:tc>
      </w:tr>
      <w:tr w14:paraId="6F2A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1E868682">
            <w:pPr>
              <w:keepLines/>
              <w:spacing w:before="0" w:after="0" w:line="240" w:lineRule="auto"/>
              <w:jc w:val="left"/>
            </w:pPr>
            <w:r>
              <w:rPr>
                <w:rFonts w:ascii="Times New Roman" w:hAnsi="Times New Roman" w:eastAsia="Times New Roman"/>
                <w:b w:val="0"/>
                <w:i w:val="0"/>
                <w:color w:val="000000"/>
                <w:sz w:val="18"/>
              </w:rPr>
              <w:t>Income</w:t>
            </w:r>
          </w:p>
        </w:tc>
        <w:tc>
          <w:tcPr>
            <w:tcW w:w="2015" w:type="dxa"/>
            <w:tcBorders>
              <w:top w:val="nil"/>
              <w:left w:val="nil"/>
              <w:bottom w:val="nil"/>
              <w:right w:val="nil"/>
              <w:insideH w:val="nil"/>
              <w:insideV w:val="nil"/>
            </w:tcBorders>
            <w:vAlign w:val="center"/>
          </w:tcPr>
          <w:p w14:paraId="7B8143BF">
            <w:pPr>
              <w:keepLines/>
              <w:spacing w:before="0" w:after="0" w:line="240" w:lineRule="auto"/>
              <w:jc w:val="left"/>
            </w:pPr>
            <w:r>
              <w:rPr>
                <w:rFonts w:ascii="Times New Roman" w:hAnsi="Times New Roman" w:eastAsia="Times New Roman"/>
                <w:b w:val="0"/>
                <w:i w:val="0"/>
                <w:color w:val="000000"/>
                <w:sz w:val="18"/>
              </w:rPr>
              <w:t>Bottom income third</w:t>
            </w:r>
          </w:p>
        </w:tc>
        <w:tc>
          <w:tcPr>
            <w:tcW w:w="1728" w:type="dxa"/>
            <w:tcBorders>
              <w:top w:val="nil"/>
              <w:left w:val="nil"/>
              <w:bottom w:val="nil"/>
              <w:right w:val="nil"/>
              <w:insideH w:val="nil"/>
              <w:insideV w:val="nil"/>
            </w:tcBorders>
            <w:vAlign w:val="center"/>
          </w:tcPr>
          <w:p w14:paraId="7BBA192A">
            <w:pPr>
              <w:keepLines/>
              <w:spacing w:before="0" w:after="0" w:line="240" w:lineRule="auto"/>
              <w:jc w:val="left"/>
            </w:pPr>
            <w:r>
              <w:rPr>
                <w:rFonts w:ascii="Times New Roman" w:hAnsi="Times New Roman" w:eastAsia="Times New Roman"/>
                <w:b w:val="0"/>
                <w:i w:val="0"/>
                <w:color w:val="000000"/>
                <w:sz w:val="18"/>
              </w:rPr>
              <w:t>-0.132***</w:t>
            </w:r>
          </w:p>
        </w:tc>
        <w:tc>
          <w:tcPr>
            <w:tcW w:w="2880" w:type="dxa"/>
            <w:tcBorders>
              <w:top w:val="nil"/>
              <w:left w:val="nil"/>
              <w:bottom w:val="nil"/>
              <w:right w:val="nil"/>
              <w:insideH w:val="nil"/>
              <w:insideV w:val="nil"/>
            </w:tcBorders>
            <w:vAlign w:val="center"/>
          </w:tcPr>
          <w:p w14:paraId="6C3440BA">
            <w:pPr>
              <w:keepLines/>
              <w:spacing w:before="0" w:after="0" w:line="240" w:lineRule="auto"/>
              <w:jc w:val="left"/>
            </w:pPr>
          </w:p>
        </w:tc>
      </w:tr>
      <w:tr w14:paraId="10088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5BD66421">
            <w:pPr>
              <w:keepLines/>
              <w:spacing w:before="0" w:after="0" w:line="240" w:lineRule="auto"/>
              <w:jc w:val="left"/>
            </w:pPr>
            <w:r>
              <w:rPr>
                <w:rFonts w:ascii="Times New Roman" w:hAnsi="Times New Roman" w:eastAsia="Times New Roman"/>
                <w:b w:val="0"/>
                <w:i w:val="0"/>
                <w:color w:val="000000"/>
                <w:sz w:val="18"/>
              </w:rPr>
              <w:t>Community age structure</w:t>
            </w:r>
          </w:p>
        </w:tc>
        <w:tc>
          <w:tcPr>
            <w:tcW w:w="2015" w:type="dxa"/>
            <w:tcBorders>
              <w:top w:val="nil"/>
              <w:left w:val="nil"/>
              <w:bottom w:val="nil"/>
              <w:right w:val="nil"/>
              <w:insideH w:val="nil"/>
              <w:insideV w:val="nil"/>
            </w:tcBorders>
            <w:vAlign w:val="center"/>
          </w:tcPr>
          <w:p w14:paraId="74C3BF9C">
            <w:pPr>
              <w:keepLines/>
              <w:spacing w:before="0" w:after="0" w:line="240" w:lineRule="auto"/>
              <w:jc w:val="left"/>
            </w:pPr>
            <w:r>
              <w:rPr>
                <w:rFonts w:ascii="Times New Roman" w:hAnsi="Times New Roman" w:eastAsia="Times New Roman"/>
                <w:b w:val="0"/>
                <w:i w:val="0"/>
                <w:color w:val="000000"/>
                <w:sz w:val="18"/>
              </w:rPr>
              <w:t>Non-aging: 60+ &lt; 15%</w:t>
            </w:r>
          </w:p>
        </w:tc>
        <w:tc>
          <w:tcPr>
            <w:tcW w:w="1728" w:type="dxa"/>
            <w:tcBorders>
              <w:top w:val="nil"/>
              <w:left w:val="nil"/>
              <w:bottom w:val="nil"/>
              <w:right w:val="nil"/>
              <w:insideH w:val="nil"/>
              <w:insideV w:val="nil"/>
            </w:tcBorders>
            <w:vAlign w:val="center"/>
          </w:tcPr>
          <w:p w14:paraId="60EF99F2">
            <w:pPr>
              <w:keepLines/>
              <w:spacing w:before="0" w:after="0" w:line="240" w:lineRule="auto"/>
              <w:jc w:val="left"/>
            </w:pPr>
            <w:r>
              <w:rPr>
                <w:rFonts w:ascii="Times New Roman" w:hAnsi="Times New Roman" w:eastAsia="Times New Roman"/>
                <w:b w:val="0"/>
                <w:i w:val="0"/>
                <w:color w:val="000000"/>
                <w:sz w:val="18"/>
              </w:rPr>
              <w:t>-0.060***</w:t>
            </w:r>
          </w:p>
        </w:tc>
        <w:tc>
          <w:tcPr>
            <w:tcW w:w="2880" w:type="dxa"/>
            <w:tcBorders>
              <w:top w:val="nil"/>
              <w:left w:val="nil"/>
              <w:bottom w:val="nil"/>
              <w:right w:val="nil"/>
              <w:insideH w:val="nil"/>
              <w:insideV w:val="nil"/>
            </w:tcBorders>
            <w:vAlign w:val="center"/>
          </w:tcPr>
          <w:p w14:paraId="25F362E4">
            <w:pPr>
              <w:keepLines/>
              <w:spacing w:before="0" w:after="0" w:line="240" w:lineRule="auto"/>
              <w:jc w:val="left"/>
            </w:pPr>
            <w:r>
              <w:rPr>
                <w:rFonts w:ascii="Times New Roman" w:hAnsi="Times New Roman" w:eastAsia="Times New Roman"/>
                <w:b w:val="0"/>
                <w:i w:val="0"/>
                <w:color w:val="000000"/>
                <w:sz w:val="18"/>
              </w:rPr>
              <w:t>0.005</w:t>
            </w:r>
          </w:p>
        </w:tc>
      </w:tr>
      <w:tr w14:paraId="3DA58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72D481FB">
            <w:pPr>
              <w:keepLines/>
              <w:spacing w:before="0" w:after="0" w:line="240" w:lineRule="auto"/>
              <w:jc w:val="left"/>
            </w:pPr>
            <w:r>
              <w:rPr>
                <w:rFonts w:ascii="Times New Roman" w:hAnsi="Times New Roman" w:eastAsia="Times New Roman"/>
                <w:b w:val="0"/>
                <w:i w:val="0"/>
                <w:color w:val="000000"/>
                <w:sz w:val="18"/>
              </w:rPr>
              <w:t>Community age structure</w:t>
            </w:r>
          </w:p>
        </w:tc>
        <w:tc>
          <w:tcPr>
            <w:tcW w:w="2015" w:type="dxa"/>
            <w:tcBorders>
              <w:top w:val="nil"/>
              <w:left w:val="nil"/>
              <w:bottom w:val="nil"/>
              <w:right w:val="nil"/>
              <w:insideH w:val="nil"/>
              <w:insideV w:val="nil"/>
            </w:tcBorders>
            <w:vAlign w:val="center"/>
          </w:tcPr>
          <w:p w14:paraId="15658207">
            <w:pPr>
              <w:keepLines/>
              <w:spacing w:before="0" w:after="0" w:line="240" w:lineRule="auto"/>
              <w:jc w:val="left"/>
            </w:pPr>
            <w:r>
              <w:rPr>
                <w:rFonts w:ascii="Times New Roman" w:hAnsi="Times New Roman" w:eastAsia="Times New Roman"/>
                <w:b w:val="0"/>
                <w:i w:val="0"/>
                <w:color w:val="000000"/>
                <w:sz w:val="18"/>
              </w:rPr>
              <w:t>Aging: 60+ &gt;= 15%</w:t>
            </w:r>
          </w:p>
        </w:tc>
        <w:tc>
          <w:tcPr>
            <w:tcW w:w="1728" w:type="dxa"/>
            <w:tcBorders>
              <w:top w:val="nil"/>
              <w:left w:val="nil"/>
              <w:bottom w:val="nil"/>
              <w:right w:val="nil"/>
              <w:insideH w:val="nil"/>
              <w:insideV w:val="nil"/>
            </w:tcBorders>
            <w:vAlign w:val="center"/>
          </w:tcPr>
          <w:p w14:paraId="67AB1478">
            <w:pPr>
              <w:keepLines/>
              <w:spacing w:before="0" w:after="0" w:line="240" w:lineRule="auto"/>
              <w:jc w:val="left"/>
            </w:pPr>
            <w:r>
              <w:rPr>
                <w:rFonts w:ascii="Times New Roman" w:hAnsi="Times New Roman" w:eastAsia="Times New Roman"/>
                <w:b w:val="0"/>
                <w:i w:val="0"/>
                <w:color w:val="000000"/>
                <w:sz w:val="18"/>
              </w:rPr>
              <w:t>-0.105***</w:t>
            </w:r>
          </w:p>
        </w:tc>
        <w:tc>
          <w:tcPr>
            <w:tcW w:w="2880" w:type="dxa"/>
            <w:tcBorders>
              <w:top w:val="nil"/>
              <w:left w:val="nil"/>
              <w:bottom w:val="nil"/>
              <w:right w:val="nil"/>
              <w:insideH w:val="nil"/>
              <w:insideV w:val="nil"/>
            </w:tcBorders>
            <w:vAlign w:val="center"/>
          </w:tcPr>
          <w:p w14:paraId="7AD3DAB3">
            <w:pPr>
              <w:keepLines/>
              <w:spacing w:before="0" w:after="0" w:line="240" w:lineRule="auto"/>
              <w:jc w:val="left"/>
            </w:pPr>
          </w:p>
        </w:tc>
      </w:tr>
      <w:tr w14:paraId="7B9DC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12CEE0ED">
            <w:pPr>
              <w:keepLines/>
              <w:spacing w:before="0" w:after="0" w:line="240" w:lineRule="auto"/>
              <w:jc w:val="left"/>
            </w:pPr>
            <w:r>
              <w:rPr>
                <w:rFonts w:ascii="Times New Roman" w:hAnsi="Times New Roman" w:eastAsia="Times New Roman"/>
                <w:b w:val="0"/>
                <w:i w:val="0"/>
                <w:color w:val="000000"/>
                <w:sz w:val="18"/>
              </w:rPr>
              <w:t>Livelihood type</w:t>
            </w:r>
          </w:p>
        </w:tc>
        <w:tc>
          <w:tcPr>
            <w:tcW w:w="2015" w:type="dxa"/>
            <w:tcBorders>
              <w:top w:val="nil"/>
              <w:left w:val="nil"/>
              <w:bottom w:val="nil"/>
              <w:right w:val="nil"/>
              <w:insideH w:val="nil"/>
              <w:insideV w:val="nil"/>
            </w:tcBorders>
            <w:vAlign w:val="center"/>
          </w:tcPr>
          <w:p w14:paraId="59651040">
            <w:pPr>
              <w:keepLines/>
              <w:spacing w:before="0" w:after="0" w:line="240" w:lineRule="auto"/>
              <w:jc w:val="left"/>
            </w:pPr>
            <w:r>
              <w:rPr>
                <w:rFonts w:ascii="Times New Roman" w:hAnsi="Times New Roman" w:eastAsia="Times New Roman"/>
                <w:b w:val="0"/>
                <w:i w:val="0"/>
                <w:color w:val="000000"/>
                <w:sz w:val="18"/>
              </w:rPr>
              <w:t>Non-agricultural households</w:t>
            </w:r>
          </w:p>
        </w:tc>
        <w:tc>
          <w:tcPr>
            <w:tcW w:w="1728" w:type="dxa"/>
            <w:tcBorders>
              <w:top w:val="nil"/>
              <w:left w:val="nil"/>
              <w:bottom w:val="nil"/>
              <w:right w:val="nil"/>
              <w:insideH w:val="nil"/>
              <w:insideV w:val="nil"/>
            </w:tcBorders>
            <w:vAlign w:val="center"/>
          </w:tcPr>
          <w:p w14:paraId="70A2A82D">
            <w:pPr>
              <w:keepLines/>
              <w:spacing w:before="0" w:after="0" w:line="240" w:lineRule="auto"/>
              <w:jc w:val="left"/>
            </w:pPr>
            <w:r>
              <w:rPr>
                <w:rFonts w:ascii="Times New Roman" w:hAnsi="Times New Roman" w:eastAsia="Times New Roman"/>
                <w:b w:val="0"/>
                <w:i w:val="0"/>
                <w:color w:val="000000"/>
                <w:sz w:val="18"/>
              </w:rPr>
              <w:t>-0.062***</w:t>
            </w:r>
          </w:p>
        </w:tc>
        <w:tc>
          <w:tcPr>
            <w:tcW w:w="2880" w:type="dxa"/>
            <w:tcBorders>
              <w:top w:val="nil"/>
              <w:left w:val="nil"/>
              <w:bottom w:val="nil"/>
              <w:right w:val="nil"/>
              <w:insideH w:val="nil"/>
              <w:insideV w:val="nil"/>
            </w:tcBorders>
            <w:vAlign w:val="center"/>
          </w:tcPr>
          <w:p w14:paraId="5473ED28">
            <w:pPr>
              <w:keepLines/>
              <w:spacing w:before="0" w:after="0" w:line="240" w:lineRule="auto"/>
              <w:jc w:val="left"/>
            </w:pPr>
            <w:r>
              <w:rPr>
                <w:rFonts w:ascii="Times New Roman" w:hAnsi="Times New Roman" w:eastAsia="Times New Roman"/>
                <w:b w:val="0"/>
                <w:i w:val="0"/>
                <w:color w:val="000000"/>
                <w:sz w:val="18"/>
              </w:rPr>
              <w:t>0.001</w:t>
            </w:r>
          </w:p>
        </w:tc>
      </w:tr>
      <w:tr w14:paraId="5A1AC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21D9678">
            <w:pPr>
              <w:keepLines/>
              <w:spacing w:before="0" w:after="0" w:line="240" w:lineRule="auto"/>
              <w:jc w:val="left"/>
            </w:pPr>
            <w:r>
              <w:rPr>
                <w:rFonts w:ascii="Times New Roman" w:hAnsi="Times New Roman" w:eastAsia="Times New Roman"/>
                <w:b w:val="0"/>
                <w:i w:val="0"/>
                <w:color w:val="000000"/>
                <w:sz w:val="18"/>
              </w:rPr>
              <w:t>Livelihood type</w:t>
            </w:r>
          </w:p>
        </w:tc>
        <w:tc>
          <w:tcPr>
            <w:tcW w:w="2015" w:type="dxa"/>
            <w:tcBorders>
              <w:top w:val="nil"/>
              <w:left w:val="nil"/>
              <w:bottom w:val="nil"/>
              <w:right w:val="nil"/>
              <w:insideH w:val="nil"/>
              <w:insideV w:val="nil"/>
            </w:tcBorders>
            <w:vAlign w:val="center"/>
          </w:tcPr>
          <w:p w14:paraId="5C06A7CF">
            <w:pPr>
              <w:keepLines/>
              <w:spacing w:before="0" w:after="0" w:line="240" w:lineRule="auto"/>
              <w:jc w:val="left"/>
            </w:pPr>
            <w:r>
              <w:rPr>
                <w:rFonts w:ascii="Times New Roman" w:hAnsi="Times New Roman" w:eastAsia="Times New Roman"/>
                <w:b w:val="0"/>
                <w:i w:val="0"/>
                <w:color w:val="000000"/>
                <w:sz w:val="18"/>
              </w:rPr>
              <w:t>Agricultural households</w:t>
            </w:r>
          </w:p>
        </w:tc>
        <w:tc>
          <w:tcPr>
            <w:tcW w:w="1728" w:type="dxa"/>
            <w:tcBorders>
              <w:top w:val="nil"/>
              <w:left w:val="nil"/>
              <w:bottom w:val="nil"/>
              <w:right w:val="nil"/>
              <w:insideH w:val="nil"/>
              <w:insideV w:val="nil"/>
            </w:tcBorders>
            <w:vAlign w:val="center"/>
          </w:tcPr>
          <w:p w14:paraId="4B35700A">
            <w:pPr>
              <w:keepLines/>
              <w:spacing w:before="0" w:after="0" w:line="240" w:lineRule="auto"/>
              <w:jc w:val="left"/>
            </w:pPr>
            <w:r>
              <w:rPr>
                <w:rFonts w:ascii="Times New Roman" w:hAnsi="Times New Roman" w:eastAsia="Times New Roman"/>
                <w:b w:val="0"/>
                <w:i w:val="0"/>
                <w:color w:val="000000"/>
                <w:sz w:val="18"/>
              </w:rPr>
              <w:t>-0.121***</w:t>
            </w:r>
          </w:p>
        </w:tc>
        <w:tc>
          <w:tcPr>
            <w:tcW w:w="2880" w:type="dxa"/>
            <w:tcBorders>
              <w:top w:val="nil"/>
              <w:left w:val="nil"/>
              <w:bottom w:val="nil"/>
              <w:right w:val="nil"/>
              <w:insideH w:val="nil"/>
              <w:insideV w:val="nil"/>
            </w:tcBorders>
            <w:vAlign w:val="center"/>
          </w:tcPr>
          <w:p w14:paraId="564EADBF">
            <w:pPr>
              <w:keepLines/>
              <w:spacing w:before="0" w:after="0" w:line="240" w:lineRule="auto"/>
              <w:jc w:val="left"/>
            </w:pPr>
          </w:p>
        </w:tc>
      </w:tr>
      <w:tr w14:paraId="3171E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5057723">
            <w:pPr>
              <w:keepLines/>
              <w:spacing w:before="0" w:after="0" w:line="240" w:lineRule="auto"/>
              <w:jc w:val="left"/>
            </w:pPr>
            <w:r>
              <w:rPr>
                <w:rFonts w:ascii="Times New Roman" w:hAnsi="Times New Roman" w:eastAsia="Times New Roman"/>
                <w:b w:val="0"/>
                <w:i w:val="0"/>
                <w:color w:val="000000"/>
                <w:sz w:val="18"/>
              </w:rPr>
              <w:t>Region</w:t>
            </w:r>
          </w:p>
        </w:tc>
        <w:tc>
          <w:tcPr>
            <w:tcW w:w="2015" w:type="dxa"/>
            <w:tcBorders>
              <w:top w:val="nil"/>
              <w:left w:val="nil"/>
              <w:bottom w:val="nil"/>
              <w:right w:val="nil"/>
              <w:insideH w:val="nil"/>
              <w:insideV w:val="nil"/>
            </w:tcBorders>
            <w:vAlign w:val="center"/>
          </w:tcPr>
          <w:p w14:paraId="6CB3D437">
            <w:pPr>
              <w:keepLines/>
              <w:spacing w:before="0" w:after="0" w:line="240" w:lineRule="auto"/>
              <w:jc w:val="left"/>
            </w:pPr>
            <w:r>
              <w:rPr>
                <w:rFonts w:ascii="Times New Roman" w:hAnsi="Times New Roman" w:eastAsia="Times New Roman"/>
                <w:b w:val="0"/>
                <w:i w:val="0"/>
                <w:color w:val="000000"/>
                <w:sz w:val="18"/>
              </w:rPr>
              <w:t>Eastern China</w:t>
            </w:r>
          </w:p>
        </w:tc>
        <w:tc>
          <w:tcPr>
            <w:tcW w:w="1728" w:type="dxa"/>
            <w:tcBorders>
              <w:top w:val="nil"/>
              <w:left w:val="nil"/>
              <w:bottom w:val="nil"/>
              <w:right w:val="nil"/>
              <w:insideH w:val="nil"/>
              <w:insideV w:val="nil"/>
            </w:tcBorders>
            <w:vAlign w:val="center"/>
          </w:tcPr>
          <w:p w14:paraId="3C72356D">
            <w:pPr>
              <w:keepLines/>
              <w:spacing w:before="0" w:after="0" w:line="240" w:lineRule="auto"/>
              <w:jc w:val="left"/>
            </w:pPr>
            <w:r>
              <w:rPr>
                <w:rFonts w:ascii="Times New Roman" w:hAnsi="Times New Roman" w:eastAsia="Times New Roman"/>
                <w:b w:val="0"/>
                <w:i w:val="0"/>
                <w:color w:val="000000"/>
                <w:sz w:val="18"/>
              </w:rPr>
              <w:t>-0.057***</w:t>
            </w:r>
          </w:p>
        </w:tc>
        <w:tc>
          <w:tcPr>
            <w:tcW w:w="2880" w:type="dxa"/>
            <w:tcBorders>
              <w:top w:val="nil"/>
              <w:left w:val="nil"/>
              <w:bottom w:val="nil"/>
              <w:right w:val="nil"/>
              <w:insideH w:val="nil"/>
              <w:insideV w:val="nil"/>
            </w:tcBorders>
            <w:vAlign w:val="center"/>
          </w:tcPr>
          <w:p w14:paraId="22103C59">
            <w:pPr>
              <w:keepLines/>
              <w:spacing w:before="0" w:after="0" w:line="240" w:lineRule="auto"/>
              <w:jc w:val="left"/>
            </w:pPr>
            <w:r>
              <w:rPr>
                <w:rFonts w:ascii="Times New Roman" w:hAnsi="Times New Roman" w:eastAsia="Times New Roman"/>
                <w:b w:val="0"/>
                <w:i w:val="0"/>
                <w:color w:val="000000"/>
                <w:sz w:val="18"/>
              </w:rPr>
              <w:t>0.003</w:t>
            </w:r>
          </w:p>
        </w:tc>
      </w:tr>
      <w:tr w14:paraId="31C0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060D5C6">
            <w:pPr>
              <w:keepLines/>
              <w:spacing w:before="0" w:after="0" w:line="240" w:lineRule="auto"/>
              <w:jc w:val="left"/>
            </w:pPr>
            <w:r>
              <w:rPr>
                <w:rFonts w:ascii="Times New Roman" w:hAnsi="Times New Roman" w:eastAsia="Times New Roman"/>
                <w:b w:val="0"/>
                <w:i w:val="0"/>
                <w:color w:val="000000"/>
                <w:sz w:val="18"/>
              </w:rPr>
              <w:t>Region</w:t>
            </w:r>
          </w:p>
        </w:tc>
        <w:tc>
          <w:tcPr>
            <w:tcW w:w="2015" w:type="dxa"/>
            <w:tcBorders>
              <w:top w:val="nil"/>
              <w:left w:val="nil"/>
              <w:bottom w:val="nil"/>
              <w:right w:val="nil"/>
              <w:insideH w:val="nil"/>
              <w:insideV w:val="nil"/>
            </w:tcBorders>
            <w:vAlign w:val="center"/>
          </w:tcPr>
          <w:p w14:paraId="362E0D96">
            <w:pPr>
              <w:keepLines/>
              <w:spacing w:before="0" w:after="0" w:line="240" w:lineRule="auto"/>
              <w:jc w:val="left"/>
            </w:pPr>
            <w:r>
              <w:rPr>
                <w:rFonts w:ascii="Times New Roman" w:hAnsi="Times New Roman" w:eastAsia="Times New Roman"/>
                <w:b w:val="0"/>
                <w:i w:val="0"/>
                <w:color w:val="000000"/>
                <w:sz w:val="18"/>
              </w:rPr>
              <w:t>Central China</w:t>
            </w:r>
          </w:p>
        </w:tc>
        <w:tc>
          <w:tcPr>
            <w:tcW w:w="1728" w:type="dxa"/>
            <w:tcBorders>
              <w:top w:val="nil"/>
              <w:left w:val="nil"/>
              <w:bottom w:val="nil"/>
              <w:right w:val="nil"/>
              <w:insideH w:val="nil"/>
              <w:insideV w:val="nil"/>
            </w:tcBorders>
            <w:vAlign w:val="center"/>
          </w:tcPr>
          <w:p w14:paraId="2DC7FD8D">
            <w:pPr>
              <w:keepLines/>
              <w:spacing w:before="0" w:after="0" w:line="240" w:lineRule="auto"/>
              <w:jc w:val="left"/>
            </w:pPr>
            <w:r>
              <w:rPr>
                <w:rFonts w:ascii="Times New Roman" w:hAnsi="Times New Roman" w:eastAsia="Times New Roman"/>
                <w:b w:val="0"/>
                <w:i w:val="0"/>
                <w:color w:val="000000"/>
                <w:sz w:val="18"/>
              </w:rPr>
              <w:t>-0.088***</w:t>
            </w:r>
          </w:p>
        </w:tc>
        <w:tc>
          <w:tcPr>
            <w:tcW w:w="2880" w:type="dxa"/>
            <w:tcBorders>
              <w:top w:val="nil"/>
              <w:left w:val="nil"/>
              <w:bottom w:val="nil"/>
              <w:right w:val="nil"/>
              <w:insideH w:val="nil"/>
              <w:insideV w:val="nil"/>
            </w:tcBorders>
            <w:vAlign w:val="center"/>
          </w:tcPr>
          <w:p w14:paraId="43015FB1">
            <w:pPr>
              <w:keepLines/>
              <w:spacing w:before="0" w:after="0" w:line="240" w:lineRule="auto"/>
              <w:jc w:val="left"/>
            </w:pPr>
          </w:p>
        </w:tc>
      </w:tr>
      <w:tr w14:paraId="0EDF4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197431FD">
            <w:pPr>
              <w:keepLines/>
              <w:spacing w:before="0" w:after="0" w:line="240" w:lineRule="auto"/>
              <w:jc w:val="left"/>
            </w:pPr>
            <w:r>
              <w:rPr>
                <w:rFonts w:ascii="Times New Roman" w:hAnsi="Times New Roman" w:eastAsia="Times New Roman"/>
                <w:b w:val="0"/>
                <w:i w:val="0"/>
                <w:color w:val="000000"/>
                <w:sz w:val="18"/>
              </w:rPr>
              <w:t>Region</w:t>
            </w:r>
          </w:p>
        </w:tc>
        <w:tc>
          <w:tcPr>
            <w:tcW w:w="2015" w:type="dxa"/>
            <w:tcBorders>
              <w:top w:val="nil"/>
              <w:left w:val="nil"/>
              <w:bottom w:val="single" w:color="000000" w:sz="8" w:space="0"/>
              <w:right w:val="nil"/>
              <w:insideH w:val="nil"/>
              <w:insideV w:val="nil"/>
            </w:tcBorders>
            <w:vAlign w:val="center"/>
          </w:tcPr>
          <w:p w14:paraId="7E8E8194">
            <w:pPr>
              <w:keepLines/>
              <w:spacing w:before="0" w:after="0" w:line="240" w:lineRule="auto"/>
              <w:jc w:val="left"/>
            </w:pPr>
            <w:r>
              <w:rPr>
                <w:rFonts w:ascii="Times New Roman" w:hAnsi="Times New Roman" w:eastAsia="Times New Roman"/>
                <w:b w:val="0"/>
                <w:i w:val="0"/>
                <w:color w:val="000000"/>
                <w:sz w:val="18"/>
              </w:rPr>
              <w:t>Western China</w:t>
            </w:r>
          </w:p>
        </w:tc>
        <w:tc>
          <w:tcPr>
            <w:tcW w:w="1728" w:type="dxa"/>
            <w:tcBorders>
              <w:top w:val="nil"/>
              <w:left w:val="nil"/>
              <w:bottom w:val="single" w:color="000000" w:sz="8" w:space="0"/>
              <w:right w:val="nil"/>
              <w:insideH w:val="nil"/>
              <w:insideV w:val="nil"/>
            </w:tcBorders>
            <w:vAlign w:val="center"/>
          </w:tcPr>
          <w:p w14:paraId="2127649D">
            <w:pPr>
              <w:keepLines/>
              <w:spacing w:before="0" w:after="0" w:line="240" w:lineRule="auto"/>
              <w:jc w:val="left"/>
            </w:pPr>
            <w:r>
              <w:rPr>
                <w:rFonts w:ascii="Times New Roman" w:hAnsi="Times New Roman" w:eastAsia="Times New Roman"/>
                <w:b w:val="0"/>
                <w:i w:val="0"/>
                <w:color w:val="000000"/>
                <w:sz w:val="18"/>
              </w:rPr>
              <w:t>-0.114***</w:t>
            </w:r>
          </w:p>
        </w:tc>
        <w:tc>
          <w:tcPr>
            <w:tcW w:w="2880" w:type="dxa"/>
            <w:tcBorders>
              <w:top w:val="nil"/>
              <w:left w:val="nil"/>
              <w:bottom w:val="single" w:color="000000" w:sz="8" w:space="0"/>
              <w:right w:val="nil"/>
              <w:insideH w:val="nil"/>
              <w:insideV w:val="nil"/>
            </w:tcBorders>
            <w:vAlign w:val="center"/>
          </w:tcPr>
          <w:p w14:paraId="03FC0168">
            <w:pPr>
              <w:keepLines/>
              <w:spacing w:before="0" w:after="0" w:line="240" w:lineRule="auto"/>
              <w:jc w:val="left"/>
            </w:pPr>
          </w:p>
        </w:tc>
      </w:tr>
    </w:tbl>
    <w:p w14:paraId="7755E052">
      <w:pPr>
        <w:pStyle w:val="168"/>
        <w:keepLines/>
        <w:spacing w:before="60" w:after="60" w:line="240" w:lineRule="auto"/>
        <w:ind w:left="0" w:right="0" w:firstLine="0"/>
        <w:jc w:val="left"/>
      </w:pPr>
      <w:r>
        <w:rPr>
          <w:rFonts w:ascii="Times New Roman" w:hAnsi="Times New Roman" w:eastAsia="Times New Roman"/>
          <w:i/>
          <w:color w:val="000000"/>
          <w:sz w:val="20"/>
        </w:rPr>
        <w:t>Note. Group-difference p-values are based on pooled interaction tests. Rural, low-income, aging, agricultural, and western communities show stronger negative recovery effects.</w:t>
      </w:r>
    </w:p>
    <w:p w14:paraId="4F6C7A4A">
      <w:pPr>
        <w:pStyle w:val="4"/>
        <w:spacing w:before="160" w:after="80" w:line="276" w:lineRule="auto"/>
        <w:ind w:left="0" w:right="0" w:firstLine="0"/>
        <w:jc w:val="left"/>
      </w:pPr>
      <w:r>
        <w:rPr>
          <w:rFonts w:ascii="Times New Roman" w:hAnsi="Times New Roman" w:eastAsia="Times New Roman"/>
          <w:b/>
          <w:i w:val="0"/>
          <w:color w:val="000000"/>
          <w:sz w:val="24"/>
        </w:rPr>
        <w:t>Appendix Table H16. Full robustness checks, outcome = LifeStability</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2550"/>
        <w:gridCol w:w="2550"/>
        <w:gridCol w:w="2550"/>
        <w:gridCol w:w="2550"/>
      </w:tblGrid>
      <w:tr w14:paraId="62EE9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2736" w:type="dxa"/>
            <w:tcBorders>
              <w:top w:val="single" w:color="000000" w:sz="8" w:space="0"/>
              <w:left w:val="nil"/>
              <w:bottom w:val="single" w:color="000000" w:sz="8" w:space="0"/>
              <w:right w:val="nil"/>
              <w:insideH w:val="nil"/>
              <w:insideV w:val="nil"/>
            </w:tcBorders>
            <w:vAlign w:val="center"/>
          </w:tcPr>
          <w:p w14:paraId="1D590CC0">
            <w:pPr>
              <w:keepLines/>
              <w:spacing w:before="0" w:after="0" w:line="240" w:lineRule="auto"/>
              <w:jc w:val="center"/>
            </w:pPr>
            <w:r>
              <w:rPr>
                <w:rFonts w:ascii="Times New Roman" w:hAnsi="Times New Roman" w:eastAsia="Times New Roman"/>
                <w:b/>
                <w:i w:val="0"/>
                <w:color w:val="000000"/>
                <w:sz w:val="18"/>
              </w:rPr>
              <w:t>Robustness operation</w:t>
            </w:r>
          </w:p>
        </w:tc>
        <w:tc>
          <w:tcPr>
            <w:tcW w:w="2015" w:type="dxa"/>
            <w:tcBorders>
              <w:top w:val="single" w:color="000000" w:sz="8" w:space="0"/>
              <w:left w:val="nil"/>
              <w:bottom w:val="single" w:color="000000" w:sz="8" w:space="0"/>
              <w:right w:val="nil"/>
              <w:insideH w:val="nil"/>
              <w:insideV w:val="nil"/>
            </w:tcBorders>
            <w:vAlign w:val="center"/>
          </w:tcPr>
          <w:p w14:paraId="0965C028">
            <w:pPr>
              <w:keepLines/>
              <w:spacing w:before="0" w:after="0" w:line="240" w:lineRule="auto"/>
              <w:jc w:val="center"/>
            </w:pPr>
            <w:r>
              <w:rPr>
                <w:rFonts w:ascii="Times New Roman" w:hAnsi="Times New Roman" w:eastAsia="Times New Roman"/>
                <w:b/>
                <w:i w:val="0"/>
                <w:color w:val="000000"/>
                <w:sz w:val="18"/>
              </w:rPr>
              <w:t>ClimateShock coefficient</w:t>
            </w:r>
          </w:p>
        </w:tc>
        <w:tc>
          <w:tcPr>
            <w:tcW w:w="1728" w:type="dxa"/>
            <w:tcBorders>
              <w:top w:val="single" w:color="000000" w:sz="8" w:space="0"/>
              <w:left w:val="nil"/>
              <w:bottom w:val="single" w:color="000000" w:sz="8" w:space="0"/>
              <w:right w:val="nil"/>
              <w:insideH w:val="nil"/>
              <w:insideV w:val="nil"/>
            </w:tcBorders>
            <w:vAlign w:val="center"/>
          </w:tcPr>
          <w:p w14:paraId="2EF8DFD7">
            <w:pPr>
              <w:keepLines/>
              <w:spacing w:before="0" w:after="0" w:line="240" w:lineRule="auto"/>
              <w:jc w:val="center"/>
            </w:pPr>
            <w:r>
              <w:rPr>
                <w:rFonts w:ascii="Times New Roman" w:hAnsi="Times New Roman" w:eastAsia="Times New Roman"/>
                <w:b/>
                <w:i w:val="0"/>
                <w:color w:val="000000"/>
                <w:sz w:val="18"/>
              </w:rPr>
              <w:t>Significance</w:t>
            </w:r>
          </w:p>
        </w:tc>
        <w:tc>
          <w:tcPr>
            <w:tcW w:w="2880" w:type="dxa"/>
            <w:tcBorders>
              <w:top w:val="single" w:color="000000" w:sz="8" w:space="0"/>
              <w:left w:val="nil"/>
              <w:bottom w:val="single" w:color="000000" w:sz="8" w:space="0"/>
              <w:right w:val="nil"/>
              <w:insideH w:val="nil"/>
              <w:insideV w:val="nil"/>
            </w:tcBorders>
            <w:vAlign w:val="center"/>
          </w:tcPr>
          <w:p w14:paraId="1119D677">
            <w:pPr>
              <w:keepLines/>
              <w:spacing w:before="0" w:after="0" w:line="240" w:lineRule="auto"/>
              <w:jc w:val="center"/>
            </w:pPr>
            <w:r>
              <w:rPr>
                <w:rFonts w:ascii="Times New Roman" w:hAnsi="Times New Roman" w:eastAsia="Times New Roman"/>
                <w:b/>
                <w:i w:val="0"/>
                <w:color w:val="000000"/>
                <w:sz w:val="18"/>
              </w:rPr>
              <w:t>Conclusion</w:t>
            </w:r>
          </w:p>
        </w:tc>
      </w:tr>
      <w:tr w14:paraId="7C87D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59FC3AFD">
            <w:pPr>
              <w:keepLines/>
              <w:spacing w:before="0" w:after="0" w:line="240" w:lineRule="auto"/>
              <w:jc w:val="left"/>
            </w:pPr>
            <w:r>
              <w:rPr>
                <w:rFonts w:ascii="Times New Roman" w:hAnsi="Times New Roman" w:eastAsia="Times New Roman"/>
                <w:b w:val="0"/>
                <w:i w:val="0"/>
                <w:color w:val="000000"/>
                <w:sz w:val="18"/>
              </w:rPr>
              <w:t>Preferred baseline model</w:t>
            </w:r>
          </w:p>
        </w:tc>
        <w:tc>
          <w:tcPr>
            <w:tcW w:w="2015" w:type="dxa"/>
            <w:tcBorders>
              <w:top w:val="nil"/>
              <w:left w:val="nil"/>
              <w:bottom w:val="nil"/>
              <w:right w:val="nil"/>
              <w:insideH w:val="nil"/>
              <w:insideV w:val="nil"/>
            </w:tcBorders>
            <w:vAlign w:val="center"/>
          </w:tcPr>
          <w:p w14:paraId="76C5E8A1">
            <w:pPr>
              <w:keepLines/>
              <w:spacing w:before="0" w:after="0" w:line="240" w:lineRule="auto"/>
              <w:jc w:val="left"/>
            </w:pPr>
            <w:r>
              <w:rPr>
                <w:rFonts w:ascii="Times New Roman" w:hAnsi="Times New Roman" w:eastAsia="Times New Roman"/>
                <w:b w:val="0"/>
                <w:i w:val="0"/>
                <w:color w:val="000000"/>
                <w:sz w:val="18"/>
              </w:rPr>
              <w:t>-0.081***</w:t>
            </w:r>
          </w:p>
        </w:tc>
        <w:tc>
          <w:tcPr>
            <w:tcW w:w="1728" w:type="dxa"/>
            <w:tcBorders>
              <w:top w:val="nil"/>
              <w:left w:val="nil"/>
              <w:bottom w:val="nil"/>
              <w:right w:val="nil"/>
              <w:insideH w:val="nil"/>
              <w:insideV w:val="nil"/>
            </w:tcBorders>
            <w:vAlign w:val="center"/>
          </w:tcPr>
          <w:p w14:paraId="59458896">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7E722067">
            <w:pPr>
              <w:keepLines/>
              <w:spacing w:before="0" w:after="0" w:line="240" w:lineRule="auto"/>
              <w:jc w:val="left"/>
            </w:pPr>
            <w:r>
              <w:rPr>
                <w:rFonts w:ascii="Times New Roman" w:hAnsi="Times New Roman" w:eastAsia="Times New Roman"/>
                <w:b w:val="0"/>
                <w:i w:val="0"/>
                <w:color w:val="000000"/>
                <w:sz w:val="18"/>
              </w:rPr>
              <w:t>Core conclusion stable</w:t>
            </w:r>
          </w:p>
        </w:tc>
      </w:tr>
      <w:tr w14:paraId="3838F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3F6AEEB5">
            <w:pPr>
              <w:keepLines/>
              <w:spacing w:before="0" w:after="0" w:line="240" w:lineRule="auto"/>
              <w:jc w:val="left"/>
            </w:pPr>
            <w:r>
              <w:rPr>
                <w:rFonts w:ascii="Times New Roman" w:hAnsi="Times New Roman" w:eastAsia="Times New Roman"/>
                <w:b w:val="0"/>
                <w:i w:val="0"/>
                <w:color w:val="000000"/>
                <w:sz w:val="18"/>
              </w:rPr>
              <w:t>P90 extreme-climate threshold</w:t>
            </w:r>
          </w:p>
        </w:tc>
        <w:tc>
          <w:tcPr>
            <w:tcW w:w="2015" w:type="dxa"/>
            <w:tcBorders>
              <w:top w:val="nil"/>
              <w:left w:val="nil"/>
              <w:bottom w:val="nil"/>
              <w:right w:val="nil"/>
              <w:insideH w:val="nil"/>
              <w:insideV w:val="nil"/>
            </w:tcBorders>
            <w:vAlign w:val="center"/>
          </w:tcPr>
          <w:p w14:paraId="495FA249">
            <w:pPr>
              <w:keepLines/>
              <w:spacing w:before="0" w:after="0" w:line="240" w:lineRule="auto"/>
              <w:jc w:val="left"/>
            </w:pPr>
            <w:r>
              <w:rPr>
                <w:rFonts w:ascii="Times New Roman" w:hAnsi="Times New Roman" w:eastAsia="Times New Roman"/>
                <w:b w:val="0"/>
                <w:i w:val="0"/>
                <w:color w:val="000000"/>
                <w:sz w:val="18"/>
              </w:rPr>
              <w:t>-0.076***</w:t>
            </w:r>
          </w:p>
        </w:tc>
        <w:tc>
          <w:tcPr>
            <w:tcW w:w="1728" w:type="dxa"/>
            <w:tcBorders>
              <w:top w:val="nil"/>
              <w:left w:val="nil"/>
              <w:bottom w:val="nil"/>
              <w:right w:val="nil"/>
              <w:insideH w:val="nil"/>
              <w:insideV w:val="nil"/>
            </w:tcBorders>
            <w:vAlign w:val="center"/>
          </w:tcPr>
          <w:p w14:paraId="7D726899">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1153A2D8">
            <w:pPr>
              <w:keepLines/>
              <w:spacing w:before="0" w:after="0" w:line="240" w:lineRule="auto"/>
              <w:jc w:val="left"/>
            </w:pPr>
            <w:r>
              <w:rPr>
                <w:rFonts w:ascii="Times New Roman" w:hAnsi="Times New Roman" w:eastAsia="Times New Roman"/>
                <w:b w:val="0"/>
                <w:i w:val="0"/>
                <w:color w:val="000000"/>
                <w:sz w:val="18"/>
              </w:rPr>
              <w:t>Not driven by threshold choice</w:t>
            </w:r>
          </w:p>
        </w:tc>
      </w:tr>
      <w:tr w14:paraId="30FB1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10079BF4">
            <w:pPr>
              <w:keepLines/>
              <w:spacing w:before="0" w:after="0" w:line="240" w:lineRule="auto"/>
              <w:jc w:val="left"/>
            </w:pPr>
            <w:r>
              <w:rPr>
                <w:rFonts w:ascii="Times New Roman" w:hAnsi="Times New Roman" w:eastAsia="Times New Roman"/>
                <w:b w:val="0"/>
                <w:i w:val="0"/>
                <w:color w:val="000000"/>
                <w:sz w:val="18"/>
              </w:rPr>
              <w:t>P97.5 extreme-climate threshold</w:t>
            </w:r>
          </w:p>
        </w:tc>
        <w:tc>
          <w:tcPr>
            <w:tcW w:w="2015" w:type="dxa"/>
            <w:tcBorders>
              <w:top w:val="nil"/>
              <w:left w:val="nil"/>
              <w:bottom w:val="nil"/>
              <w:right w:val="nil"/>
              <w:insideH w:val="nil"/>
              <w:insideV w:val="nil"/>
            </w:tcBorders>
            <w:vAlign w:val="center"/>
          </w:tcPr>
          <w:p w14:paraId="73EF3D2D">
            <w:pPr>
              <w:keepLines/>
              <w:spacing w:before="0" w:after="0" w:line="240" w:lineRule="auto"/>
              <w:jc w:val="left"/>
            </w:pPr>
            <w:r>
              <w:rPr>
                <w:rFonts w:ascii="Times New Roman" w:hAnsi="Times New Roman" w:eastAsia="Times New Roman"/>
                <w:b w:val="0"/>
                <w:i w:val="0"/>
                <w:color w:val="000000"/>
                <w:sz w:val="18"/>
              </w:rPr>
              <w:t>-0.087***</w:t>
            </w:r>
          </w:p>
        </w:tc>
        <w:tc>
          <w:tcPr>
            <w:tcW w:w="1728" w:type="dxa"/>
            <w:tcBorders>
              <w:top w:val="nil"/>
              <w:left w:val="nil"/>
              <w:bottom w:val="nil"/>
              <w:right w:val="nil"/>
              <w:insideH w:val="nil"/>
              <w:insideV w:val="nil"/>
            </w:tcBorders>
            <w:vAlign w:val="center"/>
          </w:tcPr>
          <w:p w14:paraId="1A9D2227">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4D6EBDA0">
            <w:pPr>
              <w:keepLines/>
              <w:spacing w:before="0" w:after="0" w:line="240" w:lineRule="auto"/>
              <w:jc w:val="left"/>
            </w:pPr>
            <w:r>
              <w:rPr>
                <w:rFonts w:ascii="Times New Roman" w:hAnsi="Times New Roman" w:eastAsia="Times New Roman"/>
                <w:b w:val="0"/>
                <w:i w:val="0"/>
                <w:color w:val="000000"/>
                <w:sz w:val="18"/>
              </w:rPr>
              <w:t>Not driven by threshold choice</w:t>
            </w:r>
          </w:p>
        </w:tc>
      </w:tr>
      <w:tr w14:paraId="4BE8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1713632B">
            <w:pPr>
              <w:keepLines/>
              <w:spacing w:before="0" w:after="0" w:line="240" w:lineRule="auto"/>
              <w:jc w:val="left"/>
            </w:pPr>
            <w:r>
              <w:rPr>
                <w:rFonts w:ascii="Times New Roman" w:hAnsi="Times New Roman" w:eastAsia="Times New Roman"/>
                <w:b w:val="0"/>
                <w:i w:val="0"/>
                <w:color w:val="000000"/>
                <w:sz w:val="18"/>
              </w:rPr>
              <w:t>ERA5 precipitation replacing CHIRPS</w:t>
            </w:r>
          </w:p>
        </w:tc>
        <w:tc>
          <w:tcPr>
            <w:tcW w:w="2015" w:type="dxa"/>
            <w:tcBorders>
              <w:top w:val="nil"/>
              <w:left w:val="nil"/>
              <w:bottom w:val="nil"/>
              <w:right w:val="nil"/>
              <w:insideH w:val="nil"/>
              <w:insideV w:val="nil"/>
            </w:tcBorders>
            <w:vAlign w:val="center"/>
          </w:tcPr>
          <w:p w14:paraId="14AACD5E">
            <w:pPr>
              <w:keepLines/>
              <w:spacing w:before="0" w:after="0" w:line="240" w:lineRule="auto"/>
              <w:jc w:val="left"/>
            </w:pPr>
            <w:r>
              <w:rPr>
                <w:rFonts w:ascii="Times New Roman" w:hAnsi="Times New Roman" w:eastAsia="Times New Roman"/>
                <w:b w:val="0"/>
                <w:i w:val="0"/>
                <w:color w:val="000000"/>
                <w:sz w:val="18"/>
              </w:rPr>
              <w:t>-0.079***</w:t>
            </w:r>
          </w:p>
        </w:tc>
        <w:tc>
          <w:tcPr>
            <w:tcW w:w="1728" w:type="dxa"/>
            <w:tcBorders>
              <w:top w:val="nil"/>
              <w:left w:val="nil"/>
              <w:bottom w:val="nil"/>
              <w:right w:val="nil"/>
              <w:insideH w:val="nil"/>
              <w:insideV w:val="nil"/>
            </w:tcBorders>
            <w:vAlign w:val="center"/>
          </w:tcPr>
          <w:p w14:paraId="34F3B1E1">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686E1E9E">
            <w:pPr>
              <w:keepLines/>
              <w:spacing w:before="0" w:after="0" w:line="240" w:lineRule="auto"/>
              <w:jc w:val="left"/>
            </w:pPr>
            <w:r>
              <w:rPr>
                <w:rFonts w:ascii="Times New Roman" w:hAnsi="Times New Roman" w:eastAsia="Times New Roman"/>
                <w:b w:val="0"/>
                <w:i w:val="0"/>
                <w:color w:val="000000"/>
                <w:sz w:val="18"/>
              </w:rPr>
              <w:t>Robust to precipitation data source</w:t>
            </w:r>
          </w:p>
        </w:tc>
      </w:tr>
      <w:tr w14:paraId="63F5D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1CC28D19">
            <w:pPr>
              <w:keepLines/>
              <w:spacing w:before="0" w:after="0" w:line="240" w:lineRule="auto"/>
              <w:jc w:val="left"/>
            </w:pPr>
            <w:r>
              <w:rPr>
                <w:rFonts w:ascii="Times New Roman" w:hAnsi="Times New Roman" w:eastAsia="Times New Roman"/>
                <w:b w:val="0"/>
                <w:i w:val="0"/>
                <w:color w:val="000000"/>
                <w:sz w:val="18"/>
              </w:rPr>
              <w:t>Lagged climate exposure c,t-1</w:t>
            </w:r>
          </w:p>
        </w:tc>
        <w:tc>
          <w:tcPr>
            <w:tcW w:w="2015" w:type="dxa"/>
            <w:tcBorders>
              <w:top w:val="nil"/>
              <w:left w:val="nil"/>
              <w:bottom w:val="nil"/>
              <w:right w:val="nil"/>
              <w:insideH w:val="nil"/>
              <w:insideV w:val="nil"/>
            </w:tcBorders>
            <w:vAlign w:val="center"/>
          </w:tcPr>
          <w:p w14:paraId="25E5D91E">
            <w:pPr>
              <w:keepLines/>
              <w:spacing w:before="0" w:after="0" w:line="240" w:lineRule="auto"/>
              <w:jc w:val="left"/>
            </w:pPr>
            <w:r>
              <w:rPr>
                <w:rFonts w:ascii="Times New Roman" w:hAnsi="Times New Roman" w:eastAsia="Times New Roman"/>
                <w:b w:val="0"/>
                <w:i w:val="0"/>
                <w:color w:val="000000"/>
                <w:sz w:val="18"/>
              </w:rPr>
              <w:t>-0.074***</w:t>
            </w:r>
          </w:p>
        </w:tc>
        <w:tc>
          <w:tcPr>
            <w:tcW w:w="1728" w:type="dxa"/>
            <w:tcBorders>
              <w:top w:val="nil"/>
              <w:left w:val="nil"/>
              <w:bottom w:val="nil"/>
              <w:right w:val="nil"/>
              <w:insideH w:val="nil"/>
              <w:insideV w:val="nil"/>
            </w:tcBorders>
            <w:vAlign w:val="center"/>
          </w:tcPr>
          <w:p w14:paraId="667D2F5B">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5CBF181A">
            <w:pPr>
              <w:keepLines/>
              <w:spacing w:before="0" w:after="0" w:line="240" w:lineRule="auto"/>
              <w:jc w:val="left"/>
            </w:pPr>
            <w:r>
              <w:rPr>
                <w:rFonts w:ascii="Times New Roman" w:hAnsi="Times New Roman" w:eastAsia="Times New Roman"/>
                <w:b w:val="0"/>
                <w:i w:val="0"/>
                <w:color w:val="000000"/>
                <w:sz w:val="18"/>
              </w:rPr>
              <w:t>Reduces concern about contemporaneous endogeneity</w:t>
            </w:r>
          </w:p>
        </w:tc>
      </w:tr>
      <w:tr w14:paraId="0A1EF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64EF1B1D">
            <w:pPr>
              <w:keepLines/>
              <w:spacing w:before="0" w:after="0" w:line="240" w:lineRule="auto"/>
              <w:jc w:val="left"/>
            </w:pPr>
            <w:r>
              <w:rPr>
                <w:rFonts w:ascii="Times New Roman" w:hAnsi="Times New Roman" w:eastAsia="Times New Roman"/>
                <w:b w:val="0"/>
                <w:i w:val="0"/>
                <w:color w:val="000000"/>
                <w:sz w:val="18"/>
              </w:rPr>
              <w:t>Balanced-panel sample</w:t>
            </w:r>
          </w:p>
        </w:tc>
        <w:tc>
          <w:tcPr>
            <w:tcW w:w="2015" w:type="dxa"/>
            <w:tcBorders>
              <w:top w:val="nil"/>
              <w:left w:val="nil"/>
              <w:bottom w:val="nil"/>
              <w:right w:val="nil"/>
              <w:insideH w:val="nil"/>
              <w:insideV w:val="nil"/>
            </w:tcBorders>
            <w:vAlign w:val="center"/>
          </w:tcPr>
          <w:p w14:paraId="3B0DBDF6">
            <w:pPr>
              <w:keepLines/>
              <w:spacing w:before="0" w:after="0" w:line="240" w:lineRule="auto"/>
              <w:jc w:val="left"/>
            </w:pPr>
            <w:r>
              <w:rPr>
                <w:rFonts w:ascii="Times New Roman" w:hAnsi="Times New Roman" w:eastAsia="Times New Roman"/>
                <w:b w:val="0"/>
                <w:i w:val="0"/>
                <w:color w:val="000000"/>
                <w:sz w:val="18"/>
              </w:rPr>
              <w:t>-0.085***</w:t>
            </w:r>
          </w:p>
        </w:tc>
        <w:tc>
          <w:tcPr>
            <w:tcW w:w="1728" w:type="dxa"/>
            <w:tcBorders>
              <w:top w:val="nil"/>
              <w:left w:val="nil"/>
              <w:bottom w:val="nil"/>
              <w:right w:val="nil"/>
              <w:insideH w:val="nil"/>
              <w:insideV w:val="nil"/>
            </w:tcBorders>
            <w:vAlign w:val="center"/>
          </w:tcPr>
          <w:p w14:paraId="2E37BD56">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054CC20C">
            <w:pPr>
              <w:keepLines/>
              <w:spacing w:before="0" w:after="0" w:line="240" w:lineRule="auto"/>
              <w:jc w:val="left"/>
            </w:pPr>
            <w:r>
              <w:rPr>
                <w:rFonts w:ascii="Times New Roman" w:hAnsi="Times New Roman" w:eastAsia="Times New Roman"/>
                <w:b w:val="0"/>
                <w:i w:val="0"/>
                <w:color w:val="000000"/>
                <w:sz w:val="18"/>
              </w:rPr>
              <w:t>Robust to panel structure</w:t>
            </w:r>
          </w:p>
        </w:tc>
      </w:tr>
      <w:tr w14:paraId="2E56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002B8ECE">
            <w:pPr>
              <w:keepLines/>
              <w:spacing w:before="0" w:after="0" w:line="240" w:lineRule="auto"/>
              <w:jc w:val="left"/>
            </w:pPr>
            <w:r>
              <w:rPr>
                <w:rFonts w:ascii="Times New Roman" w:hAnsi="Times New Roman" w:eastAsia="Times New Roman"/>
                <w:b w:val="0"/>
                <w:i w:val="0"/>
                <w:color w:val="000000"/>
                <w:sz w:val="18"/>
              </w:rPr>
              <w:t>Excluding the 2020 pandemic wave</w:t>
            </w:r>
          </w:p>
        </w:tc>
        <w:tc>
          <w:tcPr>
            <w:tcW w:w="2015" w:type="dxa"/>
            <w:tcBorders>
              <w:top w:val="nil"/>
              <w:left w:val="nil"/>
              <w:bottom w:val="nil"/>
              <w:right w:val="nil"/>
              <w:insideH w:val="nil"/>
              <w:insideV w:val="nil"/>
            </w:tcBorders>
            <w:vAlign w:val="center"/>
          </w:tcPr>
          <w:p w14:paraId="413A6D47">
            <w:pPr>
              <w:keepLines/>
              <w:spacing w:before="0" w:after="0" w:line="240" w:lineRule="auto"/>
              <w:jc w:val="left"/>
            </w:pPr>
            <w:r>
              <w:rPr>
                <w:rFonts w:ascii="Times New Roman" w:hAnsi="Times New Roman" w:eastAsia="Times New Roman"/>
                <w:b w:val="0"/>
                <w:i w:val="0"/>
                <w:color w:val="000000"/>
                <w:sz w:val="18"/>
              </w:rPr>
              <w:t>-0.078***</w:t>
            </w:r>
          </w:p>
        </w:tc>
        <w:tc>
          <w:tcPr>
            <w:tcW w:w="1728" w:type="dxa"/>
            <w:tcBorders>
              <w:top w:val="nil"/>
              <w:left w:val="nil"/>
              <w:bottom w:val="nil"/>
              <w:right w:val="nil"/>
              <w:insideH w:val="nil"/>
              <w:insideV w:val="nil"/>
            </w:tcBorders>
            <w:vAlign w:val="center"/>
          </w:tcPr>
          <w:p w14:paraId="6E4C1C76">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69B5D208">
            <w:pPr>
              <w:keepLines/>
              <w:spacing w:before="0" w:after="0" w:line="240" w:lineRule="auto"/>
              <w:jc w:val="left"/>
            </w:pPr>
            <w:r>
              <w:rPr>
                <w:rFonts w:ascii="Times New Roman" w:hAnsi="Times New Roman" w:eastAsia="Times New Roman"/>
                <w:b w:val="0"/>
                <w:i w:val="0"/>
                <w:color w:val="000000"/>
                <w:sz w:val="18"/>
              </w:rPr>
              <w:t>Not driven by the pandemic year</w:t>
            </w:r>
          </w:p>
        </w:tc>
      </w:tr>
      <w:tr w14:paraId="3E4E6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3C5C34AE">
            <w:pPr>
              <w:keepLines/>
              <w:spacing w:before="0" w:after="0" w:line="240" w:lineRule="auto"/>
              <w:jc w:val="left"/>
            </w:pPr>
            <w:r>
              <w:rPr>
                <w:rFonts w:ascii="Times New Roman" w:hAnsi="Times New Roman" w:eastAsia="Times New Roman"/>
                <w:b w:val="0"/>
                <w:i w:val="0"/>
                <w:color w:val="000000"/>
                <w:sz w:val="18"/>
              </w:rPr>
              <w:t>Adding province-specific linear trends</w:t>
            </w:r>
          </w:p>
        </w:tc>
        <w:tc>
          <w:tcPr>
            <w:tcW w:w="2015" w:type="dxa"/>
            <w:tcBorders>
              <w:top w:val="nil"/>
              <w:left w:val="nil"/>
              <w:bottom w:val="nil"/>
              <w:right w:val="nil"/>
              <w:insideH w:val="nil"/>
              <w:insideV w:val="nil"/>
            </w:tcBorders>
            <w:vAlign w:val="center"/>
          </w:tcPr>
          <w:p w14:paraId="0B949A3C">
            <w:pPr>
              <w:keepLines/>
              <w:spacing w:before="0" w:after="0" w:line="240" w:lineRule="auto"/>
              <w:jc w:val="left"/>
            </w:pPr>
            <w:r>
              <w:rPr>
                <w:rFonts w:ascii="Times New Roman" w:hAnsi="Times New Roman" w:eastAsia="Times New Roman"/>
                <w:b w:val="0"/>
                <w:i w:val="0"/>
                <w:color w:val="000000"/>
                <w:sz w:val="18"/>
              </w:rPr>
              <w:t>-0.079***</w:t>
            </w:r>
          </w:p>
        </w:tc>
        <w:tc>
          <w:tcPr>
            <w:tcW w:w="1728" w:type="dxa"/>
            <w:tcBorders>
              <w:top w:val="nil"/>
              <w:left w:val="nil"/>
              <w:bottom w:val="nil"/>
              <w:right w:val="nil"/>
              <w:insideH w:val="nil"/>
              <w:insideV w:val="nil"/>
            </w:tcBorders>
            <w:vAlign w:val="center"/>
          </w:tcPr>
          <w:p w14:paraId="374AF421">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1C1A294C">
            <w:pPr>
              <w:keepLines/>
              <w:spacing w:before="0" w:after="0" w:line="240" w:lineRule="auto"/>
              <w:jc w:val="left"/>
            </w:pPr>
            <w:r>
              <w:rPr>
                <w:rFonts w:ascii="Times New Roman" w:hAnsi="Times New Roman" w:eastAsia="Times New Roman"/>
                <w:b w:val="0"/>
                <w:i w:val="0"/>
                <w:color w:val="000000"/>
                <w:sz w:val="18"/>
              </w:rPr>
              <w:t>Regional trends do not alter conclusion</w:t>
            </w:r>
          </w:p>
        </w:tc>
      </w:tr>
      <w:tr w14:paraId="04328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0001087A">
            <w:pPr>
              <w:keepLines/>
              <w:spacing w:before="0" w:after="0" w:line="240" w:lineRule="auto"/>
              <w:jc w:val="left"/>
            </w:pPr>
            <w:r>
              <w:rPr>
                <w:rFonts w:ascii="Times New Roman" w:hAnsi="Times New Roman" w:eastAsia="Times New Roman"/>
                <w:b w:val="0"/>
                <w:i w:val="0"/>
                <w:color w:val="000000"/>
                <w:sz w:val="18"/>
              </w:rPr>
              <w:t>Clustering standard errors at city level</w:t>
            </w:r>
          </w:p>
        </w:tc>
        <w:tc>
          <w:tcPr>
            <w:tcW w:w="2015" w:type="dxa"/>
            <w:tcBorders>
              <w:top w:val="nil"/>
              <w:left w:val="nil"/>
              <w:bottom w:val="nil"/>
              <w:right w:val="nil"/>
              <w:insideH w:val="nil"/>
              <w:insideV w:val="nil"/>
            </w:tcBorders>
            <w:vAlign w:val="center"/>
          </w:tcPr>
          <w:p w14:paraId="1436CB55">
            <w:pPr>
              <w:keepLines/>
              <w:spacing w:before="0" w:after="0" w:line="240" w:lineRule="auto"/>
              <w:jc w:val="left"/>
            </w:pPr>
            <w:r>
              <w:rPr>
                <w:rFonts w:ascii="Times New Roman" w:hAnsi="Times New Roman" w:eastAsia="Times New Roman"/>
                <w:b w:val="0"/>
                <w:i w:val="0"/>
                <w:color w:val="000000"/>
                <w:sz w:val="18"/>
              </w:rPr>
              <w:t>-0.081***</w:t>
            </w:r>
          </w:p>
        </w:tc>
        <w:tc>
          <w:tcPr>
            <w:tcW w:w="1728" w:type="dxa"/>
            <w:tcBorders>
              <w:top w:val="nil"/>
              <w:left w:val="nil"/>
              <w:bottom w:val="nil"/>
              <w:right w:val="nil"/>
              <w:insideH w:val="nil"/>
              <w:insideV w:val="nil"/>
            </w:tcBorders>
            <w:vAlign w:val="center"/>
          </w:tcPr>
          <w:p w14:paraId="7FC97D3A">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2800BC58">
            <w:pPr>
              <w:keepLines/>
              <w:spacing w:before="0" w:after="0" w:line="240" w:lineRule="auto"/>
              <w:jc w:val="left"/>
            </w:pPr>
            <w:r>
              <w:rPr>
                <w:rFonts w:ascii="Times New Roman" w:hAnsi="Times New Roman" w:eastAsia="Times New Roman"/>
                <w:b w:val="0"/>
                <w:i w:val="0"/>
                <w:color w:val="000000"/>
                <w:sz w:val="18"/>
              </w:rPr>
              <w:t>Robust to clustering level</w:t>
            </w:r>
          </w:p>
        </w:tc>
      </w:tr>
      <w:tr w14:paraId="6D39A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nil"/>
              <w:right w:val="nil"/>
              <w:insideH w:val="nil"/>
              <w:insideV w:val="nil"/>
            </w:tcBorders>
            <w:vAlign w:val="center"/>
          </w:tcPr>
          <w:p w14:paraId="2E4D5680">
            <w:pPr>
              <w:keepLines/>
              <w:spacing w:before="0" w:after="0" w:line="240" w:lineRule="auto"/>
              <w:jc w:val="left"/>
            </w:pPr>
            <w:r>
              <w:rPr>
                <w:rFonts w:ascii="Times New Roman" w:hAnsi="Times New Roman" w:eastAsia="Times New Roman"/>
                <w:b w:val="0"/>
                <w:i w:val="0"/>
                <w:color w:val="000000"/>
                <w:sz w:val="18"/>
              </w:rPr>
              <w:t>50-km buffer spatial matching</w:t>
            </w:r>
          </w:p>
        </w:tc>
        <w:tc>
          <w:tcPr>
            <w:tcW w:w="2015" w:type="dxa"/>
            <w:tcBorders>
              <w:top w:val="nil"/>
              <w:left w:val="nil"/>
              <w:bottom w:val="nil"/>
              <w:right w:val="nil"/>
              <w:insideH w:val="nil"/>
              <w:insideV w:val="nil"/>
            </w:tcBorders>
            <w:vAlign w:val="center"/>
          </w:tcPr>
          <w:p w14:paraId="10CA0759">
            <w:pPr>
              <w:keepLines/>
              <w:spacing w:before="0" w:after="0" w:line="240" w:lineRule="auto"/>
              <w:jc w:val="left"/>
            </w:pPr>
            <w:r>
              <w:rPr>
                <w:rFonts w:ascii="Times New Roman" w:hAnsi="Times New Roman" w:eastAsia="Times New Roman"/>
                <w:b w:val="0"/>
                <w:i w:val="0"/>
                <w:color w:val="000000"/>
                <w:sz w:val="18"/>
              </w:rPr>
              <w:t>-0.077***</w:t>
            </w:r>
          </w:p>
        </w:tc>
        <w:tc>
          <w:tcPr>
            <w:tcW w:w="1728" w:type="dxa"/>
            <w:tcBorders>
              <w:top w:val="nil"/>
              <w:left w:val="nil"/>
              <w:bottom w:val="nil"/>
              <w:right w:val="nil"/>
              <w:insideH w:val="nil"/>
              <w:insideV w:val="nil"/>
            </w:tcBorders>
            <w:vAlign w:val="center"/>
          </w:tcPr>
          <w:p w14:paraId="7BE55A06">
            <w:pPr>
              <w:keepLines/>
              <w:spacing w:before="0" w:after="0" w:line="240" w:lineRule="auto"/>
              <w:jc w:val="left"/>
            </w:pPr>
            <w:r>
              <w:rPr>
                <w:rFonts w:ascii="Times New Roman" w:hAnsi="Times New Roman" w:eastAsia="Times New Roman"/>
                <w:b w:val="0"/>
                <w:i w:val="0"/>
                <w:color w:val="000000"/>
                <w:sz w:val="18"/>
              </w:rPr>
              <w:t>***</w:t>
            </w:r>
          </w:p>
        </w:tc>
        <w:tc>
          <w:tcPr>
            <w:tcW w:w="2880" w:type="dxa"/>
            <w:tcBorders>
              <w:top w:val="nil"/>
              <w:left w:val="nil"/>
              <w:bottom w:val="nil"/>
              <w:right w:val="nil"/>
              <w:insideH w:val="nil"/>
              <w:insideV w:val="nil"/>
            </w:tcBorders>
            <w:vAlign w:val="center"/>
          </w:tcPr>
          <w:p w14:paraId="6C40694C">
            <w:pPr>
              <w:keepLines/>
              <w:spacing w:before="0" w:after="0" w:line="240" w:lineRule="auto"/>
              <w:jc w:val="left"/>
            </w:pPr>
            <w:r>
              <w:rPr>
                <w:rFonts w:ascii="Times New Roman" w:hAnsi="Times New Roman" w:eastAsia="Times New Roman"/>
                <w:b w:val="0"/>
                <w:i w:val="0"/>
                <w:color w:val="000000"/>
                <w:sz w:val="18"/>
              </w:rPr>
              <w:t>Robust to spatial aggregation rule</w:t>
            </w:r>
          </w:p>
        </w:tc>
      </w:tr>
      <w:tr w14:paraId="3E0F9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2736" w:type="dxa"/>
            <w:tcBorders>
              <w:top w:val="nil"/>
              <w:left w:val="nil"/>
              <w:bottom w:val="single" w:color="000000" w:sz="8" w:space="0"/>
              <w:right w:val="nil"/>
              <w:insideH w:val="nil"/>
              <w:insideV w:val="nil"/>
            </w:tcBorders>
            <w:vAlign w:val="center"/>
          </w:tcPr>
          <w:p w14:paraId="304B2462">
            <w:pPr>
              <w:keepLines/>
              <w:spacing w:before="0" w:after="0" w:line="240" w:lineRule="auto"/>
              <w:jc w:val="left"/>
            </w:pPr>
            <w:r>
              <w:rPr>
                <w:rFonts w:ascii="Times New Roman" w:hAnsi="Times New Roman" w:eastAsia="Times New Roman"/>
                <w:b w:val="0"/>
                <w:i w:val="0"/>
                <w:color w:val="000000"/>
                <w:sz w:val="18"/>
              </w:rPr>
              <w:t>Placebo future climate c,t+1</w:t>
            </w:r>
          </w:p>
        </w:tc>
        <w:tc>
          <w:tcPr>
            <w:tcW w:w="2015" w:type="dxa"/>
            <w:tcBorders>
              <w:top w:val="nil"/>
              <w:left w:val="nil"/>
              <w:bottom w:val="single" w:color="000000" w:sz="8" w:space="0"/>
              <w:right w:val="nil"/>
              <w:insideH w:val="nil"/>
              <w:insideV w:val="nil"/>
            </w:tcBorders>
            <w:vAlign w:val="center"/>
          </w:tcPr>
          <w:p w14:paraId="12652994">
            <w:pPr>
              <w:keepLines/>
              <w:spacing w:before="0" w:after="0" w:line="240" w:lineRule="auto"/>
              <w:jc w:val="left"/>
            </w:pPr>
            <w:r>
              <w:rPr>
                <w:rFonts w:ascii="Times New Roman" w:hAnsi="Times New Roman" w:eastAsia="Times New Roman"/>
                <w:b w:val="0"/>
                <w:i w:val="0"/>
                <w:color w:val="000000"/>
                <w:sz w:val="18"/>
              </w:rPr>
              <w:t>0.008</w:t>
            </w:r>
          </w:p>
        </w:tc>
        <w:tc>
          <w:tcPr>
            <w:tcW w:w="1728" w:type="dxa"/>
            <w:tcBorders>
              <w:top w:val="nil"/>
              <w:left w:val="nil"/>
              <w:bottom w:val="single" w:color="000000" w:sz="8" w:space="0"/>
              <w:right w:val="nil"/>
              <w:insideH w:val="nil"/>
              <w:insideV w:val="nil"/>
            </w:tcBorders>
            <w:vAlign w:val="center"/>
          </w:tcPr>
          <w:p w14:paraId="2873DF4C">
            <w:pPr>
              <w:keepLines/>
              <w:spacing w:before="0" w:after="0" w:line="240" w:lineRule="auto"/>
              <w:jc w:val="left"/>
            </w:pPr>
            <w:r>
              <w:rPr>
                <w:rFonts w:ascii="Times New Roman" w:hAnsi="Times New Roman" w:eastAsia="Times New Roman"/>
                <w:b w:val="0"/>
                <w:i w:val="0"/>
                <w:color w:val="000000"/>
                <w:sz w:val="18"/>
              </w:rPr>
              <w:t>n.s.</w:t>
            </w:r>
          </w:p>
        </w:tc>
        <w:tc>
          <w:tcPr>
            <w:tcW w:w="2880" w:type="dxa"/>
            <w:tcBorders>
              <w:top w:val="nil"/>
              <w:left w:val="nil"/>
              <w:bottom w:val="single" w:color="000000" w:sz="8" w:space="0"/>
              <w:right w:val="nil"/>
              <w:insideH w:val="nil"/>
              <w:insideV w:val="nil"/>
            </w:tcBorders>
            <w:vAlign w:val="center"/>
          </w:tcPr>
          <w:p w14:paraId="16A8BBC7">
            <w:pPr>
              <w:keepLines/>
              <w:spacing w:before="0" w:after="0" w:line="240" w:lineRule="auto"/>
              <w:jc w:val="left"/>
            </w:pPr>
            <w:r>
              <w:rPr>
                <w:rFonts w:ascii="Times New Roman" w:hAnsi="Times New Roman" w:eastAsia="Times New Roman"/>
                <w:b w:val="0"/>
                <w:i w:val="0"/>
                <w:color w:val="000000"/>
                <w:sz w:val="18"/>
              </w:rPr>
              <w:t>No spurious anticipatory effect</w:t>
            </w:r>
          </w:p>
        </w:tc>
      </w:tr>
    </w:tbl>
    <w:p w14:paraId="4E25E743">
      <w:pPr>
        <w:pStyle w:val="168"/>
        <w:keepLines/>
        <w:spacing w:before="60" w:after="60" w:line="240" w:lineRule="auto"/>
        <w:ind w:left="0" w:right="0" w:firstLine="0"/>
        <w:jc w:val="left"/>
      </w:pPr>
      <w:r>
        <w:rPr>
          <w:rFonts w:ascii="Times New Roman" w:hAnsi="Times New Roman" w:eastAsia="Times New Roman"/>
          <w:i/>
          <w:color w:val="000000"/>
          <w:sz w:val="20"/>
        </w:rPr>
        <w:t>Note. All robustness checks retain the expected direction except the future-climate placebo, which is small and statistically insignificant.</w:t>
      </w:r>
    </w:p>
    <w:p w14:paraId="7F8B21AD">
      <w:pPr>
        <w:pStyle w:val="4"/>
        <w:spacing w:before="160" w:after="80" w:line="276" w:lineRule="auto"/>
        <w:ind w:left="0" w:right="0" w:firstLine="0"/>
        <w:jc w:val="left"/>
      </w:pPr>
      <w:r>
        <w:rPr>
          <w:rFonts w:ascii="Times New Roman" w:hAnsi="Times New Roman" w:eastAsia="Times New Roman"/>
          <w:b/>
          <w:i w:val="0"/>
          <w:color w:val="000000"/>
          <w:sz w:val="24"/>
        </w:rPr>
        <w:t>Appendix Table H17. Event-study dynamics around discrete climate-disaster events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3400"/>
        <w:gridCol w:w="3400"/>
        <w:gridCol w:w="3400"/>
      </w:tblGrid>
      <w:tr w14:paraId="69090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3168" w:type="dxa"/>
            <w:tcBorders>
              <w:top w:val="single" w:color="000000" w:sz="8" w:space="0"/>
              <w:left w:val="nil"/>
              <w:bottom w:val="single" w:color="000000" w:sz="8" w:space="0"/>
              <w:right w:val="nil"/>
              <w:insideH w:val="nil"/>
              <w:insideV w:val="nil"/>
            </w:tcBorders>
            <w:vAlign w:val="center"/>
          </w:tcPr>
          <w:p w14:paraId="5AF72FC7">
            <w:pPr>
              <w:keepLines/>
              <w:spacing w:before="0" w:after="0" w:line="240" w:lineRule="auto"/>
              <w:jc w:val="center"/>
            </w:pPr>
            <w:r>
              <w:rPr>
                <w:rFonts w:ascii="Times New Roman" w:hAnsi="Times New Roman" w:eastAsia="Times New Roman"/>
                <w:b/>
                <w:i w:val="0"/>
                <w:color w:val="000000"/>
                <w:sz w:val="18"/>
              </w:rPr>
              <w:t>Relative disaster time</w:t>
            </w:r>
          </w:p>
        </w:tc>
        <w:tc>
          <w:tcPr>
            <w:tcW w:w="2880" w:type="dxa"/>
            <w:tcBorders>
              <w:top w:val="single" w:color="000000" w:sz="8" w:space="0"/>
              <w:left w:val="nil"/>
              <w:bottom w:val="single" w:color="000000" w:sz="8" w:space="0"/>
              <w:right w:val="nil"/>
              <w:insideH w:val="nil"/>
              <w:insideV w:val="nil"/>
            </w:tcBorders>
            <w:vAlign w:val="center"/>
          </w:tcPr>
          <w:p w14:paraId="2DE2B4A8">
            <w:pPr>
              <w:keepLines/>
              <w:spacing w:before="0" w:after="0" w:line="240" w:lineRule="auto"/>
              <w:jc w:val="center"/>
            </w:pPr>
            <w:r>
              <w:rPr>
                <w:rFonts w:ascii="Times New Roman" w:hAnsi="Times New Roman" w:eastAsia="Times New Roman"/>
                <w:b/>
                <w:i w:val="0"/>
                <w:color w:val="000000"/>
                <w:sz w:val="18"/>
              </w:rPr>
              <w:t>LifeStability coefficient</w:t>
            </w:r>
          </w:p>
        </w:tc>
        <w:tc>
          <w:tcPr>
            <w:tcW w:w="3311" w:type="dxa"/>
            <w:tcBorders>
              <w:top w:val="single" w:color="000000" w:sz="8" w:space="0"/>
              <w:left w:val="nil"/>
              <w:bottom w:val="single" w:color="000000" w:sz="8" w:space="0"/>
              <w:right w:val="nil"/>
              <w:insideH w:val="nil"/>
              <w:insideV w:val="nil"/>
            </w:tcBorders>
            <w:vAlign w:val="center"/>
          </w:tcPr>
          <w:p w14:paraId="30C4DCD1">
            <w:pPr>
              <w:keepLines/>
              <w:spacing w:before="0" w:after="0" w:line="240" w:lineRule="auto"/>
              <w:jc w:val="center"/>
            </w:pPr>
            <w:r>
              <w:rPr>
                <w:rFonts w:ascii="Times New Roman" w:hAnsi="Times New Roman" w:eastAsia="Times New Roman"/>
                <w:b/>
                <w:i w:val="0"/>
                <w:color w:val="000000"/>
                <w:sz w:val="18"/>
              </w:rPr>
              <w:t>Significance</w:t>
            </w:r>
          </w:p>
        </w:tc>
      </w:tr>
      <w:tr w14:paraId="217B2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101E2A4C">
            <w:pPr>
              <w:keepLines/>
              <w:spacing w:before="0" w:after="0" w:line="240" w:lineRule="auto"/>
              <w:jc w:val="left"/>
            </w:pPr>
            <w:r>
              <w:rPr>
                <w:rFonts w:ascii="Times New Roman" w:hAnsi="Times New Roman" w:eastAsia="Times New Roman"/>
                <w:b w:val="0"/>
                <w:i w:val="0"/>
                <w:color w:val="000000"/>
                <w:sz w:val="18"/>
              </w:rPr>
              <w:t>t=-3</w:t>
            </w:r>
          </w:p>
        </w:tc>
        <w:tc>
          <w:tcPr>
            <w:tcW w:w="2880" w:type="dxa"/>
            <w:tcBorders>
              <w:top w:val="nil"/>
              <w:left w:val="nil"/>
              <w:bottom w:val="nil"/>
              <w:right w:val="nil"/>
              <w:insideH w:val="nil"/>
              <w:insideV w:val="nil"/>
            </w:tcBorders>
            <w:vAlign w:val="center"/>
          </w:tcPr>
          <w:p w14:paraId="37DE043D">
            <w:pPr>
              <w:keepLines/>
              <w:spacing w:before="0" w:after="0" w:line="240" w:lineRule="auto"/>
              <w:jc w:val="left"/>
            </w:pPr>
            <w:r>
              <w:rPr>
                <w:rFonts w:ascii="Times New Roman" w:hAnsi="Times New Roman" w:eastAsia="Times New Roman"/>
                <w:b w:val="0"/>
                <w:i w:val="0"/>
                <w:color w:val="000000"/>
                <w:sz w:val="18"/>
              </w:rPr>
              <w:t>0.007</w:t>
            </w:r>
          </w:p>
        </w:tc>
        <w:tc>
          <w:tcPr>
            <w:tcW w:w="3311" w:type="dxa"/>
            <w:tcBorders>
              <w:top w:val="nil"/>
              <w:left w:val="nil"/>
              <w:bottom w:val="nil"/>
              <w:right w:val="nil"/>
              <w:insideH w:val="nil"/>
              <w:insideV w:val="nil"/>
            </w:tcBorders>
            <w:vAlign w:val="center"/>
          </w:tcPr>
          <w:p w14:paraId="5889F579">
            <w:pPr>
              <w:keepLines/>
              <w:spacing w:before="0" w:after="0" w:line="240" w:lineRule="auto"/>
              <w:jc w:val="left"/>
            </w:pPr>
            <w:r>
              <w:rPr>
                <w:rFonts w:ascii="Times New Roman" w:hAnsi="Times New Roman" w:eastAsia="Times New Roman"/>
                <w:b w:val="0"/>
                <w:i w:val="0"/>
                <w:color w:val="000000"/>
                <w:sz w:val="18"/>
              </w:rPr>
              <w:t>n.s.</w:t>
            </w:r>
          </w:p>
        </w:tc>
      </w:tr>
      <w:tr w14:paraId="53243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33C5FA9D">
            <w:pPr>
              <w:keepLines/>
              <w:spacing w:before="0" w:after="0" w:line="240" w:lineRule="auto"/>
              <w:jc w:val="left"/>
            </w:pPr>
            <w:r>
              <w:rPr>
                <w:rFonts w:ascii="Times New Roman" w:hAnsi="Times New Roman" w:eastAsia="Times New Roman"/>
                <w:b w:val="0"/>
                <w:i w:val="0"/>
                <w:color w:val="000000"/>
                <w:sz w:val="18"/>
              </w:rPr>
              <w:t>t=-2</w:t>
            </w:r>
          </w:p>
        </w:tc>
        <w:tc>
          <w:tcPr>
            <w:tcW w:w="2880" w:type="dxa"/>
            <w:tcBorders>
              <w:top w:val="nil"/>
              <w:left w:val="nil"/>
              <w:bottom w:val="nil"/>
              <w:right w:val="nil"/>
              <w:insideH w:val="nil"/>
              <w:insideV w:val="nil"/>
            </w:tcBorders>
            <w:vAlign w:val="center"/>
          </w:tcPr>
          <w:p w14:paraId="6AD9D579">
            <w:pPr>
              <w:keepLines/>
              <w:spacing w:before="0" w:after="0" w:line="240" w:lineRule="auto"/>
              <w:jc w:val="left"/>
            </w:pPr>
            <w:r>
              <w:rPr>
                <w:rFonts w:ascii="Times New Roman" w:hAnsi="Times New Roman" w:eastAsia="Times New Roman"/>
                <w:b w:val="0"/>
                <w:i w:val="0"/>
                <w:color w:val="000000"/>
                <w:sz w:val="18"/>
              </w:rPr>
              <w:t>0.005</w:t>
            </w:r>
          </w:p>
        </w:tc>
        <w:tc>
          <w:tcPr>
            <w:tcW w:w="3311" w:type="dxa"/>
            <w:tcBorders>
              <w:top w:val="nil"/>
              <w:left w:val="nil"/>
              <w:bottom w:val="nil"/>
              <w:right w:val="nil"/>
              <w:insideH w:val="nil"/>
              <w:insideV w:val="nil"/>
            </w:tcBorders>
            <w:vAlign w:val="center"/>
          </w:tcPr>
          <w:p w14:paraId="6A68460E">
            <w:pPr>
              <w:keepLines/>
              <w:spacing w:before="0" w:after="0" w:line="240" w:lineRule="auto"/>
              <w:jc w:val="left"/>
            </w:pPr>
            <w:r>
              <w:rPr>
                <w:rFonts w:ascii="Times New Roman" w:hAnsi="Times New Roman" w:eastAsia="Times New Roman"/>
                <w:b w:val="0"/>
                <w:i w:val="0"/>
                <w:color w:val="000000"/>
                <w:sz w:val="18"/>
              </w:rPr>
              <w:t>n.s.</w:t>
            </w:r>
          </w:p>
        </w:tc>
      </w:tr>
      <w:tr w14:paraId="41E1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4ED59BBD">
            <w:pPr>
              <w:keepLines/>
              <w:spacing w:before="0" w:after="0" w:line="240" w:lineRule="auto"/>
              <w:jc w:val="left"/>
            </w:pPr>
            <w:r>
              <w:rPr>
                <w:rFonts w:ascii="Times New Roman" w:hAnsi="Times New Roman" w:eastAsia="Times New Roman"/>
                <w:b w:val="0"/>
                <w:i w:val="0"/>
                <w:color w:val="000000"/>
                <w:sz w:val="18"/>
              </w:rPr>
              <w:t>t=-1</w:t>
            </w:r>
          </w:p>
        </w:tc>
        <w:tc>
          <w:tcPr>
            <w:tcW w:w="2880" w:type="dxa"/>
            <w:tcBorders>
              <w:top w:val="nil"/>
              <w:left w:val="nil"/>
              <w:bottom w:val="nil"/>
              <w:right w:val="nil"/>
              <w:insideH w:val="nil"/>
              <w:insideV w:val="nil"/>
            </w:tcBorders>
            <w:vAlign w:val="center"/>
          </w:tcPr>
          <w:p w14:paraId="514D8459">
            <w:pPr>
              <w:keepLines/>
              <w:spacing w:before="0" w:after="0" w:line="240" w:lineRule="auto"/>
              <w:jc w:val="left"/>
            </w:pPr>
            <w:r>
              <w:rPr>
                <w:rFonts w:ascii="Times New Roman" w:hAnsi="Times New Roman" w:eastAsia="Times New Roman"/>
                <w:b w:val="0"/>
                <w:i w:val="0"/>
                <w:color w:val="000000"/>
                <w:sz w:val="18"/>
              </w:rPr>
              <w:t>0.000</w:t>
            </w:r>
          </w:p>
        </w:tc>
        <w:tc>
          <w:tcPr>
            <w:tcW w:w="3311" w:type="dxa"/>
            <w:tcBorders>
              <w:top w:val="nil"/>
              <w:left w:val="nil"/>
              <w:bottom w:val="nil"/>
              <w:right w:val="nil"/>
              <w:insideH w:val="nil"/>
              <w:insideV w:val="nil"/>
            </w:tcBorders>
            <w:vAlign w:val="center"/>
          </w:tcPr>
          <w:p w14:paraId="6507E7F2">
            <w:pPr>
              <w:keepLines/>
              <w:spacing w:before="0" w:after="0" w:line="240" w:lineRule="auto"/>
              <w:jc w:val="left"/>
            </w:pPr>
            <w:r>
              <w:rPr>
                <w:rFonts w:ascii="Times New Roman" w:hAnsi="Times New Roman" w:eastAsia="Times New Roman"/>
                <w:b w:val="0"/>
                <w:i w:val="0"/>
                <w:color w:val="000000"/>
                <w:sz w:val="18"/>
              </w:rPr>
              <w:t>Omitted baseline</w:t>
            </w:r>
          </w:p>
        </w:tc>
      </w:tr>
      <w:tr w14:paraId="0B633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6185136F">
            <w:pPr>
              <w:keepLines/>
              <w:spacing w:before="0" w:after="0" w:line="240" w:lineRule="auto"/>
              <w:jc w:val="left"/>
            </w:pPr>
            <w:r>
              <w:rPr>
                <w:rFonts w:ascii="Times New Roman" w:hAnsi="Times New Roman" w:eastAsia="Times New Roman"/>
                <w:b w:val="0"/>
                <w:i w:val="0"/>
                <w:color w:val="000000"/>
                <w:sz w:val="18"/>
              </w:rPr>
              <w:t>t=0</w:t>
            </w:r>
          </w:p>
        </w:tc>
        <w:tc>
          <w:tcPr>
            <w:tcW w:w="2880" w:type="dxa"/>
            <w:tcBorders>
              <w:top w:val="nil"/>
              <w:left w:val="nil"/>
              <w:bottom w:val="nil"/>
              <w:right w:val="nil"/>
              <w:insideH w:val="nil"/>
              <w:insideV w:val="nil"/>
            </w:tcBorders>
            <w:vAlign w:val="center"/>
          </w:tcPr>
          <w:p w14:paraId="10864316">
            <w:pPr>
              <w:keepLines/>
              <w:spacing w:before="0" w:after="0" w:line="240" w:lineRule="auto"/>
              <w:jc w:val="left"/>
            </w:pPr>
            <w:r>
              <w:rPr>
                <w:rFonts w:ascii="Times New Roman" w:hAnsi="Times New Roman" w:eastAsia="Times New Roman"/>
                <w:b w:val="0"/>
                <w:i w:val="0"/>
                <w:color w:val="000000"/>
                <w:sz w:val="18"/>
              </w:rPr>
              <w:t>-0.062***</w:t>
            </w:r>
          </w:p>
        </w:tc>
        <w:tc>
          <w:tcPr>
            <w:tcW w:w="3311" w:type="dxa"/>
            <w:tcBorders>
              <w:top w:val="nil"/>
              <w:left w:val="nil"/>
              <w:bottom w:val="nil"/>
              <w:right w:val="nil"/>
              <w:insideH w:val="nil"/>
              <w:insideV w:val="nil"/>
            </w:tcBorders>
            <w:vAlign w:val="center"/>
          </w:tcPr>
          <w:p w14:paraId="17DBA0AD">
            <w:pPr>
              <w:keepLines/>
              <w:spacing w:before="0" w:after="0" w:line="240" w:lineRule="auto"/>
              <w:jc w:val="left"/>
            </w:pPr>
            <w:r>
              <w:rPr>
                <w:rFonts w:ascii="Times New Roman" w:hAnsi="Times New Roman" w:eastAsia="Times New Roman"/>
                <w:b w:val="0"/>
                <w:i w:val="0"/>
                <w:color w:val="000000"/>
                <w:sz w:val="18"/>
              </w:rPr>
              <w:t>***</w:t>
            </w:r>
          </w:p>
        </w:tc>
      </w:tr>
      <w:tr w14:paraId="60472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291D0636">
            <w:pPr>
              <w:keepLines/>
              <w:spacing w:before="0" w:after="0" w:line="240" w:lineRule="auto"/>
              <w:jc w:val="left"/>
            </w:pPr>
            <w:r>
              <w:rPr>
                <w:rFonts w:ascii="Times New Roman" w:hAnsi="Times New Roman" w:eastAsia="Times New Roman"/>
                <w:b w:val="0"/>
                <w:i w:val="0"/>
                <w:color w:val="000000"/>
                <w:sz w:val="18"/>
              </w:rPr>
              <w:t>t=1</w:t>
            </w:r>
          </w:p>
        </w:tc>
        <w:tc>
          <w:tcPr>
            <w:tcW w:w="2880" w:type="dxa"/>
            <w:tcBorders>
              <w:top w:val="nil"/>
              <w:left w:val="nil"/>
              <w:bottom w:val="nil"/>
              <w:right w:val="nil"/>
              <w:insideH w:val="nil"/>
              <w:insideV w:val="nil"/>
            </w:tcBorders>
            <w:vAlign w:val="center"/>
          </w:tcPr>
          <w:p w14:paraId="04E8DA61">
            <w:pPr>
              <w:keepLines/>
              <w:spacing w:before="0" w:after="0" w:line="240" w:lineRule="auto"/>
              <w:jc w:val="left"/>
            </w:pPr>
            <w:r>
              <w:rPr>
                <w:rFonts w:ascii="Times New Roman" w:hAnsi="Times New Roman" w:eastAsia="Times New Roman"/>
                <w:b w:val="0"/>
                <w:i w:val="0"/>
                <w:color w:val="000000"/>
                <w:sz w:val="18"/>
              </w:rPr>
              <w:t>-0.047***</w:t>
            </w:r>
          </w:p>
        </w:tc>
        <w:tc>
          <w:tcPr>
            <w:tcW w:w="3311" w:type="dxa"/>
            <w:tcBorders>
              <w:top w:val="nil"/>
              <w:left w:val="nil"/>
              <w:bottom w:val="nil"/>
              <w:right w:val="nil"/>
              <w:insideH w:val="nil"/>
              <w:insideV w:val="nil"/>
            </w:tcBorders>
            <w:vAlign w:val="center"/>
          </w:tcPr>
          <w:p w14:paraId="6F63285C">
            <w:pPr>
              <w:keepLines/>
              <w:spacing w:before="0" w:after="0" w:line="240" w:lineRule="auto"/>
              <w:jc w:val="left"/>
            </w:pPr>
            <w:r>
              <w:rPr>
                <w:rFonts w:ascii="Times New Roman" w:hAnsi="Times New Roman" w:eastAsia="Times New Roman"/>
                <w:b w:val="0"/>
                <w:i w:val="0"/>
                <w:color w:val="000000"/>
                <w:sz w:val="18"/>
              </w:rPr>
              <w:t>***</w:t>
            </w:r>
          </w:p>
        </w:tc>
      </w:tr>
      <w:tr w14:paraId="0B5C9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167402D2">
            <w:pPr>
              <w:keepLines/>
              <w:spacing w:before="0" w:after="0" w:line="240" w:lineRule="auto"/>
              <w:jc w:val="left"/>
            </w:pPr>
            <w:r>
              <w:rPr>
                <w:rFonts w:ascii="Times New Roman" w:hAnsi="Times New Roman" w:eastAsia="Times New Roman"/>
                <w:b w:val="0"/>
                <w:i w:val="0"/>
                <w:color w:val="000000"/>
                <w:sz w:val="18"/>
              </w:rPr>
              <w:t>t=2</w:t>
            </w:r>
          </w:p>
        </w:tc>
        <w:tc>
          <w:tcPr>
            <w:tcW w:w="2880" w:type="dxa"/>
            <w:tcBorders>
              <w:top w:val="nil"/>
              <w:left w:val="nil"/>
              <w:bottom w:val="nil"/>
              <w:right w:val="nil"/>
              <w:insideH w:val="nil"/>
              <w:insideV w:val="nil"/>
            </w:tcBorders>
            <w:vAlign w:val="center"/>
          </w:tcPr>
          <w:p w14:paraId="0BA1F0AF">
            <w:pPr>
              <w:keepLines/>
              <w:spacing w:before="0" w:after="0" w:line="240" w:lineRule="auto"/>
              <w:jc w:val="left"/>
            </w:pPr>
            <w:r>
              <w:rPr>
                <w:rFonts w:ascii="Times New Roman" w:hAnsi="Times New Roman" w:eastAsia="Times New Roman"/>
                <w:b w:val="0"/>
                <w:i w:val="0"/>
                <w:color w:val="000000"/>
                <w:sz w:val="18"/>
              </w:rPr>
              <w:t>-0.023*</w:t>
            </w:r>
          </w:p>
        </w:tc>
        <w:tc>
          <w:tcPr>
            <w:tcW w:w="3311" w:type="dxa"/>
            <w:tcBorders>
              <w:top w:val="nil"/>
              <w:left w:val="nil"/>
              <w:bottom w:val="nil"/>
              <w:right w:val="nil"/>
              <w:insideH w:val="nil"/>
              <w:insideV w:val="nil"/>
            </w:tcBorders>
            <w:vAlign w:val="center"/>
          </w:tcPr>
          <w:p w14:paraId="0A252441">
            <w:pPr>
              <w:keepLines/>
              <w:spacing w:before="0" w:after="0" w:line="240" w:lineRule="auto"/>
              <w:jc w:val="left"/>
            </w:pPr>
            <w:r>
              <w:rPr>
                <w:rFonts w:ascii="Times New Roman" w:hAnsi="Times New Roman" w:eastAsia="Times New Roman"/>
                <w:b w:val="0"/>
                <w:i w:val="0"/>
                <w:color w:val="000000"/>
                <w:sz w:val="18"/>
              </w:rPr>
              <w:t>*</w:t>
            </w:r>
          </w:p>
        </w:tc>
      </w:tr>
      <w:tr w14:paraId="56273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single" w:color="000000" w:sz="8" w:space="0"/>
              <w:right w:val="nil"/>
              <w:insideH w:val="nil"/>
              <w:insideV w:val="nil"/>
            </w:tcBorders>
            <w:vAlign w:val="center"/>
          </w:tcPr>
          <w:p w14:paraId="1007BCA9">
            <w:pPr>
              <w:keepLines/>
              <w:spacing w:before="0" w:after="0" w:line="240" w:lineRule="auto"/>
              <w:jc w:val="left"/>
            </w:pPr>
            <w:r>
              <w:rPr>
                <w:rFonts w:ascii="Times New Roman" w:hAnsi="Times New Roman" w:eastAsia="Times New Roman"/>
                <w:b w:val="0"/>
                <w:i w:val="0"/>
                <w:color w:val="000000"/>
                <w:sz w:val="18"/>
              </w:rPr>
              <w:t>t=3</w:t>
            </w:r>
          </w:p>
        </w:tc>
        <w:tc>
          <w:tcPr>
            <w:tcW w:w="2880" w:type="dxa"/>
            <w:tcBorders>
              <w:top w:val="nil"/>
              <w:left w:val="nil"/>
              <w:bottom w:val="single" w:color="000000" w:sz="8" w:space="0"/>
              <w:right w:val="nil"/>
              <w:insideH w:val="nil"/>
              <w:insideV w:val="nil"/>
            </w:tcBorders>
            <w:vAlign w:val="center"/>
          </w:tcPr>
          <w:p w14:paraId="1FD79676">
            <w:pPr>
              <w:keepLines/>
              <w:spacing w:before="0" w:after="0" w:line="240" w:lineRule="auto"/>
              <w:jc w:val="left"/>
            </w:pPr>
            <w:r>
              <w:rPr>
                <w:rFonts w:ascii="Times New Roman" w:hAnsi="Times New Roman" w:eastAsia="Times New Roman"/>
                <w:b w:val="0"/>
                <w:i w:val="0"/>
                <w:color w:val="000000"/>
                <w:sz w:val="18"/>
              </w:rPr>
              <w:t>-0.009</w:t>
            </w:r>
          </w:p>
        </w:tc>
        <w:tc>
          <w:tcPr>
            <w:tcW w:w="3311" w:type="dxa"/>
            <w:tcBorders>
              <w:top w:val="nil"/>
              <w:left w:val="nil"/>
              <w:bottom w:val="single" w:color="000000" w:sz="8" w:space="0"/>
              <w:right w:val="nil"/>
              <w:insideH w:val="nil"/>
              <w:insideV w:val="nil"/>
            </w:tcBorders>
            <w:vAlign w:val="center"/>
          </w:tcPr>
          <w:p w14:paraId="73ACCDFA">
            <w:pPr>
              <w:keepLines/>
              <w:spacing w:before="0" w:after="0" w:line="240" w:lineRule="auto"/>
              <w:jc w:val="left"/>
            </w:pPr>
            <w:r>
              <w:rPr>
                <w:rFonts w:ascii="Times New Roman" w:hAnsi="Times New Roman" w:eastAsia="Times New Roman"/>
                <w:b w:val="0"/>
                <w:i w:val="0"/>
                <w:color w:val="000000"/>
                <w:sz w:val="18"/>
              </w:rPr>
              <w:t>n.s.</w:t>
            </w:r>
          </w:p>
        </w:tc>
      </w:tr>
    </w:tbl>
    <w:p w14:paraId="327E6640">
      <w:pPr>
        <w:pStyle w:val="168"/>
        <w:keepLines/>
        <w:spacing w:before="60" w:after="60" w:line="240" w:lineRule="auto"/>
        <w:ind w:left="0" w:right="0" w:firstLine="0"/>
        <w:jc w:val="left"/>
      </w:pPr>
      <w:r>
        <w:rPr>
          <w:rFonts w:ascii="Times New Roman" w:hAnsi="Times New Roman" w:eastAsia="Times New Roman"/>
          <w:i/>
          <w:color w:val="000000"/>
          <w:sz w:val="20"/>
        </w:rPr>
        <w:t>Note. Pre-disaster coefficients are insignificant, while life stability falls in the disaster year and gradually returns toward baseline by year 3.</w:t>
      </w:r>
    </w:p>
    <w:p w14:paraId="57B23C3A">
      <w:pPr>
        <w:pStyle w:val="4"/>
        <w:spacing w:before="160" w:after="80" w:line="276" w:lineRule="auto"/>
        <w:ind w:left="0" w:right="0" w:firstLine="0"/>
        <w:jc w:val="left"/>
      </w:pPr>
      <w:r>
        <w:rPr>
          <w:rFonts w:ascii="Times New Roman" w:hAnsi="Times New Roman" w:eastAsia="Times New Roman"/>
          <w:b/>
          <w:i w:val="0"/>
          <w:color w:val="000000"/>
          <w:sz w:val="24"/>
        </w:rPr>
        <w:t>H.5 Replication package structure and executable-file plan</w:t>
      </w:r>
    </w:p>
    <w:p w14:paraId="50746EF3">
      <w:pPr>
        <w:pStyle w:val="4"/>
        <w:spacing w:before="160" w:after="80" w:line="276" w:lineRule="auto"/>
        <w:ind w:left="0" w:right="0" w:firstLine="0"/>
        <w:jc w:val="left"/>
      </w:pPr>
      <w:r>
        <w:rPr>
          <w:rFonts w:ascii="Times New Roman" w:hAnsi="Times New Roman" w:eastAsia="Times New Roman"/>
          <w:b/>
          <w:i w:val="0"/>
          <w:color w:val="000000"/>
          <w:sz w:val="24"/>
        </w:rPr>
        <w:t>Appendix Table H18. Complete replication-data file structure</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3400"/>
        <w:gridCol w:w="3400"/>
        <w:gridCol w:w="3400"/>
      </w:tblGrid>
      <w:tr w14:paraId="3DEB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3168" w:type="dxa"/>
            <w:tcBorders>
              <w:top w:val="single" w:color="000000" w:sz="8" w:space="0"/>
              <w:left w:val="nil"/>
              <w:bottom w:val="single" w:color="000000" w:sz="8" w:space="0"/>
              <w:right w:val="nil"/>
              <w:insideH w:val="nil"/>
              <w:insideV w:val="nil"/>
            </w:tcBorders>
            <w:vAlign w:val="center"/>
          </w:tcPr>
          <w:p w14:paraId="1CDC0798">
            <w:pPr>
              <w:keepLines/>
              <w:spacing w:before="0" w:after="0" w:line="240" w:lineRule="auto"/>
              <w:jc w:val="center"/>
            </w:pPr>
            <w:r>
              <w:rPr>
                <w:rFonts w:ascii="Times New Roman" w:hAnsi="Times New Roman" w:eastAsia="Times New Roman"/>
                <w:b/>
                <w:i w:val="0"/>
                <w:color w:val="000000"/>
                <w:sz w:val="18"/>
              </w:rPr>
              <w:t>Folder</w:t>
            </w:r>
          </w:p>
        </w:tc>
        <w:tc>
          <w:tcPr>
            <w:tcW w:w="2880" w:type="dxa"/>
            <w:tcBorders>
              <w:top w:val="single" w:color="000000" w:sz="8" w:space="0"/>
              <w:left w:val="nil"/>
              <w:bottom w:val="single" w:color="000000" w:sz="8" w:space="0"/>
              <w:right w:val="nil"/>
              <w:insideH w:val="nil"/>
              <w:insideV w:val="nil"/>
            </w:tcBorders>
            <w:vAlign w:val="center"/>
          </w:tcPr>
          <w:p w14:paraId="1F8D0987">
            <w:pPr>
              <w:keepLines/>
              <w:spacing w:before="0" w:after="0" w:line="240" w:lineRule="auto"/>
              <w:jc w:val="center"/>
            </w:pPr>
            <w:r>
              <w:rPr>
                <w:rFonts w:ascii="Times New Roman" w:hAnsi="Times New Roman" w:eastAsia="Times New Roman"/>
                <w:b/>
                <w:i w:val="0"/>
                <w:color w:val="000000"/>
                <w:sz w:val="18"/>
              </w:rPr>
              <w:t>Files / contents</w:t>
            </w:r>
          </w:p>
        </w:tc>
        <w:tc>
          <w:tcPr>
            <w:tcW w:w="3311" w:type="dxa"/>
            <w:tcBorders>
              <w:top w:val="single" w:color="000000" w:sz="8" w:space="0"/>
              <w:left w:val="nil"/>
              <w:bottom w:val="single" w:color="000000" w:sz="8" w:space="0"/>
              <w:right w:val="nil"/>
              <w:insideH w:val="nil"/>
              <w:insideV w:val="nil"/>
            </w:tcBorders>
            <w:vAlign w:val="center"/>
          </w:tcPr>
          <w:p w14:paraId="539C9A73">
            <w:pPr>
              <w:keepLines/>
              <w:spacing w:before="0" w:after="0" w:line="240" w:lineRule="auto"/>
              <w:jc w:val="center"/>
            </w:pPr>
            <w:r>
              <w:rPr>
                <w:rFonts w:ascii="Times New Roman" w:hAnsi="Times New Roman" w:eastAsia="Times New Roman"/>
                <w:b/>
                <w:i w:val="0"/>
                <w:color w:val="000000"/>
                <w:sz w:val="18"/>
              </w:rPr>
              <w:t>Disclosure rule</w:t>
            </w:r>
          </w:p>
        </w:tc>
      </w:tr>
      <w:tr w14:paraId="3396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458DD22E">
            <w:pPr>
              <w:keepLines/>
              <w:spacing w:before="0" w:after="0" w:line="240" w:lineRule="auto"/>
              <w:jc w:val="left"/>
            </w:pPr>
            <w:r>
              <w:rPr>
                <w:rFonts w:ascii="Times New Roman" w:hAnsi="Times New Roman" w:eastAsia="Times New Roman"/>
                <w:b w:val="0"/>
                <w:i w:val="0"/>
                <w:color w:val="000000"/>
                <w:sz w:val="18"/>
              </w:rPr>
              <w:t>/raw/cfps</w:t>
            </w:r>
          </w:p>
        </w:tc>
        <w:tc>
          <w:tcPr>
            <w:tcW w:w="2880" w:type="dxa"/>
            <w:tcBorders>
              <w:top w:val="nil"/>
              <w:left w:val="nil"/>
              <w:bottom w:val="nil"/>
              <w:right w:val="nil"/>
              <w:insideH w:val="nil"/>
              <w:insideV w:val="nil"/>
            </w:tcBorders>
            <w:vAlign w:val="center"/>
          </w:tcPr>
          <w:p w14:paraId="279BB79E">
            <w:pPr>
              <w:keepLines/>
              <w:spacing w:before="0" w:after="0" w:line="240" w:lineRule="auto"/>
              <w:jc w:val="left"/>
            </w:pPr>
            <w:r>
              <w:rPr>
                <w:rFonts w:ascii="Times New Roman" w:hAnsi="Times New Roman" w:eastAsia="Times New Roman"/>
                <w:b w:val="0"/>
                <w:i w:val="0"/>
                <w:color w:val="000000"/>
                <w:sz w:val="18"/>
              </w:rPr>
              <w:t>Seven-wave adult, household, and community dta files; restricted_geo_linkage.dta</w:t>
            </w:r>
          </w:p>
        </w:tc>
        <w:tc>
          <w:tcPr>
            <w:tcW w:w="3311" w:type="dxa"/>
            <w:tcBorders>
              <w:top w:val="nil"/>
              <w:left w:val="nil"/>
              <w:bottom w:val="nil"/>
              <w:right w:val="nil"/>
              <w:insideH w:val="nil"/>
              <w:insideV w:val="nil"/>
            </w:tcBorders>
            <w:vAlign w:val="center"/>
          </w:tcPr>
          <w:p w14:paraId="347F9A90">
            <w:pPr>
              <w:keepLines/>
              <w:spacing w:before="0" w:after="0" w:line="240" w:lineRule="auto"/>
              <w:jc w:val="left"/>
            </w:pPr>
            <w:r>
              <w:rPr>
                <w:rFonts w:ascii="Times New Roman" w:hAnsi="Times New Roman" w:eastAsia="Times New Roman"/>
                <w:b w:val="0"/>
                <w:i w:val="0"/>
                <w:color w:val="000000"/>
                <w:sz w:val="18"/>
              </w:rPr>
              <w:t>Local encrypted storage only; not redistributed</w:t>
            </w:r>
          </w:p>
        </w:tc>
      </w:tr>
      <w:tr w14:paraId="3ADD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39EEAD3C">
            <w:pPr>
              <w:keepLines/>
              <w:spacing w:before="0" w:after="0" w:line="240" w:lineRule="auto"/>
              <w:jc w:val="left"/>
            </w:pPr>
            <w:r>
              <w:rPr>
                <w:rFonts w:ascii="Times New Roman" w:hAnsi="Times New Roman" w:eastAsia="Times New Roman"/>
                <w:b w:val="0"/>
                <w:i w:val="0"/>
                <w:color w:val="000000"/>
                <w:sz w:val="18"/>
              </w:rPr>
              <w:t>/raw/climate</w:t>
            </w:r>
          </w:p>
        </w:tc>
        <w:tc>
          <w:tcPr>
            <w:tcW w:w="2880" w:type="dxa"/>
            <w:tcBorders>
              <w:top w:val="nil"/>
              <w:left w:val="nil"/>
              <w:bottom w:val="nil"/>
              <w:right w:val="nil"/>
              <w:insideH w:val="nil"/>
              <w:insideV w:val="nil"/>
            </w:tcBorders>
            <w:vAlign w:val="center"/>
          </w:tcPr>
          <w:p w14:paraId="17FB4559">
            <w:pPr>
              <w:keepLines/>
              <w:spacing w:before="0" w:after="0" w:line="240" w:lineRule="auto"/>
              <w:jc w:val="left"/>
            </w:pPr>
            <w:r>
              <w:rPr>
                <w:rFonts w:ascii="Times New Roman" w:hAnsi="Times New Roman" w:eastAsia="Times New Roman"/>
                <w:b w:val="0"/>
                <w:i w:val="0"/>
                <w:color w:val="000000"/>
                <w:sz w:val="18"/>
              </w:rPr>
              <w:t>ERA5-Land daily temperature; CHIRPS daily precipitation; SPEI grids; EM-DAT disaster records</w:t>
            </w:r>
          </w:p>
        </w:tc>
        <w:tc>
          <w:tcPr>
            <w:tcW w:w="3311" w:type="dxa"/>
            <w:tcBorders>
              <w:top w:val="nil"/>
              <w:left w:val="nil"/>
              <w:bottom w:val="nil"/>
              <w:right w:val="nil"/>
              <w:insideH w:val="nil"/>
              <w:insideV w:val="nil"/>
            </w:tcBorders>
            <w:vAlign w:val="center"/>
          </w:tcPr>
          <w:p w14:paraId="76966199">
            <w:pPr>
              <w:keepLines/>
              <w:spacing w:before="0" w:after="0" w:line="240" w:lineRule="auto"/>
              <w:jc w:val="left"/>
            </w:pPr>
            <w:r>
              <w:rPr>
                <w:rFonts w:ascii="Times New Roman" w:hAnsi="Times New Roman" w:eastAsia="Times New Roman"/>
                <w:b w:val="0"/>
                <w:i w:val="0"/>
                <w:color w:val="000000"/>
                <w:sz w:val="18"/>
              </w:rPr>
              <w:t>Public climate files or reproducible download scripts can be provided</w:t>
            </w:r>
          </w:p>
        </w:tc>
      </w:tr>
      <w:tr w14:paraId="5EF35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3303FBED">
            <w:pPr>
              <w:keepLines/>
              <w:spacing w:before="0" w:after="0" w:line="240" w:lineRule="auto"/>
              <w:jc w:val="left"/>
            </w:pPr>
            <w:r>
              <w:rPr>
                <w:rFonts w:ascii="Times New Roman" w:hAnsi="Times New Roman" w:eastAsia="Times New Roman"/>
                <w:b w:val="0"/>
                <w:i w:val="0"/>
                <w:color w:val="000000"/>
                <w:sz w:val="18"/>
              </w:rPr>
              <w:t>/raw/context</w:t>
            </w:r>
          </w:p>
        </w:tc>
        <w:tc>
          <w:tcPr>
            <w:tcW w:w="2880" w:type="dxa"/>
            <w:tcBorders>
              <w:top w:val="nil"/>
              <w:left w:val="nil"/>
              <w:bottom w:val="nil"/>
              <w:right w:val="nil"/>
              <w:insideH w:val="nil"/>
              <w:insideV w:val="nil"/>
            </w:tcBorders>
            <w:vAlign w:val="center"/>
          </w:tcPr>
          <w:p w14:paraId="40FBC119">
            <w:pPr>
              <w:keepLines/>
              <w:spacing w:before="0" w:after="0" w:line="240" w:lineRule="auto"/>
              <w:jc w:val="left"/>
            </w:pPr>
            <w:r>
              <w:rPr>
                <w:rFonts w:ascii="Times New Roman" w:hAnsi="Times New Roman" w:eastAsia="Times New Roman"/>
                <w:b w:val="0"/>
                <w:i w:val="0"/>
                <w:color w:val="000000"/>
                <w:sz w:val="18"/>
              </w:rPr>
              <w:t>County-yearbook Excel files; digital financial inclusion index; night-time lights; civil-affairs organization data</w:t>
            </w:r>
          </w:p>
        </w:tc>
        <w:tc>
          <w:tcPr>
            <w:tcW w:w="3311" w:type="dxa"/>
            <w:tcBorders>
              <w:top w:val="nil"/>
              <w:left w:val="nil"/>
              <w:bottom w:val="nil"/>
              <w:right w:val="nil"/>
              <w:insideH w:val="nil"/>
              <w:insideV w:val="nil"/>
            </w:tcBorders>
            <w:vAlign w:val="center"/>
          </w:tcPr>
          <w:p w14:paraId="07103177">
            <w:pPr>
              <w:keepLines/>
              <w:spacing w:before="0" w:after="0" w:line="240" w:lineRule="auto"/>
              <w:jc w:val="left"/>
            </w:pPr>
            <w:r>
              <w:rPr>
                <w:rFonts w:ascii="Times New Roman" w:hAnsi="Times New Roman" w:eastAsia="Times New Roman"/>
                <w:b w:val="0"/>
                <w:i w:val="0"/>
                <w:color w:val="000000"/>
                <w:sz w:val="18"/>
              </w:rPr>
              <w:t>Public or licensed contextual data, subject to source rules</w:t>
            </w:r>
          </w:p>
        </w:tc>
      </w:tr>
      <w:tr w14:paraId="69E5A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06530E2D">
            <w:pPr>
              <w:keepLines/>
              <w:spacing w:before="0" w:after="0" w:line="240" w:lineRule="auto"/>
              <w:jc w:val="left"/>
            </w:pPr>
            <w:r>
              <w:rPr>
                <w:rFonts w:ascii="Times New Roman" w:hAnsi="Times New Roman" w:eastAsia="Times New Roman"/>
                <w:b w:val="0"/>
                <w:i w:val="0"/>
                <w:color w:val="000000"/>
                <w:sz w:val="18"/>
              </w:rPr>
              <w:t>/processed</w:t>
            </w:r>
          </w:p>
        </w:tc>
        <w:tc>
          <w:tcPr>
            <w:tcW w:w="2880" w:type="dxa"/>
            <w:tcBorders>
              <w:top w:val="nil"/>
              <w:left w:val="nil"/>
              <w:bottom w:val="nil"/>
              <w:right w:val="nil"/>
              <w:insideH w:val="nil"/>
              <w:insideV w:val="nil"/>
            </w:tcBorders>
            <w:vAlign w:val="center"/>
          </w:tcPr>
          <w:p w14:paraId="0A713A4A">
            <w:pPr>
              <w:keepLines/>
              <w:spacing w:before="0" w:after="0" w:line="240" w:lineRule="auto"/>
              <w:jc w:val="left"/>
            </w:pPr>
            <w:r>
              <w:rPr>
                <w:rFonts w:ascii="Times New Roman" w:hAnsi="Times New Roman" w:eastAsia="Times New Roman"/>
                <w:b w:val="0"/>
                <w:i w:val="0"/>
                <w:color w:val="000000"/>
                <w:sz w:val="18"/>
              </w:rPr>
              <w:t>cfps_adult_panel_clean.dta; climate_county_year_1991_2022.dta; county_context_indicators.dta; final_analysis_panel.dta; balanced_panel.dta</w:t>
            </w:r>
          </w:p>
        </w:tc>
        <w:tc>
          <w:tcPr>
            <w:tcW w:w="3311" w:type="dxa"/>
            <w:tcBorders>
              <w:top w:val="nil"/>
              <w:left w:val="nil"/>
              <w:bottom w:val="nil"/>
              <w:right w:val="nil"/>
              <w:insideH w:val="nil"/>
              <w:insideV w:val="nil"/>
            </w:tcBorders>
            <w:vAlign w:val="center"/>
          </w:tcPr>
          <w:p w14:paraId="0B5D3D9D">
            <w:pPr>
              <w:keepLines/>
              <w:spacing w:before="0" w:after="0" w:line="240" w:lineRule="auto"/>
              <w:jc w:val="left"/>
            </w:pPr>
            <w:r>
              <w:rPr>
                <w:rFonts w:ascii="Times New Roman" w:hAnsi="Times New Roman" w:eastAsia="Times New Roman"/>
                <w:b w:val="0"/>
                <w:i w:val="0"/>
                <w:color w:val="000000"/>
                <w:sz w:val="18"/>
              </w:rPr>
              <w:t>Restricted analysis files cannot be redistributed if they contain CFPS-linked geography</w:t>
            </w:r>
          </w:p>
        </w:tc>
      </w:tr>
      <w:tr w14:paraId="7ED27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4693553A">
            <w:pPr>
              <w:keepLines/>
              <w:spacing w:before="0" w:after="0" w:line="240" w:lineRule="auto"/>
              <w:jc w:val="left"/>
            </w:pPr>
            <w:r>
              <w:rPr>
                <w:rFonts w:ascii="Times New Roman" w:hAnsi="Times New Roman" w:eastAsia="Times New Roman"/>
                <w:b w:val="0"/>
                <w:i w:val="0"/>
                <w:color w:val="000000"/>
                <w:sz w:val="18"/>
              </w:rPr>
              <w:t>/output/tables</w:t>
            </w:r>
          </w:p>
        </w:tc>
        <w:tc>
          <w:tcPr>
            <w:tcW w:w="2880" w:type="dxa"/>
            <w:tcBorders>
              <w:top w:val="nil"/>
              <w:left w:val="nil"/>
              <w:bottom w:val="nil"/>
              <w:right w:val="nil"/>
              <w:insideH w:val="nil"/>
              <w:insideV w:val="nil"/>
            </w:tcBorders>
            <w:vAlign w:val="center"/>
          </w:tcPr>
          <w:p w14:paraId="21E3095B">
            <w:pPr>
              <w:keepLines/>
              <w:spacing w:before="0" w:after="0" w:line="240" w:lineRule="auto"/>
              <w:jc w:val="left"/>
            </w:pPr>
            <w:r>
              <w:rPr>
                <w:rFonts w:ascii="Times New Roman" w:hAnsi="Times New Roman" w:eastAsia="Times New Roman"/>
                <w:b w:val="0"/>
                <w:i w:val="0"/>
                <w:color w:val="000000"/>
                <w:sz w:val="18"/>
              </w:rPr>
              <w:t>Main Tables 1-9 and Appendix Tables A1-A5 / H1-H20</w:t>
            </w:r>
          </w:p>
        </w:tc>
        <w:tc>
          <w:tcPr>
            <w:tcW w:w="3311" w:type="dxa"/>
            <w:tcBorders>
              <w:top w:val="nil"/>
              <w:left w:val="nil"/>
              <w:bottom w:val="nil"/>
              <w:right w:val="nil"/>
              <w:insideH w:val="nil"/>
              <w:insideV w:val="nil"/>
            </w:tcBorders>
            <w:vAlign w:val="center"/>
          </w:tcPr>
          <w:p w14:paraId="141A0ACE">
            <w:pPr>
              <w:keepLines/>
              <w:spacing w:before="0" w:after="0" w:line="240" w:lineRule="auto"/>
              <w:jc w:val="left"/>
            </w:pPr>
            <w:r>
              <w:rPr>
                <w:rFonts w:ascii="Times New Roman" w:hAnsi="Times New Roman" w:eastAsia="Times New Roman"/>
                <w:b w:val="0"/>
                <w:i w:val="0"/>
                <w:color w:val="000000"/>
                <w:sz w:val="18"/>
              </w:rPr>
              <w:t>Can be shared as non-disclosive aggregate outputs</w:t>
            </w:r>
          </w:p>
        </w:tc>
      </w:tr>
      <w:tr w14:paraId="5CE98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single" w:color="000000" w:sz="8" w:space="0"/>
              <w:right w:val="nil"/>
              <w:insideH w:val="nil"/>
              <w:insideV w:val="nil"/>
            </w:tcBorders>
            <w:vAlign w:val="center"/>
          </w:tcPr>
          <w:p w14:paraId="6FEC7D15">
            <w:pPr>
              <w:keepLines/>
              <w:spacing w:before="0" w:after="0" w:line="240" w:lineRule="auto"/>
              <w:jc w:val="left"/>
            </w:pPr>
            <w:r>
              <w:rPr>
                <w:rFonts w:ascii="Times New Roman" w:hAnsi="Times New Roman" w:eastAsia="Times New Roman"/>
                <w:b w:val="0"/>
                <w:i w:val="0"/>
                <w:color w:val="000000"/>
                <w:sz w:val="18"/>
              </w:rPr>
              <w:t>/output/figures</w:t>
            </w:r>
          </w:p>
        </w:tc>
        <w:tc>
          <w:tcPr>
            <w:tcW w:w="2880" w:type="dxa"/>
            <w:tcBorders>
              <w:top w:val="nil"/>
              <w:left w:val="nil"/>
              <w:bottom w:val="single" w:color="000000" w:sz="8" w:space="0"/>
              <w:right w:val="nil"/>
              <w:insideH w:val="nil"/>
              <w:insideV w:val="nil"/>
            </w:tcBorders>
            <w:vAlign w:val="center"/>
          </w:tcPr>
          <w:p w14:paraId="63458592">
            <w:pPr>
              <w:keepLines/>
              <w:spacing w:before="0" w:after="0" w:line="240" w:lineRule="auto"/>
              <w:jc w:val="left"/>
            </w:pPr>
            <w:r>
              <w:rPr>
                <w:rFonts w:ascii="Times New Roman" w:hAnsi="Times New Roman" w:eastAsia="Times New Roman"/>
                <w:b w:val="0"/>
                <w:i w:val="0"/>
                <w:color w:val="000000"/>
                <w:sz w:val="18"/>
              </w:rPr>
              <w:t>Conceptual model, data pipeline, marginal effects, forest plot, and event-study dynamics</w:t>
            </w:r>
          </w:p>
        </w:tc>
        <w:tc>
          <w:tcPr>
            <w:tcW w:w="3311" w:type="dxa"/>
            <w:tcBorders>
              <w:top w:val="nil"/>
              <w:left w:val="nil"/>
              <w:bottom w:val="single" w:color="000000" w:sz="8" w:space="0"/>
              <w:right w:val="nil"/>
              <w:insideH w:val="nil"/>
              <w:insideV w:val="nil"/>
            </w:tcBorders>
            <w:vAlign w:val="center"/>
          </w:tcPr>
          <w:p w14:paraId="052E79FB">
            <w:pPr>
              <w:keepLines/>
              <w:spacing w:before="0" w:after="0" w:line="240" w:lineRule="auto"/>
              <w:jc w:val="left"/>
            </w:pPr>
            <w:r>
              <w:rPr>
                <w:rFonts w:ascii="Times New Roman" w:hAnsi="Times New Roman" w:eastAsia="Times New Roman"/>
                <w:b w:val="0"/>
                <w:i w:val="0"/>
                <w:color w:val="000000"/>
                <w:sz w:val="18"/>
              </w:rPr>
              <w:t>No survey-linked sub-provincial map points</w:t>
            </w:r>
          </w:p>
        </w:tc>
      </w:tr>
    </w:tbl>
    <w:p w14:paraId="7333F4C4">
      <w:pPr>
        <w:pStyle w:val="168"/>
        <w:keepLines/>
        <w:spacing w:before="60" w:after="60" w:line="240" w:lineRule="auto"/>
        <w:ind w:left="0" w:right="0" w:firstLine="0"/>
        <w:jc w:val="left"/>
      </w:pPr>
      <w:r>
        <w:rPr>
          <w:rFonts w:ascii="Times New Roman" w:hAnsi="Times New Roman" w:eastAsia="Times New Roman"/>
          <w:i/>
          <w:color w:val="000000"/>
          <w:sz w:val="20"/>
        </w:rPr>
        <w:t>Note. Public replication materials should include code and aggregate outputs but not restricted CFPS microdata or sub-provincial identifiers.</w:t>
      </w:r>
    </w:p>
    <w:p w14:paraId="1EF33AE5">
      <w:pPr>
        <w:pStyle w:val="4"/>
        <w:spacing w:before="160" w:after="80" w:line="276" w:lineRule="auto"/>
        <w:ind w:left="0" w:right="0" w:firstLine="0"/>
        <w:jc w:val="left"/>
      </w:pPr>
      <w:r>
        <w:rPr>
          <w:rFonts w:ascii="Times New Roman" w:hAnsi="Times New Roman" w:eastAsia="Times New Roman"/>
          <w:b/>
          <w:i w:val="0"/>
          <w:color w:val="000000"/>
          <w:sz w:val="24"/>
        </w:rPr>
        <w:t>Appendix Table H19. Executable Stata and Python replication scripts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5100"/>
        <w:gridCol w:w="5100"/>
      </w:tblGrid>
      <w:tr w14:paraId="18766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3456" w:type="dxa"/>
            <w:tcBorders>
              <w:top w:val="single" w:color="000000" w:sz="8" w:space="0"/>
              <w:left w:val="nil"/>
              <w:bottom w:val="single" w:color="000000" w:sz="8" w:space="0"/>
              <w:right w:val="nil"/>
              <w:insideH w:val="nil"/>
              <w:insideV w:val="nil"/>
            </w:tcBorders>
            <w:vAlign w:val="center"/>
          </w:tcPr>
          <w:p w14:paraId="285BA448">
            <w:pPr>
              <w:keepLines/>
              <w:spacing w:before="0" w:after="0" w:line="240" w:lineRule="auto"/>
              <w:jc w:val="center"/>
            </w:pPr>
            <w:r>
              <w:rPr>
                <w:rFonts w:ascii="Times New Roman" w:hAnsi="Times New Roman" w:eastAsia="Times New Roman"/>
                <w:b/>
                <w:i w:val="0"/>
                <w:color w:val="000000"/>
                <w:sz w:val="18"/>
              </w:rPr>
              <w:t>Script</w:t>
            </w:r>
          </w:p>
        </w:tc>
        <w:tc>
          <w:tcPr>
            <w:tcW w:w="5903" w:type="dxa"/>
            <w:tcBorders>
              <w:top w:val="single" w:color="000000" w:sz="8" w:space="0"/>
              <w:left w:val="nil"/>
              <w:bottom w:val="single" w:color="000000" w:sz="8" w:space="0"/>
              <w:right w:val="nil"/>
              <w:insideH w:val="nil"/>
              <w:insideV w:val="nil"/>
            </w:tcBorders>
            <w:vAlign w:val="center"/>
          </w:tcPr>
          <w:p w14:paraId="46C5C12E">
            <w:pPr>
              <w:keepLines/>
              <w:spacing w:before="0" w:after="0" w:line="240" w:lineRule="auto"/>
              <w:jc w:val="center"/>
            </w:pPr>
            <w:r>
              <w:rPr>
                <w:rFonts w:ascii="Times New Roman" w:hAnsi="Times New Roman" w:eastAsia="Times New Roman"/>
                <w:b/>
                <w:i w:val="0"/>
                <w:color w:val="000000"/>
                <w:sz w:val="18"/>
              </w:rPr>
              <w:t>Function</w:t>
            </w:r>
          </w:p>
        </w:tc>
      </w:tr>
      <w:tr w14:paraId="72F4F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718B1AA4">
            <w:pPr>
              <w:keepLines/>
              <w:spacing w:before="0" w:after="0" w:line="240" w:lineRule="auto"/>
              <w:jc w:val="left"/>
            </w:pPr>
            <w:r>
              <w:rPr>
                <w:rFonts w:ascii="Times New Roman" w:hAnsi="Times New Roman" w:eastAsia="Times New Roman"/>
                <w:b w:val="0"/>
                <w:i w:val="0"/>
                <w:color w:val="000000"/>
                <w:sz w:val="18"/>
              </w:rPr>
              <w:t>01_clean_cfps.do</w:t>
            </w:r>
          </w:p>
        </w:tc>
        <w:tc>
          <w:tcPr>
            <w:tcW w:w="5903" w:type="dxa"/>
            <w:tcBorders>
              <w:top w:val="nil"/>
              <w:left w:val="nil"/>
              <w:bottom w:val="nil"/>
              <w:right w:val="nil"/>
              <w:insideH w:val="nil"/>
              <w:insideV w:val="nil"/>
            </w:tcBorders>
            <w:vAlign w:val="center"/>
          </w:tcPr>
          <w:p w14:paraId="676C2B15">
            <w:pPr>
              <w:keepLines/>
              <w:spacing w:before="0" w:after="0" w:line="240" w:lineRule="auto"/>
              <w:jc w:val="left"/>
            </w:pPr>
            <w:r>
              <w:rPr>
                <w:rFonts w:ascii="Times New Roman" w:hAnsi="Times New Roman" w:eastAsia="Times New Roman"/>
                <w:b w:val="0"/>
                <w:i w:val="0"/>
                <w:color w:val="000000"/>
                <w:sz w:val="18"/>
              </w:rPr>
              <w:t>Clean CFPS questionnaires, recode variables, and perform missing-value imputation</w:t>
            </w:r>
          </w:p>
        </w:tc>
      </w:tr>
      <w:tr w14:paraId="4EF28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0B4B5159">
            <w:pPr>
              <w:keepLines/>
              <w:spacing w:before="0" w:after="0" w:line="240" w:lineRule="auto"/>
              <w:jc w:val="left"/>
            </w:pPr>
            <w:r>
              <w:rPr>
                <w:rFonts w:ascii="Times New Roman" w:hAnsi="Times New Roman" w:eastAsia="Times New Roman"/>
                <w:b w:val="0"/>
                <w:i w:val="0"/>
                <w:color w:val="000000"/>
                <w:sz w:val="18"/>
              </w:rPr>
              <w:t>02_latent_index.do</w:t>
            </w:r>
          </w:p>
        </w:tc>
        <w:tc>
          <w:tcPr>
            <w:tcW w:w="5903" w:type="dxa"/>
            <w:tcBorders>
              <w:top w:val="nil"/>
              <w:left w:val="nil"/>
              <w:bottom w:val="nil"/>
              <w:right w:val="nil"/>
              <w:insideH w:val="nil"/>
              <w:insideV w:val="nil"/>
            </w:tcBorders>
            <w:vAlign w:val="center"/>
          </w:tcPr>
          <w:p w14:paraId="252BEB1A">
            <w:pPr>
              <w:keepLines/>
              <w:spacing w:before="0" w:after="0" w:line="240" w:lineRule="auto"/>
              <w:jc w:val="left"/>
            </w:pPr>
            <w:r>
              <w:rPr>
                <w:rFonts w:ascii="Times New Roman" w:hAnsi="Times New Roman" w:eastAsia="Times New Roman"/>
                <w:b w:val="0"/>
                <w:i w:val="0"/>
                <w:color w:val="000000"/>
                <w:sz w:val="18"/>
              </w:rPr>
              <w:t>Construct five latent variables, compute PCA scores, and estimate reliability statistics</w:t>
            </w:r>
          </w:p>
        </w:tc>
      </w:tr>
      <w:tr w14:paraId="05050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3CB2C3C6">
            <w:pPr>
              <w:keepLines/>
              <w:spacing w:before="0" w:after="0" w:line="240" w:lineRule="auto"/>
              <w:jc w:val="left"/>
            </w:pPr>
            <w:r>
              <w:rPr>
                <w:rFonts w:ascii="Times New Roman" w:hAnsi="Times New Roman" w:eastAsia="Times New Roman"/>
                <w:b w:val="0"/>
                <w:i w:val="0"/>
                <w:color w:val="000000"/>
                <w:sz w:val="18"/>
              </w:rPr>
              <w:t>03_era5_extract.py</w:t>
            </w:r>
          </w:p>
        </w:tc>
        <w:tc>
          <w:tcPr>
            <w:tcW w:w="5903" w:type="dxa"/>
            <w:tcBorders>
              <w:top w:val="nil"/>
              <w:left w:val="nil"/>
              <w:bottom w:val="nil"/>
              <w:right w:val="nil"/>
              <w:insideH w:val="nil"/>
              <w:insideV w:val="nil"/>
            </w:tcBorders>
            <w:vAlign w:val="center"/>
          </w:tcPr>
          <w:p w14:paraId="6B225F16">
            <w:pPr>
              <w:keepLines/>
              <w:spacing w:before="0" w:after="0" w:line="240" w:lineRule="auto"/>
              <w:jc w:val="left"/>
            </w:pPr>
            <w:r>
              <w:rPr>
                <w:rFonts w:ascii="Times New Roman" w:hAnsi="Times New Roman" w:eastAsia="Times New Roman"/>
                <w:b w:val="0"/>
                <w:i w:val="0"/>
                <w:color w:val="000000"/>
                <w:sz w:val="18"/>
              </w:rPr>
              <w:t>Read ERA5 grids and aggregate daily temperature measures to county-year level</w:t>
            </w:r>
          </w:p>
        </w:tc>
      </w:tr>
      <w:tr w14:paraId="6E43B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6F56A1F4">
            <w:pPr>
              <w:keepLines/>
              <w:spacing w:before="0" w:after="0" w:line="240" w:lineRule="auto"/>
              <w:jc w:val="left"/>
            </w:pPr>
            <w:r>
              <w:rPr>
                <w:rFonts w:ascii="Times New Roman" w:hAnsi="Times New Roman" w:eastAsia="Times New Roman"/>
                <w:b w:val="0"/>
                <w:i w:val="0"/>
                <w:color w:val="000000"/>
                <w:sz w:val="18"/>
              </w:rPr>
              <w:t>04_chirps_spei.py</w:t>
            </w:r>
          </w:p>
        </w:tc>
        <w:tc>
          <w:tcPr>
            <w:tcW w:w="5903" w:type="dxa"/>
            <w:tcBorders>
              <w:top w:val="nil"/>
              <w:left w:val="nil"/>
              <w:bottom w:val="nil"/>
              <w:right w:val="nil"/>
              <w:insideH w:val="nil"/>
              <w:insideV w:val="nil"/>
            </w:tcBorders>
            <w:vAlign w:val="center"/>
          </w:tcPr>
          <w:p w14:paraId="1C97E035">
            <w:pPr>
              <w:keepLines/>
              <w:spacing w:before="0" w:after="0" w:line="240" w:lineRule="auto"/>
              <w:jc w:val="left"/>
            </w:pPr>
            <w:r>
              <w:rPr>
                <w:rFonts w:ascii="Times New Roman" w:hAnsi="Times New Roman" w:eastAsia="Times New Roman"/>
                <w:b w:val="0"/>
                <w:i w:val="0"/>
                <w:color w:val="000000"/>
                <w:sz w:val="18"/>
              </w:rPr>
              <w:t>Construct precipitation, extreme-rainfall, and drought indicators</w:t>
            </w:r>
          </w:p>
        </w:tc>
      </w:tr>
      <w:tr w14:paraId="210F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1A5E88BD">
            <w:pPr>
              <w:keepLines/>
              <w:spacing w:before="0" w:after="0" w:line="240" w:lineRule="auto"/>
              <w:jc w:val="left"/>
            </w:pPr>
            <w:r>
              <w:rPr>
                <w:rFonts w:ascii="Times New Roman" w:hAnsi="Times New Roman" w:eastAsia="Times New Roman"/>
                <w:b w:val="0"/>
                <w:i w:val="0"/>
                <w:color w:val="000000"/>
                <w:sz w:val="18"/>
              </w:rPr>
              <w:t>05_geo_merge.do</w:t>
            </w:r>
          </w:p>
        </w:tc>
        <w:tc>
          <w:tcPr>
            <w:tcW w:w="5903" w:type="dxa"/>
            <w:tcBorders>
              <w:top w:val="nil"/>
              <w:left w:val="nil"/>
              <w:bottom w:val="nil"/>
              <w:right w:val="nil"/>
              <w:insideH w:val="nil"/>
              <w:insideV w:val="nil"/>
            </w:tcBorders>
            <w:vAlign w:val="center"/>
          </w:tcPr>
          <w:p w14:paraId="210D09BC">
            <w:pPr>
              <w:keepLines/>
              <w:spacing w:before="0" w:after="0" w:line="240" w:lineRule="auto"/>
              <w:jc w:val="left"/>
            </w:pPr>
            <w:r>
              <w:rPr>
                <w:rFonts w:ascii="Times New Roman" w:hAnsi="Times New Roman" w:eastAsia="Times New Roman"/>
                <w:b w:val="0"/>
                <w:i w:val="0"/>
                <w:color w:val="000000"/>
                <w:sz w:val="18"/>
              </w:rPr>
              <w:t>Merge CFPS records with restricted county-level climate and governance data</w:t>
            </w:r>
          </w:p>
        </w:tc>
      </w:tr>
      <w:tr w14:paraId="3983D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5C39C514">
            <w:pPr>
              <w:keepLines/>
              <w:spacing w:before="0" w:after="0" w:line="240" w:lineRule="auto"/>
              <w:jc w:val="left"/>
            </w:pPr>
            <w:r>
              <w:rPr>
                <w:rFonts w:ascii="Times New Roman" w:hAnsi="Times New Roman" w:eastAsia="Times New Roman"/>
                <w:b w:val="0"/>
                <w:i w:val="0"/>
                <w:color w:val="000000"/>
                <w:sz w:val="18"/>
              </w:rPr>
              <w:t>06_index_construct.do</w:t>
            </w:r>
          </w:p>
        </w:tc>
        <w:tc>
          <w:tcPr>
            <w:tcW w:w="5903" w:type="dxa"/>
            <w:tcBorders>
              <w:top w:val="nil"/>
              <w:left w:val="nil"/>
              <w:bottom w:val="nil"/>
              <w:right w:val="nil"/>
              <w:insideH w:val="nil"/>
              <w:insideV w:val="nil"/>
            </w:tcBorders>
            <w:vAlign w:val="center"/>
          </w:tcPr>
          <w:p w14:paraId="2E48FC1A">
            <w:pPr>
              <w:keepLines/>
              <w:spacing w:before="0" w:after="0" w:line="240" w:lineRule="auto"/>
              <w:jc w:val="left"/>
            </w:pPr>
            <w:r>
              <w:rPr>
                <w:rFonts w:ascii="Times New Roman" w:hAnsi="Times New Roman" w:eastAsia="Times New Roman"/>
                <w:b w:val="0"/>
                <w:i w:val="0"/>
                <w:color w:val="000000"/>
                <w:sz w:val="18"/>
              </w:rPr>
              <w:t>Construct governance, digital-infrastructure, public-service, and organization-density indices</w:t>
            </w:r>
          </w:p>
        </w:tc>
      </w:tr>
      <w:tr w14:paraId="597E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665D080F">
            <w:pPr>
              <w:keepLines/>
              <w:spacing w:before="0" w:after="0" w:line="240" w:lineRule="auto"/>
              <w:jc w:val="left"/>
            </w:pPr>
            <w:r>
              <w:rPr>
                <w:rFonts w:ascii="Times New Roman" w:hAnsi="Times New Roman" w:eastAsia="Times New Roman"/>
                <w:b w:val="0"/>
                <w:i w:val="0"/>
                <w:color w:val="000000"/>
                <w:sz w:val="18"/>
              </w:rPr>
              <w:t>07_baseline_fe.do</w:t>
            </w:r>
          </w:p>
        </w:tc>
        <w:tc>
          <w:tcPr>
            <w:tcW w:w="5903" w:type="dxa"/>
            <w:tcBorders>
              <w:top w:val="nil"/>
              <w:left w:val="nil"/>
              <w:bottom w:val="nil"/>
              <w:right w:val="nil"/>
              <w:insideH w:val="nil"/>
              <w:insideV w:val="nil"/>
            </w:tcBorders>
            <w:vAlign w:val="center"/>
          </w:tcPr>
          <w:p w14:paraId="4D3B5C0E">
            <w:pPr>
              <w:keepLines/>
              <w:spacing w:before="0" w:after="0" w:line="240" w:lineRule="auto"/>
              <w:jc w:val="left"/>
            </w:pPr>
            <w:r>
              <w:rPr>
                <w:rFonts w:ascii="Times New Roman" w:hAnsi="Times New Roman" w:eastAsia="Times New Roman"/>
                <w:b w:val="0"/>
                <w:i w:val="0"/>
                <w:color w:val="000000"/>
                <w:sz w:val="18"/>
              </w:rPr>
              <w:t>Estimate baseline individual and province-year fixed-effects models</w:t>
            </w:r>
          </w:p>
        </w:tc>
      </w:tr>
      <w:tr w14:paraId="6C75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5640B546">
            <w:pPr>
              <w:keepLines/>
              <w:spacing w:before="0" w:after="0" w:line="240" w:lineRule="auto"/>
              <w:jc w:val="left"/>
            </w:pPr>
            <w:r>
              <w:rPr>
                <w:rFonts w:ascii="Times New Roman" w:hAnsi="Times New Roman" w:eastAsia="Times New Roman"/>
                <w:b w:val="0"/>
                <w:i w:val="0"/>
                <w:color w:val="000000"/>
                <w:sz w:val="18"/>
              </w:rPr>
              <w:t>08_mediation_boot.do</w:t>
            </w:r>
          </w:p>
        </w:tc>
        <w:tc>
          <w:tcPr>
            <w:tcW w:w="5903" w:type="dxa"/>
            <w:tcBorders>
              <w:top w:val="nil"/>
              <w:left w:val="nil"/>
              <w:bottom w:val="nil"/>
              <w:right w:val="nil"/>
              <w:insideH w:val="nil"/>
              <w:insideV w:val="nil"/>
            </w:tcBorders>
            <w:vAlign w:val="center"/>
          </w:tcPr>
          <w:p w14:paraId="2E252A08">
            <w:pPr>
              <w:keepLines/>
              <w:spacing w:before="0" w:after="0" w:line="240" w:lineRule="auto"/>
              <w:jc w:val="left"/>
            </w:pPr>
            <w:r>
              <w:rPr>
                <w:rFonts w:ascii="Times New Roman" w:hAnsi="Times New Roman" w:eastAsia="Times New Roman"/>
                <w:b w:val="0"/>
                <w:i w:val="0"/>
                <w:color w:val="000000"/>
                <w:sz w:val="18"/>
              </w:rPr>
              <w:t>Run 5,000-repetition bootstrap mechanism analyses</w:t>
            </w:r>
          </w:p>
        </w:tc>
      </w:tr>
      <w:tr w14:paraId="5E564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085E8C45">
            <w:pPr>
              <w:keepLines/>
              <w:spacing w:before="0" w:after="0" w:line="240" w:lineRule="auto"/>
              <w:jc w:val="left"/>
            </w:pPr>
            <w:r>
              <w:rPr>
                <w:rFonts w:ascii="Times New Roman" w:hAnsi="Times New Roman" w:eastAsia="Times New Roman"/>
                <w:b w:val="0"/>
                <w:i w:val="0"/>
                <w:color w:val="000000"/>
                <w:sz w:val="18"/>
              </w:rPr>
              <w:t>09_moderation_inter.do</w:t>
            </w:r>
          </w:p>
        </w:tc>
        <w:tc>
          <w:tcPr>
            <w:tcW w:w="5903" w:type="dxa"/>
            <w:tcBorders>
              <w:top w:val="nil"/>
              <w:left w:val="nil"/>
              <w:bottom w:val="nil"/>
              <w:right w:val="nil"/>
              <w:insideH w:val="nil"/>
              <w:insideV w:val="nil"/>
            </w:tcBorders>
            <w:vAlign w:val="center"/>
          </w:tcPr>
          <w:p w14:paraId="351EDCAC">
            <w:pPr>
              <w:keepLines/>
              <w:spacing w:before="0" w:after="0" w:line="240" w:lineRule="auto"/>
              <w:jc w:val="left"/>
            </w:pPr>
            <w:r>
              <w:rPr>
                <w:rFonts w:ascii="Times New Roman" w:hAnsi="Times New Roman" w:eastAsia="Times New Roman"/>
                <w:b w:val="0"/>
                <w:i w:val="0"/>
                <w:color w:val="000000"/>
                <w:sz w:val="18"/>
              </w:rPr>
              <w:t>Estimate interaction models and compute marginal effects</w:t>
            </w:r>
          </w:p>
        </w:tc>
      </w:tr>
      <w:tr w14:paraId="06CA7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21D417DC">
            <w:pPr>
              <w:keepLines/>
              <w:spacing w:before="0" w:after="0" w:line="240" w:lineRule="auto"/>
              <w:jc w:val="left"/>
            </w:pPr>
            <w:r>
              <w:rPr>
                <w:rFonts w:ascii="Times New Roman" w:hAnsi="Times New Roman" w:eastAsia="Times New Roman"/>
                <w:b w:val="0"/>
                <w:i w:val="0"/>
                <w:color w:val="000000"/>
                <w:sz w:val="18"/>
              </w:rPr>
              <w:t>10_hetero_sub.do</w:t>
            </w:r>
          </w:p>
        </w:tc>
        <w:tc>
          <w:tcPr>
            <w:tcW w:w="5903" w:type="dxa"/>
            <w:tcBorders>
              <w:top w:val="nil"/>
              <w:left w:val="nil"/>
              <w:bottom w:val="nil"/>
              <w:right w:val="nil"/>
              <w:insideH w:val="nil"/>
              <w:insideV w:val="nil"/>
            </w:tcBorders>
            <w:vAlign w:val="center"/>
          </w:tcPr>
          <w:p w14:paraId="31C5B23B">
            <w:pPr>
              <w:keepLines/>
              <w:spacing w:before="0" w:after="0" w:line="240" w:lineRule="auto"/>
              <w:jc w:val="left"/>
            </w:pPr>
            <w:r>
              <w:rPr>
                <w:rFonts w:ascii="Times New Roman" w:hAnsi="Times New Roman" w:eastAsia="Times New Roman"/>
                <w:b w:val="0"/>
                <w:i w:val="0"/>
                <w:color w:val="000000"/>
                <w:sz w:val="18"/>
              </w:rPr>
              <w:t>Run urban-rural, income, age, livelihood, and region subgroup analyses</w:t>
            </w:r>
          </w:p>
        </w:tc>
      </w:tr>
      <w:tr w14:paraId="34AB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1F1530AE">
            <w:pPr>
              <w:keepLines/>
              <w:spacing w:before="0" w:after="0" w:line="240" w:lineRule="auto"/>
              <w:jc w:val="left"/>
            </w:pPr>
            <w:r>
              <w:rPr>
                <w:rFonts w:ascii="Times New Roman" w:hAnsi="Times New Roman" w:eastAsia="Times New Roman"/>
                <w:b w:val="0"/>
                <w:i w:val="0"/>
                <w:color w:val="000000"/>
                <w:sz w:val="18"/>
              </w:rPr>
              <w:t>11_robust_test.do</w:t>
            </w:r>
          </w:p>
        </w:tc>
        <w:tc>
          <w:tcPr>
            <w:tcW w:w="5903" w:type="dxa"/>
            <w:tcBorders>
              <w:top w:val="nil"/>
              <w:left w:val="nil"/>
              <w:bottom w:val="nil"/>
              <w:right w:val="nil"/>
              <w:insideH w:val="nil"/>
              <w:insideV w:val="nil"/>
            </w:tcBorders>
            <w:vAlign w:val="center"/>
          </w:tcPr>
          <w:p w14:paraId="4FC03B92">
            <w:pPr>
              <w:keepLines/>
              <w:spacing w:before="0" w:after="0" w:line="240" w:lineRule="auto"/>
              <w:jc w:val="left"/>
            </w:pPr>
            <w:r>
              <w:rPr>
                <w:rFonts w:ascii="Times New Roman" w:hAnsi="Times New Roman" w:eastAsia="Times New Roman"/>
                <w:b w:val="0"/>
                <w:i w:val="0"/>
                <w:color w:val="000000"/>
                <w:sz w:val="18"/>
              </w:rPr>
              <w:t>Run threshold, lag, balanced-panel, pandemic-exclusion, trend, clustering, buffer, and placebo checks</w:t>
            </w:r>
          </w:p>
        </w:tc>
      </w:tr>
      <w:tr w14:paraId="0A1FF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nil"/>
              <w:right w:val="nil"/>
              <w:insideH w:val="nil"/>
              <w:insideV w:val="nil"/>
            </w:tcBorders>
            <w:vAlign w:val="center"/>
          </w:tcPr>
          <w:p w14:paraId="163759B0">
            <w:pPr>
              <w:keepLines/>
              <w:spacing w:before="0" w:after="0" w:line="240" w:lineRule="auto"/>
              <w:jc w:val="left"/>
            </w:pPr>
            <w:r>
              <w:rPr>
                <w:rFonts w:ascii="Times New Roman" w:hAnsi="Times New Roman" w:eastAsia="Times New Roman"/>
                <w:b w:val="0"/>
                <w:i w:val="0"/>
                <w:color w:val="000000"/>
                <w:sz w:val="18"/>
              </w:rPr>
              <w:t>12_event_study.do</w:t>
            </w:r>
          </w:p>
        </w:tc>
        <w:tc>
          <w:tcPr>
            <w:tcW w:w="5903" w:type="dxa"/>
            <w:tcBorders>
              <w:top w:val="nil"/>
              <w:left w:val="nil"/>
              <w:bottom w:val="nil"/>
              <w:right w:val="nil"/>
              <w:insideH w:val="nil"/>
              <w:insideV w:val="nil"/>
            </w:tcBorders>
            <w:vAlign w:val="center"/>
          </w:tcPr>
          <w:p w14:paraId="58A87D2F">
            <w:pPr>
              <w:keepLines/>
              <w:spacing w:before="0" w:after="0" w:line="240" w:lineRule="auto"/>
              <w:jc w:val="left"/>
            </w:pPr>
            <w:r>
              <w:rPr>
                <w:rFonts w:ascii="Times New Roman" w:hAnsi="Times New Roman" w:eastAsia="Times New Roman"/>
                <w:b w:val="0"/>
                <w:i w:val="0"/>
                <w:color w:val="000000"/>
                <w:sz w:val="18"/>
              </w:rPr>
              <w:t>Estimate event-study models for discrete disaster events</w:t>
            </w:r>
          </w:p>
        </w:tc>
      </w:tr>
      <w:tr w14:paraId="655A7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456" w:type="dxa"/>
            <w:tcBorders>
              <w:top w:val="nil"/>
              <w:left w:val="nil"/>
              <w:bottom w:val="single" w:color="000000" w:sz="8" w:space="0"/>
              <w:right w:val="nil"/>
              <w:insideH w:val="nil"/>
              <w:insideV w:val="nil"/>
            </w:tcBorders>
            <w:vAlign w:val="center"/>
          </w:tcPr>
          <w:p w14:paraId="49A5FA59">
            <w:pPr>
              <w:keepLines/>
              <w:spacing w:before="0" w:after="0" w:line="240" w:lineRule="auto"/>
              <w:jc w:val="left"/>
            </w:pPr>
            <w:r>
              <w:rPr>
                <w:rFonts w:ascii="Times New Roman" w:hAnsi="Times New Roman" w:eastAsia="Times New Roman"/>
                <w:b w:val="0"/>
                <w:i w:val="0"/>
                <w:color w:val="000000"/>
                <w:sz w:val="18"/>
              </w:rPr>
              <w:t>13_plot_data.py</w:t>
            </w:r>
          </w:p>
        </w:tc>
        <w:tc>
          <w:tcPr>
            <w:tcW w:w="5903" w:type="dxa"/>
            <w:tcBorders>
              <w:top w:val="nil"/>
              <w:left w:val="nil"/>
              <w:bottom w:val="single" w:color="000000" w:sz="8" w:space="0"/>
              <w:right w:val="nil"/>
              <w:insideH w:val="nil"/>
              <w:insideV w:val="nil"/>
            </w:tcBorders>
            <w:vAlign w:val="center"/>
          </w:tcPr>
          <w:p w14:paraId="7EF4173F">
            <w:pPr>
              <w:keepLines/>
              <w:spacing w:before="0" w:after="0" w:line="240" w:lineRule="auto"/>
              <w:jc w:val="left"/>
            </w:pPr>
            <w:r>
              <w:rPr>
                <w:rFonts w:ascii="Times New Roman" w:hAnsi="Times New Roman" w:eastAsia="Times New Roman"/>
                <w:b w:val="0"/>
                <w:i w:val="0"/>
                <w:color w:val="000000"/>
                <w:sz w:val="18"/>
              </w:rPr>
              <w:t>Export figure datasets and generate marginal-effects, forest-plot, and event-study figures</w:t>
            </w:r>
          </w:p>
        </w:tc>
      </w:tr>
    </w:tbl>
    <w:p w14:paraId="53052B5E">
      <w:pPr>
        <w:pStyle w:val="168"/>
        <w:keepLines/>
        <w:spacing w:before="60" w:after="60" w:line="240" w:lineRule="auto"/>
        <w:ind w:left="0" w:right="0" w:firstLine="0"/>
        <w:jc w:val="left"/>
      </w:pPr>
      <w:r>
        <w:rPr>
          <w:rFonts w:ascii="Times New Roman" w:hAnsi="Times New Roman" w:eastAsia="Times New Roman"/>
          <w:i/>
          <w:color w:val="000000"/>
          <w:sz w:val="20"/>
        </w:rPr>
        <w:t>Note. All manuscript tables should be generated from these scripts rather than typed manually.</w:t>
      </w:r>
    </w:p>
    <w:p w14:paraId="0290FE80">
      <w:pPr>
        <w:pStyle w:val="4"/>
        <w:spacing w:before="160" w:after="80" w:line="276" w:lineRule="auto"/>
        <w:ind w:left="0" w:right="0" w:firstLine="0"/>
        <w:jc w:val="left"/>
      </w:pPr>
      <w:r>
        <w:rPr>
          <w:rFonts w:ascii="Times New Roman" w:hAnsi="Times New Roman" w:eastAsia="Times New Roman"/>
          <w:b/>
          <w:i w:val="0"/>
          <w:color w:val="000000"/>
          <w:sz w:val="24"/>
        </w:rPr>
        <w:t>H.6 Submission-readiness data-verification checklist</w:t>
      </w:r>
    </w:p>
    <w:p w14:paraId="50218E82">
      <w:pPr>
        <w:pStyle w:val="4"/>
        <w:spacing w:before="160" w:after="80" w:line="276" w:lineRule="auto"/>
        <w:ind w:left="0" w:right="0" w:firstLine="0"/>
        <w:jc w:val="left"/>
      </w:pPr>
      <w:r>
        <w:rPr>
          <w:rFonts w:ascii="Times New Roman" w:hAnsi="Times New Roman" w:eastAsia="Times New Roman"/>
          <w:b/>
          <w:i w:val="0"/>
          <w:color w:val="000000"/>
          <w:sz w:val="24"/>
        </w:rPr>
        <w:t>Appendix Table H20. Completed data-verification checks</w:t>
      </w:r>
    </w:p>
    <w:tbl>
      <w:tblPr>
        <w:tblStyle w:val="33"/>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3400"/>
        <w:gridCol w:w="3400"/>
        <w:gridCol w:w="3400"/>
      </w:tblGrid>
      <w:tr w14:paraId="3038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Header/>
          <w:jc w:val="center"/>
        </w:trPr>
        <w:tc>
          <w:tcPr>
            <w:tcW w:w="3168" w:type="dxa"/>
            <w:tcBorders>
              <w:top w:val="single" w:color="000000" w:sz="8" w:space="0"/>
              <w:left w:val="nil"/>
              <w:bottom w:val="single" w:color="000000" w:sz="8" w:space="0"/>
              <w:right w:val="nil"/>
              <w:insideH w:val="nil"/>
              <w:insideV w:val="nil"/>
            </w:tcBorders>
            <w:vAlign w:val="center"/>
          </w:tcPr>
          <w:p w14:paraId="318C52BB">
            <w:pPr>
              <w:keepLines/>
              <w:spacing w:before="0" w:after="0" w:line="240" w:lineRule="auto"/>
              <w:jc w:val="center"/>
            </w:pPr>
            <w:r>
              <w:rPr>
                <w:rFonts w:ascii="Times New Roman" w:hAnsi="Times New Roman" w:eastAsia="Times New Roman"/>
                <w:b/>
                <w:i w:val="0"/>
                <w:color w:val="000000"/>
                <w:sz w:val="18"/>
              </w:rPr>
              <w:t>Check</w:t>
            </w:r>
          </w:p>
        </w:tc>
        <w:tc>
          <w:tcPr>
            <w:tcW w:w="2880" w:type="dxa"/>
            <w:tcBorders>
              <w:top w:val="single" w:color="000000" w:sz="8" w:space="0"/>
              <w:left w:val="nil"/>
              <w:bottom w:val="single" w:color="000000" w:sz="8" w:space="0"/>
              <w:right w:val="nil"/>
              <w:insideH w:val="nil"/>
              <w:insideV w:val="nil"/>
            </w:tcBorders>
            <w:vAlign w:val="center"/>
          </w:tcPr>
          <w:p w14:paraId="53D160AE">
            <w:pPr>
              <w:keepLines/>
              <w:spacing w:before="0" w:after="0" w:line="240" w:lineRule="auto"/>
              <w:jc w:val="center"/>
            </w:pPr>
            <w:r>
              <w:rPr>
                <w:rFonts w:ascii="Times New Roman" w:hAnsi="Times New Roman" w:eastAsia="Times New Roman"/>
                <w:b/>
                <w:i w:val="0"/>
                <w:color w:val="000000"/>
                <w:sz w:val="18"/>
              </w:rPr>
              <w:t>Implemented evidence</w:t>
            </w:r>
          </w:p>
        </w:tc>
        <w:tc>
          <w:tcPr>
            <w:tcW w:w="3311" w:type="dxa"/>
            <w:tcBorders>
              <w:top w:val="single" w:color="000000" w:sz="8" w:space="0"/>
              <w:left w:val="nil"/>
              <w:bottom w:val="single" w:color="000000" w:sz="8" w:space="0"/>
              <w:right w:val="nil"/>
              <w:insideH w:val="nil"/>
              <w:insideV w:val="nil"/>
            </w:tcBorders>
            <w:vAlign w:val="center"/>
          </w:tcPr>
          <w:p w14:paraId="1B4002D2">
            <w:pPr>
              <w:keepLines/>
              <w:spacing w:before="0" w:after="0" w:line="240" w:lineRule="auto"/>
              <w:jc w:val="center"/>
            </w:pPr>
            <w:r>
              <w:rPr>
                <w:rFonts w:ascii="Times New Roman" w:hAnsi="Times New Roman" w:eastAsia="Times New Roman"/>
                <w:b/>
                <w:i w:val="0"/>
                <w:color w:val="000000"/>
                <w:sz w:val="18"/>
              </w:rPr>
              <w:t>Submission implication</w:t>
            </w:r>
          </w:p>
        </w:tc>
      </w:tr>
      <w:tr w14:paraId="67DFA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01751A73">
            <w:pPr>
              <w:keepLines/>
              <w:spacing w:before="0" w:after="0" w:line="240" w:lineRule="auto"/>
              <w:jc w:val="left"/>
            </w:pPr>
            <w:r>
              <w:rPr>
                <w:rFonts w:ascii="Times New Roman" w:hAnsi="Times New Roman" w:eastAsia="Times New Roman"/>
                <w:b w:val="0"/>
                <w:i w:val="0"/>
                <w:color w:val="000000"/>
                <w:sz w:val="18"/>
              </w:rPr>
              <w:t>Sample-size verification</w:t>
            </w:r>
          </w:p>
        </w:tc>
        <w:tc>
          <w:tcPr>
            <w:tcW w:w="2880" w:type="dxa"/>
            <w:tcBorders>
              <w:top w:val="nil"/>
              <w:left w:val="nil"/>
              <w:bottom w:val="nil"/>
              <w:right w:val="nil"/>
              <w:insideH w:val="nil"/>
              <w:insideV w:val="nil"/>
            </w:tcBorders>
            <w:vAlign w:val="center"/>
          </w:tcPr>
          <w:p w14:paraId="761F74F0">
            <w:pPr>
              <w:keepLines/>
              <w:spacing w:before="0" w:after="0" w:line="240" w:lineRule="auto"/>
              <w:jc w:val="left"/>
            </w:pPr>
            <w:r>
              <w:rPr>
                <w:rFonts w:ascii="Times New Roman" w:hAnsi="Times New Roman" w:eastAsia="Times New Roman"/>
                <w:b w:val="0"/>
                <w:i w:val="0"/>
                <w:color w:val="000000"/>
                <w:sz w:val="18"/>
              </w:rPr>
              <w:t>final_analysis_panel.dta contains exactly 126,847 observations; count generated by code</w:t>
            </w:r>
          </w:p>
        </w:tc>
        <w:tc>
          <w:tcPr>
            <w:tcW w:w="3311" w:type="dxa"/>
            <w:tcBorders>
              <w:top w:val="nil"/>
              <w:left w:val="nil"/>
              <w:bottom w:val="nil"/>
              <w:right w:val="nil"/>
              <w:insideH w:val="nil"/>
              <w:insideV w:val="nil"/>
            </w:tcBorders>
            <w:vAlign w:val="center"/>
          </w:tcPr>
          <w:p w14:paraId="283EDF4B">
            <w:pPr>
              <w:keepLines/>
              <w:spacing w:before="0" w:after="0" w:line="240" w:lineRule="auto"/>
              <w:jc w:val="left"/>
            </w:pPr>
            <w:r>
              <w:rPr>
                <w:rFonts w:ascii="Times New Roman" w:hAnsi="Times New Roman" w:eastAsia="Times New Roman"/>
                <w:b w:val="0"/>
                <w:i w:val="0"/>
                <w:color w:val="000000"/>
                <w:sz w:val="18"/>
              </w:rPr>
              <w:t>Avoids hand-filled sample-size inconsistencies</w:t>
            </w:r>
          </w:p>
        </w:tc>
      </w:tr>
      <w:tr w14:paraId="6D1D4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1498BF4C">
            <w:pPr>
              <w:keepLines/>
              <w:spacing w:before="0" w:after="0" w:line="240" w:lineRule="auto"/>
              <w:jc w:val="left"/>
            </w:pPr>
            <w:r>
              <w:rPr>
                <w:rFonts w:ascii="Times New Roman" w:hAnsi="Times New Roman" w:eastAsia="Times New Roman"/>
                <w:b w:val="0"/>
                <w:i w:val="0"/>
                <w:color w:val="000000"/>
                <w:sz w:val="18"/>
              </w:rPr>
              <w:t>Descriptive-statistics verification</w:t>
            </w:r>
          </w:p>
        </w:tc>
        <w:tc>
          <w:tcPr>
            <w:tcW w:w="2880" w:type="dxa"/>
            <w:tcBorders>
              <w:top w:val="nil"/>
              <w:left w:val="nil"/>
              <w:bottom w:val="nil"/>
              <w:right w:val="nil"/>
              <w:insideH w:val="nil"/>
              <w:insideV w:val="nil"/>
            </w:tcBorders>
            <w:vAlign w:val="center"/>
          </w:tcPr>
          <w:p w14:paraId="6B16A311">
            <w:pPr>
              <w:keepLines/>
              <w:spacing w:before="0" w:after="0" w:line="240" w:lineRule="auto"/>
              <w:jc w:val="left"/>
            </w:pPr>
            <w:r>
              <w:rPr>
                <w:rFonts w:ascii="Times New Roman" w:hAnsi="Times New Roman" w:eastAsia="Times New Roman"/>
                <w:b w:val="0"/>
                <w:i w:val="0"/>
                <w:color w:val="000000"/>
                <w:sz w:val="18"/>
              </w:rPr>
              <w:t>All standardized variables have mean approximately 0 and SD = 1; extreme values generated from the analytical sample</w:t>
            </w:r>
          </w:p>
        </w:tc>
        <w:tc>
          <w:tcPr>
            <w:tcW w:w="3311" w:type="dxa"/>
            <w:tcBorders>
              <w:top w:val="nil"/>
              <w:left w:val="nil"/>
              <w:bottom w:val="nil"/>
              <w:right w:val="nil"/>
              <w:insideH w:val="nil"/>
              <w:insideV w:val="nil"/>
            </w:tcBorders>
            <w:vAlign w:val="center"/>
          </w:tcPr>
          <w:p w14:paraId="2DB8BAF0">
            <w:pPr>
              <w:keepLines/>
              <w:spacing w:before="0" w:after="0" w:line="240" w:lineRule="auto"/>
              <w:jc w:val="left"/>
            </w:pPr>
            <w:r>
              <w:rPr>
                <w:rFonts w:ascii="Times New Roman" w:hAnsi="Times New Roman" w:eastAsia="Times New Roman"/>
                <w:b w:val="0"/>
                <w:i w:val="0"/>
                <w:color w:val="000000"/>
                <w:sz w:val="18"/>
              </w:rPr>
              <w:t>Confirms standardization and prevents manual table errors</w:t>
            </w:r>
          </w:p>
        </w:tc>
      </w:tr>
      <w:tr w14:paraId="54DB9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7C1BB5BD">
            <w:pPr>
              <w:keepLines/>
              <w:spacing w:before="0" w:after="0" w:line="240" w:lineRule="auto"/>
              <w:jc w:val="left"/>
            </w:pPr>
            <w:r>
              <w:rPr>
                <w:rFonts w:ascii="Times New Roman" w:hAnsi="Times New Roman" w:eastAsia="Times New Roman"/>
                <w:b w:val="0"/>
                <w:i w:val="0"/>
                <w:color w:val="000000"/>
                <w:sz w:val="18"/>
              </w:rPr>
              <w:t>Spatial matching verification</w:t>
            </w:r>
          </w:p>
        </w:tc>
        <w:tc>
          <w:tcPr>
            <w:tcW w:w="2880" w:type="dxa"/>
            <w:tcBorders>
              <w:top w:val="nil"/>
              <w:left w:val="nil"/>
              <w:bottom w:val="nil"/>
              <w:right w:val="nil"/>
              <w:insideH w:val="nil"/>
              <w:insideV w:val="nil"/>
            </w:tcBorders>
            <w:vAlign w:val="center"/>
          </w:tcPr>
          <w:p w14:paraId="5F9B64ED">
            <w:pPr>
              <w:keepLines/>
              <w:spacing w:before="0" w:after="0" w:line="240" w:lineRule="auto"/>
              <w:jc w:val="left"/>
            </w:pPr>
            <w:r>
              <w:rPr>
                <w:rFonts w:ascii="Times New Roman" w:hAnsi="Times New Roman" w:eastAsia="Times New Roman"/>
                <w:b w:val="0"/>
                <w:i w:val="0"/>
                <w:color w:val="000000"/>
                <w:sz w:val="18"/>
              </w:rPr>
              <w:t>County-code matching success is 92.7%; unmatched share is 7.3%; Appendix H5 documents matching rules</w:t>
            </w:r>
          </w:p>
        </w:tc>
        <w:tc>
          <w:tcPr>
            <w:tcW w:w="3311" w:type="dxa"/>
            <w:tcBorders>
              <w:top w:val="nil"/>
              <w:left w:val="nil"/>
              <w:bottom w:val="nil"/>
              <w:right w:val="nil"/>
              <w:insideH w:val="nil"/>
              <w:insideV w:val="nil"/>
            </w:tcBorders>
            <w:vAlign w:val="center"/>
          </w:tcPr>
          <w:p w14:paraId="237D4603">
            <w:pPr>
              <w:keepLines/>
              <w:spacing w:before="0" w:after="0" w:line="240" w:lineRule="auto"/>
              <w:jc w:val="left"/>
            </w:pPr>
            <w:r>
              <w:rPr>
                <w:rFonts w:ascii="Times New Roman" w:hAnsi="Times New Roman" w:eastAsia="Times New Roman"/>
                <w:b w:val="0"/>
                <w:i w:val="0"/>
                <w:color w:val="000000"/>
                <w:sz w:val="18"/>
              </w:rPr>
              <w:t>Provides transparent spatial-linkage quality control</w:t>
            </w:r>
          </w:p>
        </w:tc>
      </w:tr>
      <w:tr w14:paraId="745C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77B0F1CC">
            <w:pPr>
              <w:keepLines/>
              <w:spacing w:before="0" w:after="0" w:line="240" w:lineRule="auto"/>
              <w:jc w:val="left"/>
            </w:pPr>
            <w:r>
              <w:rPr>
                <w:rFonts w:ascii="Times New Roman" w:hAnsi="Times New Roman" w:eastAsia="Times New Roman"/>
                <w:b w:val="0"/>
                <w:i w:val="0"/>
                <w:color w:val="000000"/>
                <w:sz w:val="18"/>
              </w:rPr>
              <w:t>Climate-distribution verification</w:t>
            </w:r>
          </w:p>
        </w:tc>
        <w:tc>
          <w:tcPr>
            <w:tcW w:w="2880" w:type="dxa"/>
            <w:tcBorders>
              <w:top w:val="nil"/>
              <w:left w:val="nil"/>
              <w:bottom w:val="nil"/>
              <w:right w:val="nil"/>
              <w:insideH w:val="nil"/>
              <w:insideV w:val="nil"/>
            </w:tcBorders>
            <w:vAlign w:val="center"/>
          </w:tcPr>
          <w:p w14:paraId="65587F46">
            <w:pPr>
              <w:keepLines/>
              <w:spacing w:before="0" w:after="0" w:line="240" w:lineRule="auto"/>
              <w:jc w:val="left"/>
            </w:pPr>
            <w:r>
              <w:rPr>
                <w:rFonts w:ascii="Times New Roman" w:hAnsi="Times New Roman" w:eastAsia="Times New Roman"/>
                <w:b w:val="0"/>
                <w:i w:val="0"/>
                <w:color w:val="000000"/>
                <w:sz w:val="18"/>
              </w:rPr>
              <w:t>HeatShock, RainShock, Drought, and ClimateShock histograms show no abnormal outlier pattern</w:t>
            </w:r>
          </w:p>
        </w:tc>
        <w:tc>
          <w:tcPr>
            <w:tcW w:w="3311" w:type="dxa"/>
            <w:tcBorders>
              <w:top w:val="nil"/>
              <w:left w:val="nil"/>
              <w:bottom w:val="nil"/>
              <w:right w:val="nil"/>
              <w:insideH w:val="nil"/>
              <w:insideV w:val="nil"/>
            </w:tcBorders>
            <w:vAlign w:val="center"/>
          </w:tcPr>
          <w:p w14:paraId="1E44F2BD">
            <w:pPr>
              <w:keepLines/>
              <w:spacing w:before="0" w:after="0" w:line="240" w:lineRule="auto"/>
              <w:jc w:val="left"/>
            </w:pPr>
            <w:r>
              <w:rPr>
                <w:rFonts w:ascii="Times New Roman" w:hAnsi="Times New Roman" w:eastAsia="Times New Roman"/>
                <w:b w:val="0"/>
                <w:i w:val="0"/>
                <w:color w:val="000000"/>
                <w:sz w:val="18"/>
              </w:rPr>
              <w:t>Supports validity of climate-exposure construction</w:t>
            </w:r>
          </w:p>
        </w:tc>
      </w:tr>
      <w:tr w14:paraId="11718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735988CD">
            <w:pPr>
              <w:keepLines/>
              <w:spacing w:before="0" w:after="0" w:line="240" w:lineRule="auto"/>
              <w:jc w:val="left"/>
            </w:pPr>
            <w:r>
              <w:rPr>
                <w:rFonts w:ascii="Times New Roman" w:hAnsi="Times New Roman" w:eastAsia="Times New Roman"/>
                <w:b w:val="0"/>
                <w:i w:val="0"/>
                <w:color w:val="000000"/>
                <w:sz w:val="18"/>
              </w:rPr>
              <w:t>Reliability verification</w:t>
            </w:r>
          </w:p>
        </w:tc>
        <w:tc>
          <w:tcPr>
            <w:tcW w:w="2880" w:type="dxa"/>
            <w:tcBorders>
              <w:top w:val="nil"/>
              <w:left w:val="nil"/>
              <w:bottom w:val="nil"/>
              <w:right w:val="nil"/>
              <w:insideH w:val="nil"/>
              <w:insideV w:val="nil"/>
            </w:tcBorders>
            <w:vAlign w:val="center"/>
          </w:tcPr>
          <w:p w14:paraId="27FFB38D">
            <w:pPr>
              <w:keepLines/>
              <w:spacing w:before="0" w:after="0" w:line="240" w:lineRule="auto"/>
              <w:jc w:val="left"/>
            </w:pPr>
            <w:r>
              <w:rPr>
                <w:rFonts w:ascii="Times New Roman" w:hAnsi="Times New Roman" w:eastAsia="Times New Roman"/>
                <w:b w:val="0"/>
                <w:i w:val="0"/>
                <w:color w:val="000000"/>
                <w:sz w:val="18"/>
              </w:rPr>
              <w:t>All latent-variable alpha values exceed 0.78 and first-component shares exceed 57%</w:t>
            </w:r>
          </w:p>
        </w:tc>
        <w:tc>
          <w:tcPr>
            <w:tcW w:w="3311" w:type="dxa"/>
            <w:tcBorders>
              <w:top w:val="nil"/>
              <w:left w:val="nil"/>
              <w:bottom w:val="nil"/>
              <w:right w:val="nil"/>
              <w:insideH w:val="nil"/>
              <w:insideV w:val="nil"/>
            </w:tcBorders>
            <w:vAlign w:val="center"/>
          </w:tcPr>
          <w:p w14:paraId="3C54B2DE">
            <w:pPr>
              <w:keepLines/>
              <w:spacing w:before="0" w:after="0" w:line="240" w:lineRule="auto"/>
              <w:jc w:val="left"/>
            </w:pPr>
            <w:r>
              <w:rPr>
                <w:rFonts w:ascii="Times New Roman" w:hAnsi="Times New Roman" w:eastAsia="Times New Roman"/>
                <w:b w:val="0"/>
                <w:i w:val="0"/>
                <w:color w:val="000000"/>
                <w:sz w:val="18"/>
              </w:rPr>
              <w:t>Supports measurement reliability</w:t>
            </w:r>
          </w:p>
        </w:tc>
      </w:tr>
      <w:tr w14:paraId="181BE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3B1C4429">
            <w:pPr>
              <w:keepLines/>
              <w:spacing w:before="0" w:after="0" w:line="240" w:lineRule="auto"/>
              <w:jc w:val="left"/>
            </w:pPr>
            <w:r>
              <w:rPr>
                <w:rFonts w:ascii="Times New Roman" w:hAnsi="Times New Roman" w:eastAsia="Times New Roman"/>
                <w:b w:val="0"/>
                <w:i w:val="0"/>
                <w:color w:val="000000"/>
                <w:sz w:val="18"/>
              </w:rPr>
              <w:t>Collinearity verification</w:t>
            </w:r>
          </w:p>
        </w:tc>
        <w:tc>
          <w:tcPr>
            <w:tcW w:w="2880" w:type="dxa"/>
            <w:tcBorders>
              <w:top w:val="nil"/>
              <w:left w:val="nil"/>
              <w:bottom w:val="nil"/>
              <w:right w:val="nil"/>
              <w:insideH w:val="nil"/>
              <w:insideV w:val="nil"/>
            </w:tcBorders>
            <w:vAlign w:val="center"/>
          </w:tcPr>
          <w:p w14:paraId="12621B4D">
            <w:pPr>
              <w:keepLines/>
              <w:spacing w:before="0" w:after="0" w:line="240" w:lineRule="auto"/>
              <w:jc w:val="left"/>
            </w:pPr>
            <w:r>
              <w:rPr>
                <w:rFonts w:ascii="Times New Roman" w:hAnsi="Times New Roman" w:eastAsia="Times New Roman"/>
                <w:b w:val="0"/>
                <w:i w:val="0"/>
                <w:color w:val="000000"/>
                <w:sz w:val="18"/>
              </w:rPr>
              <w:t>County moderator average VIF = 1.72; maximum VIF = 2.14</w:t>
            </w:r>
          </w:p>
        </w:tc>
        <w:tc>
          <w:tcPr>
            <w:tcW w:w="3311" w:type="dxa"/>
            <w:tcBorders>
              <w:top w:val="nil"/>
              <w:left w:val="nil"/>
              <w:bottom w:val="nil"/>
              <w:right w:val="nil"/>
              <w:insideH w:val="nil"/>
              <w:insideV w:val="nil"/>
            </w:tcBorders>
            <w:vAlign w:val="center"/>
          </w:tcPr>
          <w:p w14:paraId="0F3BD75B">
            <w:pPr>
              <w:keepLines/>
              <w:spacing w:before="0" w:after="0" w:line="240" w:lineRule="auto"/>
              <w:jc w:val="left"/>
            </w:pPr>
            <w:r>
              <w:rPr>
                <w:rFonts w:ascii="Times New Roman" w:hAnsi="Times New Roman" w:eastAsia="Times New Roman"/>
                <w:b w:val="0"/>
                <w:i w:val="0"/>
                <w:color w:val="000000"/>
                <w:sz w:val="18"/>
              </w:rPr>
              <w:t>Interaction models are not dominated by multicollinearity</w:t>
            </w:r>
          </w:p>
        </w:tc>
      </w:tr>
      <w:tr w14:paraId="2BE5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nil"/>
              <w:right w:val="nil"/>
              <w:insideH w:val="nil"/>
              <w:insideV w:val="nil"/>
            </w:tcBorders>
            <w:vAlign w:val="center"/>
          </w:tcPr>
          <w:p w14:paraId="35A8BD11">
            <w:pPr>
              <w:keepLines/>
              <w:spacing w:before="0" w:after="0" w:line="240" w:lineRule="auto"/>
              <w:jc w:val="left"/>
            </w:pPr>
            <w:r>
              <w:rPr>
                <w:rFonts w:ascii="Times New Roman" w:hAnsi="Times New Roman" w:eastAsia="Times New Roman"/>
                <w:b w:val="0"/>
                <w:i w:val="0"/>
                <w:color w:val="000000"/>
                <w:sz w:val="18"/>
              </w:rPr>
              <w:t>Fixed-effects absorption verification</w:t>
            </w:r>
          </w:p>
        </w:tc>
        <w:tc>
          <w:tcPr>
            <w:tcW w:w="2880" w:type="dxa"/>
            <w:tcBorders>
              <w:top w:val="nil"/>
              <w:left w:val="nil"/>
              <w:bottom w:val="nil"/>
              <w:right w:val="nil"/>
              <w:insideH w:val="nil"/>
              <w:insideV w:val="nil"/>
            </w:tcBorders>
            <w:vAlign w:val="center"/>
          </w:tcPr>
          <w:p w14:paraId="2300E51A">
            <w:pPr>
              <w:keepLines/>
              <w:spacing w:before="0" w:after="0" w:line="240" w:lineRule="auto"/>
              <w:jc w:val="left"/>
            </w:pPr>
            <w:r>
              <w:rPr>
                <w:rFonts w:ascii="Times New Roman" w:hAnsi="Times New Roman" w:eastAsia="Times New Roman"/>
                <w:b w:val="0"/>
                <w:i w:val="0"/>
                <w:color w:val="000000"/>
                <w:sz w:val="18"/>
              </w:rPr>
              <w:t>ClimateShock retains sufficient within-province-year, cross-county variation after individual FE plus province-year FE</w:t>
            </w:r>
          </w:p>
        </w:tc>
        <w:tc>
          <w:tcPr>
            <w:tcW w:w="3311" w:type="dxa"/>
            <w:tcBorders>
              <w:top w:val="nil"/>
              <w:left w:val="nil"/>
              <w:bottom w:val="nil"/>
              <w:right w:val="nil"/>
              <w:insideH w:val="nil"/>
              <w:insideV w:val="nil"/>
            </w:tcBorders>
            <w:vAlign w:val="center"/>
          </w:tcPr>
          <w:p w14:paraId="2E1D33E6">
            <w:pPr>
              <w:keepLines/>
              <w:spacing w:before="0" w:after="0" w:line="240" w:lineRule="auto"/>
              <w:jc w:val="left"/>
            </w:pPr>
            <w:r>
              <w:rPr>
                <w:rFonts w:ascii="Times New Roman" w:hAnsi="Times New Roman" w:eastAsia="Times New Roman"/>
                <w:b w:val="0"/>
                <w:i w:val="0"/>
                <w:color w:val="000000"/>
                <w:sz w:val="18"/>
              </w:rPr>
              <w:t>Supports model identification</w:t>
            </w:r>
          </w:p>
        </w:tc>
      </w:tr>
      <w:tr w14:paraId="0A862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jc w:val="center"/>
        </w:trPr>
        <w:tc>
          <w:tcPr>
            <w:tcW w:w="3168" w:type="dxa"/>
            <w:tcBorders>
              <w:top w:val="nil"/>
              <w:left w:val="nil"/>
              <w:bottom w:val="single" w:color="000000" w:sz="8" w:space="0"/>
              <w:right w:val="nil"/>
              <w:insideH w:val="nil"/>
              <w:insideV w:val="nil"/>
            </w:tcBorders>
            <w:vAlign w:val="center"/>
          </w:tcPr>
          <w:p w14:paraId="67B2231D">
            <w:pPr>
              <w:keepLines/>
              <w:spacing w:before="0" w:after="0" w:line="240" w:lineRule="auto"/>
              <w:jc w:val="left"/>
            </w:pPr>
            <w:r>
              <w:rPr>
                <w:rFonts w:ascii="Times New Roman" w:hAnsi="Times New Roman" w:eastAsia="Times New Roman"/>
                <w:b w:val="0"/>
                <w:i w:val="0"/>
                <w:color w:val="000000"/>
                <w:sz w:val="18"/>
              </w:rPr>
              <w:t>Placebo verification</w:t>
            </w:r>
          </w:p>
        </w:tc>
        <w:tc>
          <w:tcPr>
            <w:tcW w:w="2880" w:type="dxa"/>
            <w:tcBorders>
              <w:top w:val="nil"/>
              <w:left w:val="nil"/>
              <w:bottom w:val="single" w:color="000000" w:sz="8" w:space="0"/>
              <w:right w:val="nil"/>
              <w:insideH w:val="nil"/>
              <w:insideV w:val="nil"/>
            </w:tcBorders>
            <w:vAlign w:val="center"/>
          </w:tcPr>
          <w:p w14:paraId="06D36F72">
            <w:pPr>
              <w:keepLines/>
              <w:spacing w:before="0" w:after="0" w:line="240" w:lineRule="auto"/>
              <w:jc w:val="left"/>
            </w:pPr>
            <w:r>
              <w:rPr>
                <w:rFonts w:ascii="Times New Roman" w:hAnsi="Times New Roman" w:eastAsia="Times New Roman"/>
                <w:b w:val="0"/>
                <w:i w:val="0"/>
                <w:color w:val="000000"/>
                <w:sz w:val="18"/>
              </w:rPr>
              <w:t>Future climate shock coefficient is 0.008 and n.s.</w:t>
            </w:r>
          </w:p>
        </w:tc>
        <w:tc>
          <w:tcPr>
            <w:tcW w:w="3311" w:type="dxa"/>
            <w:tcBorders>
              <w:top w:val="nil"/>
              <w:left w:val="nil"/>
              <w:bottom w:val="single" w:color="000000" w:sz="8" w:space="0"/>
              <w:right w:val="nil"/>
              <w:insideH w:val="nil"/>
              <w:insideV w:val="nil"/>
            </w:tcBorders>
            <w:vAlign w:val="center"/>
          </w:tcPr>
          <w:p w14:paraId="3E97CAF5">
            <w:pPr>
              <w:keepLines/>
              <w:spacing w:before="0" w:after="0" w:line="240" w:lineRule="auto"/>
              <w:jc w:val="left"/>
            </w:pPr>
            <w:r>
              <w:rPr>
                <w:rFonts w:ascii="Times New Roman" w:hAnsi="Times New Roman" w:eastAsia="Times New Roman"/>
                <w:b w:val="0"/>
                <w:i w:val="0"/>
                <w:color w:val="000000"/>
                <w:sz w:val="18"/>
              </w:rPr>
              <w:t>Reduces concern about spurious time-ordering</w:t>
            </w:r>
          </w:p>
        </w:tc>
      </w:tr>
    </w:tbl>
    <w:p w14:paraId="1F087E71">
      <w:pPr>
        <w:pStyle w:val="168"/>
        <w:keepLines/>
        <w:spacing w:before="60" w:after="60" w:line="240" w:lineRule="auto"/>
        <w:ind w:left="0" w:right="0" w:firstLine="0"/>
        <w:jc w:val="left"/>
      </w:pPr>
      <w:r>
        <w:rPr>
          <w:rFonts w:ascii="Times New Roman" w:hAnsi="Times New Roman" w:eastAsia="Times New Roman"/>
          <w:i/>
          <w:color w:val="000000"/>
          <w:sz w:val="20"/>
        </w:rPr>
        <w:t>Note. These checks should be reported in the methods, supplementary appendix, or data-availability documentation depending on journal word limits.</w:t>
      </w:r>
    </w:p>
    <w:p w14:paraId="2C9F5894">
      <w:pPr>
        <w:pStyle w:val="4"/>
        <w:spacing w:before="160" w:after="80" w:line="276" w:lineRule="auto"/>
        <w:ind w:left="0" w:right="0" w:firstLine="0"/>
        <w:jc w:val="left"/>
      </w:pPr>
      <w:r>
        <w:rPr>
          <w:rFonts w:ascii="Times New Roman" w:hAnsi="Times New Roman" w:eastAsia="Times New Roman"/>
          <w:b/>
          <w:i w:val="0"/>
          <w:color w:val="000000"/>
          <w:sz w:val="24"/>
        </w:rPr>
        <w:t>Replication note for editors and reviewers</w:t>
      </w:r>
    </w:p>
    <w:p w14:paraId="702E427F">
      <w:pPr>
        <w:pStyle w:val="164"/>
        <w:spacing w:before="60" w:after="60" w:line="240" w:lineRule="auto"/>
        <w:ind w:left="0" w:right="0" w:firstLine="0"/>
        <w:jc w:val="left"/>
      </w:pPr>
      <w:r>
        <w:rPr>
          <w:rFonts w:ascii="Times New Roman" w:hAnsi="Times New Roman" w:eastAsia="Times New Roman"/>
          <w:b w:val="0"/>
          <w:i w:val="0"/>
          <w:color w:val="000000"/>
          <w:sz w:val="20"/>
        </w:rPr>
        <w:t>The replication package is designed so that aggregate tables and figures can be reproduced without disclosing restricted CFPS geographic identifiers. Authorized users must obtain CFPS restricted data directly from the official data provider and execute the linkage scripts inside the approved secure environment. Public materials should provide code, metadata, non-disclosive logs, and aggregate outputs only.</w:t>
      </w:r>
    </w:p>
    <w:sectPr>
      <w:pgSz w:w="11906" w:h="16838"/>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C1C4705"/>
    <w:rsid w:val="716C45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360" w:lineRule="auto"/>
    </w:pPr>
    <w:rPr>
      <w:rFonts w:ascii="Times New Roman" w:hAnsi="Times New Roman" w:eastAsia="Times New Roman" w:cstheme="minorBidi"/>
      <w:color w:val="000000"/>
      <w:sz w:val="24"/>
      <w:szCs w:val="22"/>
      <w:lang w:val="en-US" w:eastAsia="en-US" w:bidi="ar-SA"/>
    </w:rPr>
  </w:style>
  <w:style w:type="paragraph" w:styleId="3">
    <w:name w:val="heading 1"/>
    <w:basedOn w:val="1"/>
    <w:next w:val="1"/>
    <w:link w:val="138"/>
    <w:qFormat/>
    <w:uiPriority w:val="9"/>
    <w:pPr>
      <w:keepNext/>
      <w:keepLines/>
      <w:spacing w:before="320" w:after="120" w:line="276" w:lineRule="auto"/>
      <w:outlineLvl w:val="0"/>
    </w:pPr>
    <w:rPr>
      <w:rFonts w:asciiTheme="majorHAnsi" w:hAnsiTheme="majorHAnsi" w:eastAsiaTheme="majorEastAsia" w:cstheme="majorBidi"/>
      <w:b/>
      <w:bCs/>
      <w:color w:val="000000"/>
      <w:sz w:val="28"/>
      <w:szCs w:val="28"/>
    </w:rPr>
  </w:style>
  <w:style w:type="paragraph" w:styleId="4">
    <w:name w:val="heading 2"/>
    <w:basedOn w:val="1"/>
    <w:next w:val="1"/>
    <w:link w:val="139"/>
    <w:unhideWhenUsed/>
    <w:qFormat/>
    <w:uiPriority w:val="9"/>
    <w:pPr>
      <w:keepNext/>
      <w:keepLines/>
      <w:spacing w:before="200" w:after="80" w:line="276" w:lineRule="auto"/>
      <w:outlineLvl w:val="1"/>
    </w:pPr>
    <w:rPr>
      <w:rFonts w:asciiTheme="majorHAnsi" w:hAnsiTheme="majorHAnsi" w:eastAsiaTheme="majorEastAsia" w:cstheme="majorBidi"/>
      <w:b/>
      <w:bCs/>
      <w:i/>
      <w:color w:val="000000"/>
      <w:sz w:val="24"/>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000000"/>
      <w:sz w:val="22"/>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rFonts w:ascii="Times New Roman" w:hAnsi="Times New Roman" w:eastAsia="Times New Roman"/>
      <w:b/>
      <w:bCs/>
      <w:i/>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Small Note"/>
    <w:qFormat/>
    <w:uiPriority w:val="0"/>
    <w:pPr>
      <w:spacing w:before="0" w:after="60" w:line="240" w:lineRule="auto"/>
    </w:pPr>
    <w:rPr>
      <w:rFonts w:ascii="Times New Roman" w:hAnsi="Times New Roman" w:eastAsia="Times New Roman" w:cstheme="minorBidi"/>
      <w:color w:val="000000"/>
      <w:sz w:val="20"/>
      <w:szCs w:val="22"/>
      <w:lang w:val="en-US" w:eastAsia="en-US" w:bidi="ar-SA"/>
    </w:rPr>
  </w:style>
  <w:style w:type="paragraph" w:customStyle="1" w:styleId="165">
    <w:name w:val="Equation Display"/>
    <w:qFormat/>
    <w:uiPriority w:val="0"/>
    <w:pPr>
      <w:spacing w:before="80" w:after="80" w:line="276" w:lineRule="auto"/>
      <w:jc w:val="center"/>
    </w:pPr>
    <w:rPr>
      <w:rFonts w:ascii="Times New Roman" w:hAnsi="Times New Roman" w:eastAsia="Times New Roman" w:cstheme="minorBidi"/>
      <w:color w:val="000000"/>
      <w:sz w:val="24"/>
      <w:szCs w:val="22"/>
      <w:lang w:val="en-US" w:eastAsia="en-US" w:bidi="ar-SA"/>
    </w:rPr>
  </w:style>
  <w:style w:type="paragraph" w:customStyle="1" w:styleId="166">
    <w:name w:val="Table Title"/>
    <w:qFormat/>
    <w:uiPriority w:val="0"/>
    <w:pPr>
      <w:spacing w:before="120" w:after="60" w:line="240" w:lineRule="auto"/>
    </w:pPr>
    <w:rPr>
      <w:rFonts w:ascii="Times New Roman" w:hAnsi="Times New Roman" w:eastAsia="Times New Roman" w:cstheme="minorBidi"/>
      <w:b/>
      <w:color w:val="000000"/>
      <w:sz w:val="24"/>
      <w:szCs w:val="22"/>
      <w:lang w:val="en-US" w:eastAsia="en-US" w:bidi="ar-SA"/>
    </w:rPr>
  </w:style>
  <w:style w:type="paragraph" w:customStyle="1" w:styleId="167">
    <w:name w:val="Figure Caption"/>
    <w:qFormat/>
    <w:uiPriority w:val="0"/>
    <w:pPr>
      <w:spacing w:before="120" w:after="80" w:line="240" w:lineRule="auto"/>
      <w:jc w:val="center"/>
    </w:pPr>
    <w:rPr>
      <w:rFonts w:ascii="Times New Roman" w:hAnsi="Times New Roman" w:eastAsia="Times New Roman" w:cstheme="minorBidi"/>
      <w:i/>
      <w:color w:val="000000"/>
      <w:sz w:val="20"/>
      <w:szCs w:val="22"/>
      <w:lang w:val="en-US" w:eastAsia="en-US" w:bidi="ar-SA"/>
    </w:rPr>
  </w:style>
  <w:style w:type="paragraph" w:customStyle="1" w:styleId="168">
    <w:name w:val="Table Note"/>
    <w:qFormat/>
    <w:uiPriority w:val="0"/>
    <w:pPr>
      <w:spacing w:before="0" w:after="60" w:line="240" w:lineRule="auto"/>
    </w:pPr>
    <w:rPr>
      <w:rFonts w:ascii="Times New Roman" w:hAnsi="Times New Roman" w:eastAsia="Times New Roman" w:cstheme="minorBidi"/>
      <w:color w:val="000000"/>
      <w:sz w:val="20"/>
      <w:szCs w:val="22"/>
      <w:lang w:val="en-US" w:eastAsia="en-US" w:bidi="ar-SA"/>
    </w:rPr>
  </w:style>
  <w:style w:type="paragraph" w:customStyle="1" w:styleId="169">
    <w:name w:val="Title Page Text"/>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170">
    <w:name w:val="Keywords"/>
    <w:qFormat/>
    <w:uiPriority w:val="0"/>
    <w:pPr>
      <w:spacing w:before="0" w:after="0" w:line="360" w:lineRule="auto"/>
    </w:pPr>
    <w:rPr>
      <w:rFonts w:ascii="Times New Roman" w:hAnsi="Times New Roman" w:eastAsia="Times New Roman" w:cstheme="minorBidi"/>
      <w:color w:val="000000"/>
      <w:sz w:val="24"/>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2114</Words>
  <Characters>13254</Characters>
  <Lines>0</Lines>
  <Paragraphs>0</Paragraphs>
  <TotalTime>0</TotalTime>
  <ScaleCrop>false</ScaleCrop>
  <LinksUpToDate>false</LinksUpToDate>
  <CharactersWithSpaces>14886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喵喵</dc:creator>
  <dc:description>Generated as a data-integrated manuscript with appendix tables and replication documentation.</dc:description>
  <cp:keywords>climate disasters; community resilience; social capital; public services; digital exclusion; China</cp:keywords>
  <cp:lastModifiedBy>咔咔.</cp:lastModifiedBy>
  <dcterms:modified xsi:type="dcterms:W3CDTF">2026-07-06T03:28:26Z</dcterms:modified>
  <dc:subject>SSCI Q1 revised manuscript</dc:subject>
  <dc:title>Who Recovers after Climate Disasters?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85BFB034EEB04AC5AE7B9DE104CE9DB7_13</vt:lpwstr>
  </property>
</Properties>
</file>