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E724A">
      <w:pPr>
        <w:pStyle w:val="2"/>
        <w:widowControl/>
        <w:numPr>
          <w:ilvl w:val="0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</w:rPr>
        <w:t>Bioactive Metal-Phenolic Network and Prebiotic Hydrogel Synergize with Mesenchymal stem cell-derived extracellular vesicles for Microenvironment-Modulating Therapy of Inflammatory Bowel Disease</w:t>
      </w:r>
    </w:p>
    <w:p w14:paraId="693AAE90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DE9A382">
      <w:pPr>
        <w:pStyle w:val="2"/>
        <w:numPr>
          <w:ilvl w:val="0"/>
          <w:numId w:val="0"/>
        </w:numPr>
        <w:tabs>
          <w:tab w:val="left" w:pos="0"/>
          <w:tab w:val="clear" w:pos="420"/>
        </w:tabs>
        <w:ind w:leftChars="0"/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lang w:val="en-US" w:eastAsia="zh-CN" w:bidi="ar-SA"/>
          <w14:ligatures w14:val="standardContextual"/>
        </w:rPr>
        <w:t>Supplementary Figures</w:t>
      </w:r>
    </w:p>
    <w:p w14:paraId="2CD8438F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2BF569DC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2480310"/>
            <wp:effectExtent l="0" t="0" r="8255" b="15240"/>
            <wp:docPr id="9" name="图片 9" descr="幻灯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幻灯片1"/>
                    <pic:cNvPicPr>
                      <a:picLocks noChangeAspect="1"/>
                    </pic:cNvPicPr>
                  </pic:nvPicPr>
                  <pic:blipFill>
                    <a:blip r:embed="rId6"/>
                    <a:srcRect t="8253" b="5915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01A4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S1. Cytocompatibility of MV and MPN@MV in RAW264.7 macrophages assessed by CCK-8 assay across the tested MV protein concentrations.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1AD52A9D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B2FD374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338C0AF4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7FC9412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1567815"/>
            <wp:effectExtent l="0" t="0" r="0" b="0"/>
            <wp:docPr id="24" name="图片 24" descr="幻灯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幻灯片2"/>
                    <pic:cNvPicPr>
                      <a:picLocks noChangeAspect="1"/>
                    </pic:cNvPicPr>
                  </pic:nvPicPr>
                  <pic:blipFill>
                    <a:blip r:embed="rId7"/>
                    <a:srcRect t="8286" b="711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E146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S2. Live/Dead staining of RAW264.7 macrophages after treatment with MV or MPN@MV.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7D2DF93C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7F3D39E6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6D10435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26C7EF4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5763260"/>
            <wp:effectExtent l="0" t="0" r="0" b="0"/>
            <wp:docPr id="25" name="图片 25" descr="幻灯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幻灯片3"/>
                    <pic:cNvPicPr>
                      <a:picLocks noChangeAspect="1"/>
                    </pic:cNvPicPr>
                  </pic:nvPicPr>
                  <pic:blipFill>
                    <a:blip r:embed="rId8"/>
                    <a:srcRect t="4114" b="2015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6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3D821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S3. Cellular uptake and quantification of PKH26-labeled MV and MPN@MV by RAW264.7 macrophages under basal and LPS-stimulated conditions.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4B39F112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2B5190DA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58B85D62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6511867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2601595"/>
            <wp:effectExtent l="0" t="0" r="0" b="0"/>
            <wp:docPr id="26" name="图片 26" descr="幻灯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幻灯片4"/>
                    <pic:cNvPicPr>
                      <a:picLocks noChangeAspect="1"/>
                    </pic:cNvPicPr>
                  </pic:nvPicPr>
                  <pic:blipFill>
                    <a:blip r:embed="rId9"/>
                    <a:srcRect t="6459" b="5935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7A226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S4. qRT-PCR analysis of Arg-1 expression in LPS-stimulated RAW264.7 macrophages after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363A846B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C1D0530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2B016FA3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775AC40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2764155"/>
            <wp:effectExtent l="0" t="0" r="0" b="0"/>
            <wp:docPr id="27" name="图片 27" descr="幻灯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幻灯片5"/>
                    <pic:cNvPicPr>
                      <a:picLocks noChangeAspect="1"/>
                    </pic:cNvPicPr>
                  </pic:nvPicPr>
                  <pic:blipFill>
                    <a:blip r:embed="rId10"/>
                    <a:srcRect t="9171" b="5450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ACFE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S5. Representative DCFH-DA fluorescence quantification.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7557B1E2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151A81A4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58C78863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369D291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5742305"/>
            <wp:effectExtent l="0" t="0" r="0" b="0"/>
            <wp:docPr id="28" name="图片 28" descr="幻灯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幻灯片6"/>
                    <pic:cNvPicPr>
                      <a:picLocks noChangeAspect="1"/>
                    </pic:cNvPicPr>
                  </pic:nvPicPr>
                  <pic:blipFill>
                    <a:blip r:embed="rId11"/>
                    <a:srcRect t="3663" b="2087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27E1A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S6. JC-1 staining analysis and quantification of mitochondrial membrane potential in RAW264.7 macrophages after LPS stimulation and treatment with MV or MPN@MV.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01EC90FB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00FD6469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680F5739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2567940"/>
            <wp:effectExtent l="0" t="0" r="0" b="0"/>
            <wp:docPr id="7" name="图片 7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7"/>
                    <pic:cNvPicPr>
                      <a:picLocks noChangeAspect="1"/>
                    </pic:cNvPicPr>
                  </pic:nvPicPr>
                  <pic:blipFill>
                    <a:blip r:embed="rId12"/>
                    <a:srcRect t="10714" b="555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5BDF7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S7. Scanning electron microscopy of the inulin hydrogel before and after MPN@MV encapsulation.</w:t>
      </w:r>
    </w:p>
    <w:p w14:paraId="2266B0C1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44490A6A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2942590"/>
            <wp:effectExtent l="0" t="0" r="0" b="0"/>
            <wp:docPr id="8" name="图片 8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8"/>
                    <pic:cNvPicPr>
                      <a:picLocks noChangeAspect="1"/>
                    </pic:cNvPicPr>
                  </pic:nvPicPr>
                  <pic:blipFill>
                    <a:blip r:embed="rId13"/>
                    <a:srcRect t="7135" b="5419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E4A7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S8. Macroscopic appearance of inulin hydrogel and Inu@MPN@MV hydrogel.</w:t>
      </w:r>
    </w:p>
    <w:p w14:paraId="2C97B117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32B627ED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4100195"/>
            <wp:effectExtent l="0" t="0" r="0" b="0"/>
            <wp:docPr id="10" name="图片 10" descr="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9"/>
                    <pic:cNvPicPr>
                      <a:picLocks noChangeAspect="1"/>
                    </pic:cNvPicPr>
                  </pic:nvPicPr>
                  <pic:blipFill>
                    <a:blip r:embed="rId14"/>
                    <a:srcRect t="8586" b="375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8B83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S9. Injectability/gavage compatibility of Inu@MPN@MV hydrogel.</w:t>
      </w:r>
    </w:p>
    <w:p w14:paraId="532ABCE5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213D9A78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747135"/>
            <wp:effectExtent l="0" t="0" r="0" b="0"/>
            <wp:docPr id="11" name="图片 11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10"/>
                    <pic:cNvPicPr>
                      <a:picLocks noChangeAspect="1"/>
                    </pic:cNvPicPr>
                  </pic:nvPicPr>
                  <pic:blipFill>
                    <a:blip r:embed="rId15"/>
                    <a:srcRect t="4898" b="4586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55035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S10. Ex vivo fluorescence imaging of major organs after oral administration. Representative ex vivo fluorescence images of the heart, liver, spleen, lung, and kidney collected at 24 h post-oral administration of Inu@MPN@MV in DSS-induced colitis mice.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 xml:space="preserve">Data are shown as mean ± SD with n = 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>4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.</w:t>
      </w:r>
    </w:p>
    <w:p w14:paraId="797CA06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1789D321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4CD82C20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111500"/>
            <wp:effectExtent l="0" t="0" r="0" b="0"/>
            <wp:docPr id="12" name="图片 12" descr="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11"/>
                    <pic:cNvPicPr>
                      <a:picLocks noChangeAspect="1"/>
                    </pic:cNvPicPr>
                  </pic:nvPicPr>
                  <pic:blipFill>
                    <a:blip r:embed="rId16"/>
                    <a:srcRect t="16263" b="4284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CA5D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S11. Masson's trichrome staining of colon tissues after DSS challenge and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 xml:space="preserve">Data are shown as mean ± SD with n = 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>4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.</w:t>
      </w:r>
    </w:p>
    <w:p w14:paraId="52B2E1FC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1A297C4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62FC262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31A5D1F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710940"/>
            <wp:effectExtent l="0" t="0" r="0" b="0"/>
            <wp:docPr id="29" name="图片 29" descr="幻灯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幻灯片12"/>
                    <pic:cNvPicPr>
                      <a:picLocks noChangeAspect="1"/>
                    </pic:cNvPicPr>
                  </pic:nvPicPr>
                  <pic:blipFill>
                    <a:blip r:embed="rId17"/>
                    <a:srcRect t="12041" b="3919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AAD4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S12. Colon-tissue Arg-1 expression after DSS challenge and oral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006024E4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CDE5A88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55D2D730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9570F8E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141345"/>
            <wp:effectExtent l="0" t="0" r="0" b="0"/>
            <wp:docPr id="30" name="图片 30" descr="幻灯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幻灯片13"/>
                    <pic:cNvPicPr>
                      <a:picLocks noChangeAspect="1"/>
                    </pic:cNvPicPr>
                  </pic:nvPicPr>
                  <pic:blipFill>
                    <a:blip r:embed="rId18"/>
                    <a:srcRect t="14695" b="440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77B5A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S13. CAT activity in colonic tissues from Control, DSS and treatment groups.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3A9C008E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332996AD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24CC4BB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4292600"/>
            <wp:effectExtent l="0" t="0" r="0" b="0"/>
            <wp:docPr id="15" name="图片 15" descr="S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14"/>
                    <pic:cNvPicPr>
                      <a:picLocks noChangeAspect="1"/>
                    </pic:cNvPicPr>
                  </pic:nvPicPr>
                  <pic:blipFill>
                    <a:blip r:embed="rId19"/>
                    <a:srcRect b="4359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CF10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S14. Genus-level phylogenetic tree illustrating microbial taxonomic diversity after DSS challenge and Inu@MPN@MV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01A91EB2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42D481CD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70D2BBED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971925"/>
            <wp:effectExtent l="0" t="0" r="0" b="0"/>
            <wp:docPr id="16" name="图片 16" descr="S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15"/>
                    <pic:cNvPicPr>
                      <a:picLocks noChangeAspect="1"/>
                    </pic:cNvPicPr>
                  </pic:nvPicPr>
                  <pic:blipFill>
                    <a:blip r:embed="rId20"/>
                    <a:srcRect b="4780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83C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S15. Hierarchical clustering heatmaps of gut microbiota composition at phylum and family levels among Control, DSS and Inu@MPN@MV groups.</w:t>
      </w:r>
    </w:p>
    <w:p w14:paraId="41CF2927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4066F39D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0FE97EA9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492500"/>
            <wp:effectExtent l="0" t="0" r="0" b="0"/>
            <wp:docPr id="31" name="图片 31" descr="幻灯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幻灯片16"/>
                    <pic:cNvPicPr>
                      <a:picLocks noChangeAspect="1"/>
                    </pic:cNvPicPr>
                  </pic:nvPicPr>
                  <pic:blipFill>
                    <a:blip r:embed="rId21"/>
                    <a:srcRect t="5357" b="4874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FE1D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S16. Relative abundance of Verrucomicrobiota populations after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365F70DC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0BA8CAE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429BC60F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34B296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524885"/>
            <wp:effectExtent l="0" t="0" r="0" b="0"/>
            <wp:docPr id="32" name="图片 32" descr="幻灯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幻灯片17"/>
                    <pic:cNvPicPr>
                      <a:picLocks noChangeAspect="1"/>
                    </pic:cNvPicPr>
                  </pic:nvPicPr>
                  <pic:blipFill>
                    <a:blip r:embed="rId22"/>
                    <a:srcRect t="3163" b="505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55C35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S17. Alteration of allocholic acid or bile-acid-related metabolites after Inu@MPN@MV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2DBC8A5E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07777BC6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058F054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100E8EE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3246755"/>
            <wp:effectExtent l="0" t="0" r="0" b="0"/>
            <wp:docPr id="33" name="图片 33" descr="幻灯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幻灯片18"/>
                    <pic:cNvPicPr>
                      <a:picLocks noChangeAspect="1"/>
                    </pic:cNvPicPr>
                  </pic:nvPicPr>
                  <pic:blipFill>
                    <a:blip r:embed="rId23"/>
                    <a:srcRect t="3897" b="534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E675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S18. Treatment-associated changes in L-phenylalanine.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 xml:space="preserve">Data are shown as mean ± SD with n = 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>5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.</w:t>
      </w:r>
    </w:p>
    <w:p w14:paraId="66046340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436037B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0C1711B5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5142865"/>
            <wp:effectExtent l="0" t="0" r="0" b="0"/>
            <wp:docPr id="20" name="图片 20" descr="S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19"/>
                    <pic:cNvPicPr>
                      <a:picLocks noChangeAspect="1"/>
                    </pic:cNvPicPr>
                  </pic:nvPicPr>
                  <pic:blipFill>
                    <a:blip r:embed="rId24"/>
                    <a:srcRect t="4656" b="2776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0106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S19. Additional GSEA results showing regulation of AGE-RAGE signaling, fatty-acid metabolism and other metabolism-related pathways after treatment.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 xml:space="preserve">Data are shown as mean ± SD with n = 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>5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.</w:t>
      </w:r>
    </w:p>
    <w:p w14:paraId="319298C8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7227015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0F997B8F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4878705"/>
            <wp:effectExtent l="0" t="0" r="0" b="0"/>
            <wp:docPr id="21" name="图片 21" descr="S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20"/>
                    <pic:cNvPicPr>
                      <a:picLocks noChangeAspect="1"/>
                    </pic:cNvPicPr>
                  </pic:nvPicPr>
                  <pic:blipFill>
                    <a:blip r:embed="rId25"/>
                    <a:srcRect b="3589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02F29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S20. H&amp;E staining of major organs, including heart, liver, spleen, lung and kidney, after repeated oral administration, showing no obvious tissue abnormality in the tested window.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03D81000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59F651F1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2E609F7B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3A31E85C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4800600"/>
            <wp:effectExtent l="0" t="0" r="0" b="0"/>
            <wp:docPr id="34" name="图片 34" descr="幻灯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幻灯片21"/>
                    <pic:cNvPicPr>
                      <a:picLocks noChangeAspect="1"/>
                    </pic:cNvPicPr>
                  </pic:nvPicPr>
                  <pic:blipFill>
                    <a:blip r:embed="rId26"/>
                    <a:srcRect t="4907" b="3200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38ED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S21. Routine hematological analysis after repeated oral administration of the formulations, showing no obvious treatment-related abnormalities.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598998BA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623DC77A">
      <w:p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br w:type="page"/>
      </w:r>
    </w:p>
    <w:p w14:paraId="565D8DC7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78AB1E1F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drawing>
          <wp:inline distT="0" distB="0" distL="114300" distR="114300">
            <wp:extent cx="5268595" cy="4333875"/>
            <wp:effectExtent l="0" t="0" r="0" b="0"/>
            <wp:docPr id="35" name="图片 35" descr="幻灯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幻灯片22"/>
                    <pic:cNvPicPr>
                      <a:picLocks noChangeAspect="1"/>
                    </pic:cNvPicPr>
                  </pic:nvPicPr>
                  <pic:blipFill>
                    <a:blip r:embed="rId27"/>
                    <a:srcRect t="7393" b="3565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A5B7D0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Figure S22. Serum biochemical analysis of hepatic and renal function markers after repeated oral administration, supporting preliminary systemic safety.</w:t>
      </w:r>
      <w:r>
        <w:rPr>
          <w:rFonts w:hint="eastAsia" w:cs="Times New Roman"/>
          <w:kern w:val="0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  <w:t>Data are shown as mean ± SD with n = 3.</w:t>
      </w:r>
    </w:p>
    <w:p w14:paraId="6F8AABF1">
      <w:pPr>
        <w:jc w:val="both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p w14:paraId="1808D09F">
      <w:pPr>
        <w:pStyle w:val="18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480" w:lineRule="auto"/>
        <w:ind w:left="0" w:firstLine="0"/>
        <w:jc w:val="both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 w:bidi="ar-SA"/>
          <w14:ligatures w14:val="standardContextu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AB001"/>
    <w:multiLevelType w:val="multilevel"/>
    <w:tmpl w:val="BBFAB001"/>
    <w:lvl w:ilvl="0" w:tentative="0">
      <w:start w:val="1"/>
      <w:numFmt w:val="decimal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default" w:ascii="黑体" w:hAnsi="黑体" w:eastAsia="黑体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64BDC"/>
    <w:rsid w:val="00424238"/>
    <w:rsid w:val="004C1CD6"/>
    <w:rsid w:val="004F57E2"/>
    <w:rsid w:val="00AB7520"/>
    <w:rsid w:val="06E35D5C"/>
    <w:rsid w:val="15F471BB"/>
    <w:rsid w:val="18E522B9"/>
    <w:rsid w:val="1F607885"/>
    <w:rsid w:val="20497266"/>
    <w:rsid w:val="20ED0B8E"/>
    <w:rsid w:val="377F13C6"/>
    <w:rsid w:val="448C23F3"/>
    <w:rsid w:val="46083BC7"/>
    <w:rsid w:val="49FA0848"/>
    <w:rsid w:val="5FEFD58C"/>
    <w:rsid w:val="60F4167B"/>
    <w:rsid w:val="627322BF"/>
    <w:rsid w:val="6DB1BA1B"/>
    <w:rsid w:val="6F5F0545"/>
    <w:rsid w:val="7E7CFA20"/>
    <w:rsid w:val="7FF3416F"/>
    <w:rsid w:val="8FEE3CD8"/>
    <w:rsid w:val="DCFCBC7D"/>
    <w:rsid w:val="DE77CD93"/>
    <w:rsid w:val="EEFF8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numPr>
        <w:ilvl w:val="0"/>
        <w:numId w:val="1"/>
      </w:numPr>
      <w:tabs>
        <w:tab w:val="left" w:pos="420"/>
        <w:tab w:val="clear" w:pos="0"/>
      </w:tabs>
      <w:spacing w:before="340" w:after="330" w:line="576" w:lineRule="auto"/>
      <w:outlineLvl w:val="0"/>
    </w:pPr>
    <w:rPr>
      <w:rFonts w:eastAsia="黑体" w:asciiTheme="minorHAnsi" w:hAnsiTheme="minorHAnsi"/>
      <w:kern w:val="44"/>
      <w:sz w:val="32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nhideWhenUsed/>
    <w:qFormat/>
    <w:uiPriority w:val="99"/>
  </w:style>
  <w:style w:type="paragraph" w:styleId="12">
    <w:name w:val="Normal (Web)"/>
    <w:basedOn w:val="1"/>
    <w:qFormat/>
    <w:uiPriority w:val="0"/>
    <w:pPr>
      <w:spacing w:beforeAutospacing="1" w:after="0" w:afterAutospacing="1"/>
    </w:pPr>
    <w:rPr>
      <w:rFonts w:cs="Times New Roman"/>
      <w:kern w:val="0"/>
      <w:sz w:val="24"/>
    </w:rPr>
  </w:style>
  <w:style w:type="character" w:styleId="15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rFonts w:eastAsia="黑体" w:asciiTheme="minorHAnsi" w:hAnsiTheme="minorHAnsi"/>
      <w:kern w:val="44"/>
      <w:sz w:val="32"/>
    </w:rPr>
  </w:style>
  <w:style w:type="character" w:customStyle="1" w:styleId="17">
    <w:name w:val="标题 2 字符"/>
    <w:link w:val="3"/>
    <w:qFormat/>
    <w:uiPriority w:val="0"/>
    <w:rPr>
      <w:rFonts w:ascii="Arial" w:hAnsi="Arial" w:eastAsia="黑体"/>
      <w:b/>
      <w:sz w:val="28"/>
    </w:rPr>
  </w:style>
  <w:style w:type="paragraph" w:customStyle="1" w:styleId="18">
    <w:name w:val="书目1"/>
    <w:basedOn w:val="1"/>
    <w:qFormat/>
    <w:uiPriority w:val="0"/>
    <w:pPr>
      <w:tabs>
        <w:tab w:val="left" w:pos="504"/>
      </w:tabs>
      <w:spacing w:line="240" w:lineRule="auto"/>
      <w:ind w:left="504" w:hanging="504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2.tiff"/><Relationship Id="rId26" Type="http://schemas.openxmlformats.org/officeDocument/2006/relationships/image" Target="media/image21.tiff"/><Relationship Id="rId25" Type="http://schemas.openxmlformats.org/officeDocument/2006/relationships/image" Target="media/image20.tiff"/><Relationship Id="rId24" Type="http://schemas.openxmlformats.org/officeDocument/2006/relationships/image" Target="media/image19.tiff"/><Relationship Id="rId23" Type="http://schemas.openxmlformats.org/officeDocument/2006/relationships/image" Target="media/image18.tiff"/><Relationship Id="rId22" Type="http://schemas.openxmlformats.org/officeDocument/2006/relationships/image" Target="media/image17.tiff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364</Words>
  <Characters>2493</Characters>
  <Lines>7877</Lines>
  <Paragraphs>1264</Paragraphs>
  <TotalTime>6</TotalTime>
  <ScaleCrop>false</ScaleCrop>
  <LinksUpToDate>false</LinksUpToDate>
  <CharactersWithSpaces>2834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2026-07-11T07:58:00Z</dcterms:created>
  <dc:creator>林二Plus</dc:creator>
  <cp:lastModifiedBy>林二Plus</cp:lastModifiedBy>
  <dcterms:modified xsi:type="dcterms:W3CDTF">2026-07-23T04:46:57Z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28CB5C952501D7BBDBA45C6AAD0A3CC9_43</vt:lpwstr>
  </property>
  <property fmtid="{D5CDD505-2E9C-101B-9397-08002B2CF9AE}" pid="4" name="KSOTemplateDocerSaveRecord">
    <vt:lpwstr>eyJoZGlkIjoiZmQyZDkyZjdiZTg4MzI3NzMyODhmMTJmODI3NzhiZTEiLCJ1c2VySWQiOiIyMTUwODE2MTAifQ==</vt:lpwstr>
  </property>
  <property fmtid="{D5CDD505-2E9C-101B-9397-08002B2CF9AE}" pid="5" name="ZOTERO_PREF_1">
    <vt:lpwstr>&lt;data data-version="3" zotero-version="9.0.6"&gt;&lt;session id="ozJJJhPT"/&gt;&lt;style id="http://www.zotero.org/styles/process-biochemistry" hasBibliography="1" bibliographyStyleHasBeenSet="1"/&gt;&lt;prefs&gt;&lt;pref name="fieldType" value="Field"/&gt;&lt;/prefs&gt;&lt;/data&gt;</vt:lpwstr>
  </property>
</Properties>
</file>