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2CD57">
      <w:pPr>
        <w:rPr>
          <w:rFonts w:hint="default"/>
        </w:rPr>
      </w:pPr>
      <w:bookmarkStart w:id="15" w:name="_GoBack"/>
      <w:r>
        <w:rPr>
          <w:rFonts w:hint="default" w:ascii="Times New Roman" w:hAnsi="Times New Roman" w:eastAsia="SimSun" w:cs="Times New Roman"/>
          <w:b/>
          <w:bCs/>
          <w:sz w:val="20"/>
          <w:szCs w:val="20"/>
          <w:lang w:val="en-US"/>
        </w:rPr>
        <w:t xml:space="preserve">Hyperparameter Tuning </w:t>
      </w:r>
    </w:p>
    <w:bookmarkEnd w:id="15"/>
    <w:p w14:paraId="70223638">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Tables 7-9 summarize the hyperparameter configurations adopted for the Artificial Neural Network (ANN) models developed for different vessel types. Across all cases, a consistent network architecture with two hidden layers of 64 and 32 neurons was employed, using the ReLU activation function to capture nonlinear relationships, while a linear activation was used at the output layer to support continuous power prediction. Mean Squared Error was selected as the loss function due to its suitability for regression tasks. The models differ primarily in their optimization strategies and training settings: the cargo vessel model utilizes the Adam optimizer with a learning rate of 0.001 and a batch size of 32, whereas the oil tanker and passenger vessel models employ the RMSProp optimizer with adjusted learning rates and batch sizes to improve convergence stability. Early stopping with different patience values was applied to prevent overfitting, and dropout regularization was incorporated to enhance generalization performance. StandardScaler normalization and a fixed random seed were used consistently to ensure numerical stability and reproducibility across all models.</w:t>
      </w:r>
    </w:p>
    <w:p w14:paraId="109DE144">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B86EEB0">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bookmarkStart w:id="0" w:name="_Ref170256122"/>
      <w:r>
        <w:rPr>
          <w:rFonts w:hint="default" w:ascii="Times New Roman" w:hAnsi="Times New Roman" w:cs="Times New Roman"/>
          <w:color w:val="auto"/>
          <w:sz w:val="20"/>
          <w:szCs w:val="20"/>
        </w:rPr>
        <w:t xml:space="preserve">Table </w:t>
      </w:r>
      <w:bookmarkEnd w:id="0"/>
      <w:bookmarkStart w:id="1" w:name="_Toc9019"/>
      <w:r>
        <w:rPr>
          <w:rFonts w:hint="default" w:ascii="Times New Roman" w:hAnsi="Times New Roman" w:cs="Times New Roman"/>
          <w:color w:val="auto"/>
          <w:sz w:val="20"/>
          <w:szCs w:val="20"/>
          <w:lang w:val="en-US"/>
        </w:rPr>
        <w:t>B1</w:t>
      </w:r>
      <w:r>
        <w:rPr>
          <w:rFonts w:hint="default" w:ascii="Times New Roman" w:hAnsi="Times New Roman" w:cs="Times New Roman"/>
          <w:color w:val="auto"/>
          <w:sz w:val="20"/>
          <w:szCs w:val="20"/>
        </w:rPr>
        <w:t>: Hyperparameters of Neural Network (Cargo Vessel)</w:t>
      </w:r>
      <w:bookmarkEnd w:id="1"/>
    </w:p>
    <w:tbl>
      <w:tblPr>
        <w:tblStyle w:val="165"/>
        <w:tblW w:w="4998" w:type="pct"/>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158"/>
        <w:gridCol w:w="3414"/>
      </w:tblGrid>
      <w:tr w14:paraId="05C2564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327FC8F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Hyperparameter(s)</w:t>
            </w:r>
          </w:p>
        </w:tc>
        <w:tc>
          <w:tcPr>
            <w:tcW w:w="1783" w:type="pct"/>
          </w:tcPr>
          <w:p w14:paraId="6B4D0B9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Value</w:t>
            </w:r>
          </w:p>
        </w:tc>
      </w:tr>
      <w:tr w14:paraId="4C4F4FF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0B73D0A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Hidden Layers</w:t>
            </w:r>
          </w:p>
        </w:tc>
        <w:tc>
          <w:tcPr>
            <w:tcW w:w="1783" w:type="pct"/>
          </w:tcPr>
          <w:p w14:paraId="75189D1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[64, 32]</w:t>
            </w:r>
          </w:p>
        </w:tc>
      </w:tr>
      <w:tr w14:paraId="65E7714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19BAF9F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Activation Function</w:t>
            </w:r>
          </w:p>
        </w:tc>
        <w:tc>
          <w:tcPr>
            <w:tcW w:w="1783" w:type="pct"/>
          </w:tcPr>
          <w:p w14:paraId="351446A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ReLU</w:t>
            </w:r>
          </w:p>
        </w:tc>
      </w:tr>
      <w:tr w14:paraId="507EB2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7AF166E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Output Activation</w:t>
            </w:r>
          </w:p>
        </w:tc>
        <w:tc>
          <w:tcPr>
            <w:tcW w:w="1783" w:type="pct"/>
          </w:tcPr>
          <w:p w14:paraId="1A05183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Linear</w:t>
            </w:r>
          </w:p>
        </w:tc>
      </w:tr>
      <w:tr w14:paraId="09A5EAD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278AEFE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Loss Function</w:t>
            </w:r>
          </w:p>
        </w:tc>
        <w:tc>
          <w:tcPr>
            <w:tcW w:w="1783" w:type="pct"/>
          </w:tcPr>
          <w:p w14:paraId="1822C9D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Mean Squared Error</w:t>
            </w:r>
          </w:p>
        </w:tc>
      </w:tr>
      <w:tr w14:paraId="733A36E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3D2DFFC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Optimizer</w:t>
            </w:r>
          </w:p>
        </w:tc>
        <w:tc>
          <w:tcPr>
            <w:tcW w:w="1783" w:type="pct"/>
          </w:tcPr>
          <w:p w14:paraId="28B9994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Adam</w:t>
            </w:r>
          </w:p>
        </w:tc>
      </w:tr>
      <w:tr w14:paraId="24B18AA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1B58E3E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Learning Rate</w:t>
            </w:r>
          </w:p>
        </w:tc>
        <w:tc>
          <w:tcPr>
            <w:tcW w:w="1783" w:type="pct"/>
          </w:tcPr>
          <w:p w14:paraId="3C2CFB4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0.001</w:t>
            </w:r>
          </w:p>
        </w:tc>
      </w:tr>
      <w:tr w14:paraId="2249739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4A20B55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Batch Size</w:t>
            </w:r>
          </w:p>
        </w:tc>
        <w:tc>
          <w:tcPr>
            <w:tcW w:w="1783" w:type="pct"/>
          </w:tcPr>
          <w:p w14:paraId="63D94C1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32</w:t>
            </w:r>
          </w:p>
        </w:tc>
      </w:tr>
      <w:tr w14:paraId="26AD8DC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76E3274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Epochs</w:t>
            </w:r>
          </w:p>
        </w:tc>
        <w:tc>
          <w:tcPr>
            <w:tcW w:w="1783" w:type="pct"/>
          </w:tcPr>
          <w:p w14:paraId="036722C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100</w:t>
            </w:r>
          </w:p>
        </w:tc>
      </w:tr>
      <w:tr w14:paraId="5D9CF48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5007618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Early Stopping</w:t>
            </w:r>
          </w:p>
        </w:tc>
        <w:tc>
          <w:tcPr>
            <w:tcW w:w="1783" w:type="pct"/>
          </w:tcPr>
          <w:p w14:paraId="4634408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Patience = 10</w:t>
            </w:r>
          </w:p>
        </w:tc>
      </w:tr>
      <w:tr w14:paraId="62B93A8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4BB1D86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Dropout Rate</w:t>
            </w:r>
          </w:p>
        </w:tc>
        <w:tc>
          <w:tcPr>
            <w:tcW w:w="1783" w:type="pct"/>
          </w:tcPr>
          <w:p w14:paraId="00C6B92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0.2</w:t>
            </w:r>
          </w:p>
        </w:tc>
      </w:tr>
      <w:tr w14:paraId="144A53B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4F11141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Normalization</w:t>
            </w:r>
          </w:p>
        </w:tc>
        <w:tc>
          <w:tcPr>
            <w:tcW w:w="1783" w:type="pct"/>
          </w:tcPr>
          <w:p w14:paraId="5D3D509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StandardScaler</w:t>
            </w:r>
          </w:p>
        </w:tc>
      </w:tr>
      <w:tr w14:paraId="6979C21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216" w:type="pct"/>
          </w:tcPr>
          <w:p w14:paraId="697A911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Random Seed</w:t>
            </w:r>
          </w:p>
        </w:tc>
        <w:tc>
          <w:tcPr>
            <w:tcW w:w="1783" w:type="pct"/>
          </w:tcPr>
          <w:p w14:paraId="1E1D6A0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42</w:t>
            </w:r>
          </w:p>
        </w:tc>
      </w:tr>
    </w:tbl>
    <w:p w14:paraId="6B25A7B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1EA02B2B">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bookmarkStart w:id="2" w:name="_Ref170256491"/>
      <w:r>
        <w:rPr>
          <w:rFonts w:hint="default" w:ascii="Times New Roman" w:hAnsi="Times New Roman" w:cs="Times New Roman"/>
          <w:color w:val="auto"/>
          <w:sz w:val="20"/>
          <w:szCs w:val="20"/>
        </w:rPr>
        <w:t xml:space="preserve">Table </w:t>
      </w:r>
      <w:bookmarkEnd w:id="2"/>
      <w:bookmarkStart w:id="3" w:name="_Toc26818"/>
      <w:r>
        <w:rPr>
          <w:rFonts w:hint="default" w:ascii="Times New Roman" w:hAnsi="Times New Roman" w:cs="Times New Roman"/>
          <w:color w:val="auto"/>
          <w:sz w:val="20"/>
          <w:szCs w:val="20"/>
          <w:lang w:val="en-US"/>
        </w:rPr>
        <w:t>B2</w:t>
      </w:r>
      <w:r>
        <w:rPr>
          <w:rFonts w:hint="default" w:ascii="Times New Roman" w:hAnsi="Times New Roman" w:cs="Times New Roman"/>
          <w:color w:val="auto"/>
          <w:sz w:val="20"/>
          <w:szCs w:val="20"/>
        </w:rPr>
        <w:t>: Hyperparameters of Neural Network (Oil Tanker)</w:t>
      </w:r>
      <w:bookmarkEnd w:id="3"/>
    </w:p>
    <w:tbl>
      <w:tblPr>
        <w:tblStyle w:val="165"/>
        <w:tblW w:w="4999" w:type="pct"/>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462"/>
        <w:gridCol w:w="3112"/>
      </w:tblGrid>
      <w:tr w14:paraId="4FF800F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386C06F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Hyperparameter(s)</w:t>
            </w:r>
          </w:p>
        </w:tc>
        <w:tc>
          <w:tcPr>
            <w:tcW w:w="1625" w:type="pct"/>
          </w:tcPr>
          <w:p w14:paraId="23535BD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Value</w:t>
            </w:r>
          </w:p>
        </w:tc>
      </w:tr>
      <w:tr w14:paraId="7C84AEA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784A72E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Hidden Layers</w:t>
            </w:r>
          </w:p>
        </w:tc>
        <w:tc>
          <w:tcPr>
            <w:tcW w:w="1625" w:type="pct"/>
          </w:tcPr>
          <w:p w14:paraId="5B26D9F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[64, 32]</w:t>
            </w:r>
          </w:p>
        </w:tc>
      </w:tr>
      <w:tr w14:paraId="4B223DA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092DE37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Activation Function</w:t>
            </w:r>
          </w:p>
        </w:tc>
        <w:tc>
          <w:tcPr>
            <w:tcW w:w="1625" w:type="pct"/>
          </w:tcPr>
          <w:p w14:paraId="407B095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ReLU</w:t>
            </w:r>
          </w:p>
        </w:tc>
      </w:tr>
      <w:tr w14:paraId="50C3BF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7BA3EA7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Output Activation</w:t>
            </w:r>
          </w:p>
        </w:tc>
        <w:tc>
          <w:tcPr>
            <w:tcW w:w="1625" w:type="pct"/>
          </w:tcPr>
          <w:p w14:paraId="5A67877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Linear</w:t>
            </w:r>
          </w:p>
        </w:tc>
      </w:tr>
      <w:tr w14:paraId="2E30071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008B473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Loss Function</w:t>
            </w:r>
          </w:p>
        </w:tc>
        <w:tc>
          <w:tcPr>
            <w:tcW w:w="1625" w:type="pct"/>
          </w:tcPr>
          <w:p w14:paraId="7A37151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Mean Squared Error</w:t>
            </w:r>
          </w:p>
        </w:tc>
      </w:tr>
      <w:tr w14:paraId="148C820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038CE18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Optimizer</w:t>
            </w:r>
          </w:p>
        </w:tc>
        <w:tc>
          <w:tcPr>
            <w:tcW w:w="1625" w:type="pct"/>
          </w:tcPr>
          <w:p w14:paraId="4EB518F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RMSProp</w:t>
            </w:r>
          </w:p>
        </w:tc>
      </w:tr>
      <w:tr w14:paraId="11E3F77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6D65BB8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Learning Rate</w:t>
            </w:r>
          </w:p>
        </w:tc>
        <w:tc>
          <w:tcPr>
            <w:tcW w:w="1625" w:type="pct"/>
          </w:tcPr>
          <w:p w14:paraId="72D9357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0.001</w:t>
            </w:r>
          </w:p>
        </w:tc>
      </w:tr>
      <w:tr w14:paraId="7138E51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7199216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Batch Size</w:t>
            </w:r>
          </w:p>
        </w:tc>
        <w:tc>
          <w:tcPr>
            <w:tcW w:w="1625" w:type="pct"/>
          </w:tcPr>
          <w:p w14:paraId="1AA2C3A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64</w:t>
            </w:r>
          </w:p>
        </w:tc>
      </w:tr>
      <w:tr w14:paraId="09109C2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2EB8794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Epochs</w:t>
            </w:r>
          </w:p>
        </w:tc>
        <w:tc>
          <w:tcPr>
            <w:tcW w:w="1625" w:type="pct"/>
          </w:tcPr>
          <w:p w14:paraId="7611199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100</w:t>
            </w:r>
          </w:p>
        </w:tc>
      </w:tr>
      <w:tr w14:paraId="7917745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5D43C21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Early Stopping</w:t>
            </w:r>
          </w:p>
        </w:tc>
        <w:tc>
          <w:tcPr>
            <w:tcW w:w="1625" w:type="pct"/>
          </w:tcPr>
          <w:p w14:paraId="0B7A979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Patience = 15</w:t>
            </w:r>
          </w:p>
        </w:tc>
      </w:tr>
      <w:tr w14:paraId="6ACC9FD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13D8308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Dropout Rate</w:t>
            </w:r>
          </w:p>
        </w:tc>
        <w:tc>
          <w:tcPr>
            <w:tcW w:w="1625" w:type="pct"/>
          </w:tcPr>
          <w:p w14:paraId="67CAD14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0.2</w:t>
            </w:r>
          </w:p>
        </w:tc>
      </w:tr>
      <w:tr w14:paraId="7E3EB57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471DA4C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Normalization</w:t>
            </w:r>
          </w:p>
        </w:tc>
        <w:tc>
          <w:tcPr>
            <w:tcW w:w="1625" w:type="pct"/>
          </w:tcPr>
          <w:p w14:paraId="5747F2E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StandardScaler</w:t>
            </w:r>
          </w:p>
        </w:tc>
      </w:tr>
      <w:tr w14:paraId="18A786C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46C3F0B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Random Seed</w:t>
            </w:r>
          </w:p>
        </w:tc>
        <w:tc>
          <w:tcPr>
            <w:tcW w:w="1625" w:type="pct"/>
          </w:tcPr>
          <w:p w14:paraId="65F5902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42</w:t>
            </w:r>
          </w:p>
        </w:tc>
      </w:tr>
    </w:tbl>
    <w:p w14:paraId="02C10C1D">
      <w:pPr>
        <w:pStyle w:val="16"/>
        <w:keepNext/>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4B39BB95">
      <w:pPr>
        <w:pStyle w:val="16"/>
        <w:keepNext/>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4" w:name="_Toc14259"/>
      <w:r>
        <w:rPr>
          <w:rFonts w:hint="default" w:ascii="Times New Roman" w:hAnsi="Times New Roman" w:cs="Times New Roman"/>
          <w:color w:val="auto"/>
          <w:sz w:val="20"/>
          <w:szCs w:val="20"/>
          <w:lang w:val="en-US"/>
        </w:rPr>
        <w:t>B3</w:t>
      </w:r>
      <w:r>
        <w:rPr>
          <w:rFonts w:hint="default" w:ascii="Times New Roman" w:hAnsi="Times New Roman" w:cs="Times New Roman"/>
          <w:color w:val="auto"/>
          <w:sz w:val="20"/>
          <w:szCs w:val="20"/>
        </w:rPr>
        <w:t>: Hyperparameters of Neural Network (Passenger Vessel)</w:t>
      </w:r>
      <w:bookmarkEnd w:id="4"/>
    </w:p>
    <w:tbl>
      <w:tblPr>
        <w:tblStyle w:val="165"/>
        <w:tblW w:w="4999" w:type="pct"/>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462"/>
        <w:gridCol w:w="3112"/>
      </w:tblGrid>
      <w:tr w14:paraId="28C2336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15A64E96">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Hyperparameter(s)</w:t>
            </w:r>
          </w:p>
        </w:tc>
        <w:tc>
          <w:tcPr>
            <w:tcW w:w="1625" w:type="pct"/>
          </w:tcPr>
          <w:p w14:paraId="2821839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Value</w:t>
            </w:r>
          </w:p>
        </w:tc>
      </w:tr>
      <w:tr w14:paraId="79A59F5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3D3B3124">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Hidden Layers</w:t>
            </w:r>
          </w:p>
        </w:tc>
        <w:tc>
          <w:tcPr>
            <w:tcW w:w="1625" w:type="pct"/>
          </w:tcPr>
          <w:p w14:paraId="22D8FE6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[64, 32]</w:t>
            </w:r>
          </w:p>
        </w:tc>
      </w:tr>
      <w:tr w14:paraId="391E080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61DDF310">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Activation Function</w:t>
            </w:r>
          </w:p>
        </w:tc>
        <w:tc>
          <w:tcPr>
            <w:tcW w:w="1625" w:type="pct"/>
          </w:tcPr>
          <w:p w14:paraId="1AC2AAC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ReLU</w:t>
            </w:r>
          </w:p>
        </w:tc>
      </w:tr>
      <w:tr w14:paraId="0886EDE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5025F04B">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Output Activation</w:t>
            </w:r>
          </w:p>
        </w:tc>
        <w:tc>
          <w:tcPr>
            <w:tcW w:w="1625" w:type="pct"/>
          </w:tcPr>
          <w:p w14:paraId="5A80569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Linear</w:t>
            </w:r>
          </w:p>
        </w:tc>
      </w:tr>
      <w:tr w14:paraId="797657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3B613A84">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Loss Function</w:t>
            </w:r>
          </w:p>
        </w:tc>
        <w:tc>
          <w:tcPr>
            <w:tcW w:w="1625" w:type="pct"/>
          </w:tcPr>
          <w:p w14:paraId="1C0EA90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Mean Squared Error</w:t>
            </w:r>
          </w:p>
        </w:tc>
      </w:tr>
      <w:tr w14:paraId="1F157F2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4BF6060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Optimizer</w:t>
            </w:r>
          </w:p>
        </w:tc>
        <w:tc>
          <w:tcPr>
            <w:tcW w:w="1625" w:type="pct"/>
          </w:tcPr>
          <w:p w14:paraId="3851397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RMSProp</w:t>
            </w:r>
          </w:p>
        </w:tc>
      </w:tr>
      <w:tr w14:paraId="66F0248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16BC434E">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Learning Rate</w:t>
            </w:r>
          </w:p>
        </w:tc>
        <w:tc>
          <w:tcPr>
            <w:tcW w:w="1625" w:type="pct"/>
          </w:tcPr>
          <w:p w14:paraId="4F6EC10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0.0005</w:t>
            </w:r>
          </w:p>
        </w:tc>
      </w:tr>
      <w:tr w14:paraId="6F0A562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25B51F1D">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Batch Size</w:t>
            </w:r>
          </w:p>
        </w:tc>
        <w:tc>
          <w:tcPr>
            <w:tcW w:w="1625" w:type="pct"/>
          </w:tcPr>
          <w:p w14:paraId="3077627E">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64</w:t>
            </w:r>
          </w:p>
        </w:tc>
      </w:tr>
      <w:tr w14:paraId="17C3A10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7A9758CC">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Epochs</w:t>
            </w:r>
          </w:p>
        </w:tc>
        <w:tc>
          <w:tcPr>
            <w:tcW w:w="1625" w:type="pct"/>
          </w:tcPr>
          <w:p w14:paraId="1B36937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100</w:t>
            </w:r>
          </w:p>
        </w:tc>
      </w:tr>
      <w:tr w14:paraId="67745D3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47058C3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Early Stopping</w:t>
            </w:r>
          </w:p>
        </w:tc>
        <w:tc>
          <w:tcPr>
            <w:tcW w:w="1625" w:type="pct"/>
          </w:tcPr>
          <w:p w14:paraId="3AE111CB">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Patience = 15</w:t>
            </w:r>
          </w:p>
        </w:tc>
      </w:tr>
      <w:tr w14:paraId="22A55EB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76297B0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Dropout Rate</w:t>
            </w:r>
          </w:p>
        </w:tc>
        <w:tc>
          <w:tcPr>
            <w:tcW w:w="1625" w:type="pct"/>
          </w:tcPr>
          <w:p w14:paraId="30615FC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0.3</w:t>
            </w:r>
          </w:p>
        </w:tc>
      </w:tr>
      <w:tr w14:paraId="6D202CD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3D3070F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Normalization</w:t>
            </w:r>
          </w:p>
        </w:tc>
        <w:tc>
          <w:tcPr>
            <w:tcW w:w="1625" w:type="pct"/>
          </w:tcPr>
          <w:p w14:paraId="066BB58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StandardScaler</w:t>
            </w:r>
          </w:p>
        </w:tc>
      </w:tr>
      <w:tr w14:paraId="2D4594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374" w:type="pct"/>
          </w:tcPr>
          <w:p w14:paraId="06665AA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Random Seed</w:t>
            </w:r>
          </w:p>
        </w:tc>
        <w:tc>
          <w:tcPr>
            <w:tcW w:w="1625" w:type="pct"/>
          </w:tcPr>
          <w:p w14:paraId="1FAF907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42</w:t>
            </w:r>
          </w:p>
        </w:tc>
      </w:tr>
    </w:tbl>
    <w:p w14:paraId="4FB0A690">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A064BE1">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Tables 10–12 summarize the optimized hyperparameter configurations used for the Random Forest models developed for cargo vessels, oil tankers, and passenger vessels, respectively. The models employ an ensemble of decision trees with bootstrap aggregation to enhance generalization and reduce overfitting. The number of trees (nestimators) varies across vessel types to balance model accuracy and computational efficiency, reflecting differences in dataset size and complexity. Tree depth and split-related parameters are adjusted to control model complexity, while the use of out-of-bag (OOB) scoring provides an internal estimate of predictive performance. The squared error criterion is adopted for regression accuracy, and parallel processing is enabled to improve computational efficiency. Overall, these configurations ensure robust and reliable prediction performance for each vessel category.</w:t>
      </w:r>
    </w:p>
    <w:p w14:paraId="50AE50E1">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0E99EC14">
      <w:pPr>
        <w:pStyle w:val="16"/>
        <w:keepNext/>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bookmarkStart w:id="5" w:name="_Ref170256171"/>
      <w:r>
        <w:rPr>
          <w:rFonts w:hint="default" w:ascii="Times New Roman" w:hAnsi="Times New Roman" w:cs="Times New Roman"/>
          <w:color w:val="auto"/>
          <w:sz w:val="20"/>
          <w:szCs w:val="20"/>
        </w:rPr>
        <w:t xml:space="preserve">Table </w:t>
      </w:r>
      <w:bookmarkEnd w:id="5"/>
      <w:bookmarkStart w:id="6" w:name="_Toc4473"/>
      <w:r>
        <w:rPr>
          <w:rFonts w:hint="default" w:ascii="Times New Roman" w:hAnsi="Times New Roman" w:cs="Times New Roman"/>
          <w:color w:val="auto"/>
          <w:sz w:val="20"/>
          <w:szCs w:val="20"/>
          <w:lang w:val="en-US"/>
        </w:rPr>
        <w:t>B4</w:t>
      </w:r>
      <w:r>
        <w:rPr>
          <w:rFonts w:hint="default" w:ascii="Times New Roman" w:hAnsi="Times New Roman" w:cs="Times New Roman"/>
          <w:color w:val="auto"/>
          <w:sz w:val="20"/>
          <w:szCs w:val="20"/>
        </w:rPr>
        <w:t>: Hyperparameters of Random Forest (Cargo Vessel)</w:t>
      </w:r>
      <w:bookmarkEnd w:id="6"/>
    </w:p>
    <w:tbl>
      <w:tblPr>
        <w:tblStyle w:val="166"/>
        <w:tblW w:w="4999"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91"/>
        <w:gridCol w:w="3083"/>
      </w:tblGrid>
      <w:tr w14:paraId="5E84E8E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bottom w:val="single" w:color="7E7E7E" w:themeColor="text1" w:themeTint="80" w:sz="4" w:space="0"/>
              <w:insideH w:val="single" w:sz="4" w:space="0"/>
            </w:tcBorders>
          </w:tcPr>
          <w:p w14:paraId="42027FF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1610" w:type="pct"/>
            <w:tcBorders>
              <w:bottom w:val="single" w:color="7E7E7E" w:themeColor="text1" w:themeTint="80" w:sz="4" w:space="0"/>
              <w:insideH w:val="single" w:sz="4" w:space="0"/>
            </w:tcBorders>
          </w:tcPr>
          <w:p w14:paraId="74F462F3">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403A894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2BE7E406">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n_estimators</w:t>
            </w:r>
          </w:p>
        </w:tc>
        <w:tc>
          <w:tcPr>
            <w:tcW w:w="1610" w:type="pct"/>
            <w:tcBorders>
              <w:top w:val="single" w:color="7E7E7E" w:themeColor="text1" w:themeTint="80" w:sz="4" w:space="0"/>
              <w:bottom w:val="single" w:color="7E7E7E" w:themeColor="text1" w:themeTint="80" w:sz="4" w:space="0"/>
            </w:tcBorders>
          </w:tcPr>
          <w:p w14:paraId="7A23888D">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b/>
                <w:bCs/>
                <w:color w:val="auto"/>
                <w:kern w:val="2"/>
                <w:sz w:val="20"/>
                <w:szCs w:val="20"/>
                <w14:ligatures w14:val="none"/>
              </w:rPr>
              <w:t>100</w:t>
            </w:r>
          </w:p>
        </w:tc>
      </w:tr>
      <w:tr w14:paraId="1B33DC3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20B12C9B">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max_depth</w:t>
            </w:r>
          </w:p>
        </w:tc>
        <w:tc>
          <w:tcPr>
            <w:tcW w:w="1610" w:type="pct"/>
          </w:tcPr>
          <w:p w14:paraId="4808F88C">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None</w:t>
            </w:r>
          </w:p>
        </w:tc>
      </w:tr>
      <w:tr w14:paraId="1510C67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2F93FD27">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min_samples_split</w:t>
            </w:r>
          </w:p>
        </w:tc>
        <w:tc>
          <w:tcPr>
            <w:tcW w:w="1610" w:type="pct"/>
            <w:tcBorders>
              <w:top w:val="single" w:color="7E7E7E" w:themeColor="text1" w:themeTint="80" w:sz="4" w:space="0"/>
              <w:bottom w:val="single" w:color="7E7E7E" w:themeColor="text1" w:themeTint="80" w:sz="4" w:space="0"/>
            </w:tcBorders>
          </w:tcPr>
          <w:p w14:paraId="5B638C7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2</w:t>
            </w:r>
          </w:p>
        </w:tc>
      </w:tr>
      <w:tr w14:paraId="5B6073B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3F9B7CA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min_samples_leaf</w:t>
            </w:r>
          </w:p>
        </w:tc>
        <w:tc>
          <w:tcPr>
            <w:tcW w:w="1610" w:type="pct"/>
          </w:tcPr>
          <w:p w14:paraId="4B0A0B4D">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r w14:paraId="0710777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1E453A02">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max_features</w:t>
            </w:r>
          </w:p>
        </w:tc>
        <w:tc>
          <w:tcPr>
            <w:tcW w:w="1610" w:type="pct"/>
            <w:tcBorders>
              <w:top w:val="single" w:color="7E7E7E" w:themeColor="text1" w:themeTint="80" w:sz="4" w:space="0"/>
              <w:bottom w:val="single" w:color="7E7E7E" w:themeColor="text1" w:themeTint="80" w:sz="4" w:space="0"/>
            </w:tcBorders>
          </w:tcPr>
          <w:p w14:paraId="60CF2D79">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'auto'</w:t>
            </w:r>
          </w:p>
        </w:tc>
      </w:tr>
      <w:tr w14:paraId="26E7517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1DC4CBE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bootstrap</w:t>
            </w:r>
          </w:p>
        </w:tc>
        <w:tc>
          <w:tcPr>
            <w:tcW w:w="1610" w:type="pct"/>
          </w:tcPr>
          <w:p w14:paraId="21CF406D">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59D497A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132D211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oob_score</w:t>
            </w:r>
          </w:p>
        </w:tc>
        <w:tc>
          <w:tcPr>
            <w:tcW w:w="1610" w:type="pct"/>
            <w:tcBorders>
              <w:top w:val="single" w:color="7E7E7E" w:themeColor="text1" w:themeTint="80" w:sz="4" w:space="0"/>
              <w:bottom w:val="single" w:color="7E7E7E" w:themeColor="text1" w:themeTint="80" w:sz="4" w:space="0"/>
            </w:tcBorders>
          </w:tcPr>
          <w:p w14:paraId="455B478C">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57BBAC6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4BCBD589">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criterion</w:t>
            </w:r>
          </w:p>
        </w:tc>
        <w:tc>
          <w:tcPr>
            <w:tcW w:w="1610" w:type="pct"/>
          </w:tcPr>
          <w:p w14:paraId="65CBD51D">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'squared_error'</w:t>
            </w:r>
          </w:p>
        </w:tc>
      </w:tr>
      <w:tr w14:paraId="5DAAC03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55D1B05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random_state</w:t>
            </w:r>
          </w:p>
        </w:tc>
        <w:tc>
          <w:tcPr>
            <w:tcW w:w="1610" w:type="pct"/>
            <w:tcBorders>
              <w:top w:val="single" w:color="7E7E7E" w:themeColor="text1" w:themeTint="80" w:sz="4" w:space="0"/>
              <w:bottom w:val="single" w:color="7E7E7E" w:themeColor="text1" w:themeTint="80" w:sz="4" w:space="0"/>
            </w:tcBorders>
          </w:tcPr>
          <w:p w14:paraId="68674AB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42</w:t>
            </w:r>
          </w:p>
        </w:tc>
      </w:tr>
      <w:tr w14:paraId="3970BBE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13D7F8EE">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n_jobs</w:t>
            </w:r>
          </w:p>
        </w:tc>
        <w:tc>
          <w:tcPr>
            <w:tcW w:w="1610" w:type="pct"/>
            <w:tcBorders>
              <w:top w:val="single" w:color="7E7E7E" w:themeColor="text1" w:themeTint="80" w:sz="4" w:space="0"/>
              <w:bottom w:val="single" w:color="7E7E7E" w:themeColor="text1" w:themeTint="80" w:sz="4" w:space="0"/>
            </w:tcBorders>
          </w:tcPr>
          <w:p w14:paraId="5F757E07">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bl>
    <w:p w14:paraId="56DE95D8">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052C2D37">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2820EC33">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7" w:name="_Toc6103"/>
      <w:r>
        <w:rPr>
          <w:rFonts w:hint="default" w:ascii="Times New Roman" w:hAnsi="Times New Roman" w:cs="Times New Roman"/>
          <w:color w:val="auto"/>
          <w:sz w:val="20"/>
          <w:szCs w:val="20"/>
          <w:lang w:val="en-US"/>
        </w:rPr>
        <w:t>B5</w:t>
      </w:r>
      <w:r>
        <w:rPr>
          <w:rFonts w:hint="default" w:ascii="Times New Roman" w:hAnsi="Times New Roman" w:cs="Times New Roman"/>
          <w:color w:val="auto"/>
          <w:sz w:val="20"/>
          <w:szCs w:val="20"/>
        </w:rPr>
        <w:t>: Hyperparameters of Random Forest (Oil Vessel)</w:t>
      </w:r>
      <w:bookmarkEnd w:id="7"/>
    </w:p>
    <w:tbl>
      <w:tblPr>
        <w:tblStyle w:val="166"/>
        <w:tblW w:w="4999"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91"/>
        <w:gridCol w:w="3083"/>
      </w:tblGrid>
      <w:tr w14:paraId="5B95FFB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bottom w:val="single" w:color="7E7E7E" w:themeColor="text1" w:themeTint="80" w:sz="4" w:space="0"/>
              <w:insideH w:val="single" w:sz="4" w:space="0"/>
            </w:tcBorders>
          </w:tcPr>
          <w:p w14:paraId="121232C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1610" w:type="pct"/>
            <w:tcBorders>
              <w:bottom w:val="single" w:color="7E7E7E" w:themeColor="text1" w:themeTint="80" w:sz="4" w:space="0"/>
              <w:insideH w:val="single" w:sz="4" w:space="0"/>
            </w:tcBorders>
          </w:tcPr>
          <w:p w14:paraId="5F33A6E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74A4A07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24802AF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n_estimators</w:t>
            </w:r>
          </w:p>
        </w:tc>
        <w:tc>
          <w:tcPr>
            <w:tcW w:w="1610" w:type="pct"/>
            <w:tcBorders>
              <w:top w:val="single" w:color="7E7E7E" w:themeColor="text1" w:themeTint="80" w:sz="4" w:space="0"/>
              <w:bottom w:val="single" w:color="7E7E7E" w:themeColor="text1" w:themeTint="80" w:sz="4" w:space="0"/>
            </w:tcBorders>
          </w:tcPr>
          <w:p w14:paraId="63FCCF2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b/>
                <w:bCs/>
                <w:color w:val="auto"/>
                <w:kern w:val="2"/>
                <w:sz w:val="20"/>
                <w:szCs w:val="20"/>
                <w14:ligatures w14:val="none"/>
              </w:rPr>
              <w:t>150</w:t>
            </w:r>
          </w:p>
        </w:tc>
      </w:tr>
      <w:tr w14:paraId="3CC81FF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6AAD4BD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max_depth</w:t>
            </w:r>
          </w:p>
        </w:tc>
        <w:tc>
          <w:tcPr>
            <w:tcW w:w="1610" w:type="pct"/>
          </w:tcPr>
          <w:p w14:paraId="1542BFE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None</w:t>
            </w:r>
          </w:p>
        </w:tc>
      </w:tr>
      <w:tr w14:paraId="38BE07E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647EF88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min_samples_split</w:t>
            </w:r>
          </w:p>
        </w:tc>
        <w:tc>
          <w:tcPr>
            <w:tcW w:w="1610" w:type="pct"/>
            <w:tcBorders>
              <w:top w:val="single" w:color="7E7E7E" w:themeColor="text1" w:themeTint="80" w:sz="4" w:space="0"/>
              <w:bottom w:val="single" w:color="7E7E7E" w:themeColor="text1" w:themeTint="80" w:sz="4" w:space="0"/>
            </w:tcBorders>
          </w:tcPr>
          <w:p w14:paraId="761257C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5</w:t>
            </w:r>
          </w:p>
        </w:tc>
      </w:tr>
      <w:tr w14:paraId="612B2E2B">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6D41A23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min_samples_leaf</w:t>
            </w:r>
          </w:p>
        </w:tc>
        <w:tc>
          <w:tcPr>
            <w:tcW w:w="1610" w:type="pct"/>
          </w:tcPr>
          <w:p w14:paraId="09FA44B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r w14:paraId="6372FB8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509713F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max_features</w:t>
            </w:r>
          </w:p>
        </w:tc>
        <w:tc>
          <w:tcPr>
            <w:tcW w:w="1610" w:type="pct"/>
            <w:tcBorders>
              <w:top w:val="single" w:color="7E7E7E" w:themeColor="text1" w:themeTint="80" w:sz="4" w:space="0"/>
              <w:bottom w:val="single" w:color="7E7E7E" w:themeColor="text1" w:themeTint="80" w:sz="4" w:space="0"/>
            </w:tcBorders>
          </w:tcPr>
          <w:p w14:paraId="4EE5DD9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‘sqrt'</w:t>
            </w:r>
          </w:p>
        </w:tc>
      </w:tr>
      <w:tr w14:paraId="2D19852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4D27D4F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bootstrap</w:t>
            </w:r>
          </w:p>
        </w:tc>
        <w:tc>
          <w:tcPr>
            <w:tcW w:w="1610" w:type="pct"/>
          </w:tcPr>
          <w:p w14:paraId="0C22C62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53E5F7B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471572E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oob_score</w:t>
            </w:r>
          </w:p>
        </w:tc>
        <w:tc>
          <w:tcPr>
            <w:tcW w:w="1610" w:type="pct"/>
            <w:tcBorders>
              <w:top w:val="single" w:color="7E7E7E" w:themeColor="text1" w:themeTint="80" w:sz="4" w:space="0"/>
              <w:bottom w:val="single" w:color="7E7E7E" w:themeColor="text1" w:themeTint="80" w:sz="4" w:space="0"/>
            </w:tcBorders>
          </w:tcPr>
          <w:p w14:paraId="1CE68E1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0C25A0C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385C64B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criterion</w:t>
            </w:r>
          </w:p>
        </w:tc>
        <w:tc>
          <w:tcPr>
            <w:tcW w:w="1610" w:type="pct"/>
          </w:tcPr>
          <w:p w14:paraId="4B90C6C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'squared_error'</w:t>
            </w:r>
          </w:p>
        </w:tc>
      </w:tr>
      <w:tr w14:paraId="7D4C2B7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1A958A6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random_state</w:t>
            </w:r>
          </w:p>
        </w:tc>
        <w:tc>
          <w:tcPr>
            <w:tcW w:w="1610" w:type="pct"/>
            <w:tcBorders>
              <w:top w:val="single" w:color="7E7E7E" w:themeColor="text1" w:themeTint="80" w:sz="4" w:space="0"/>
              <w:bottom w:val="single" w:color="7E7E7E" w:themeColor="text1" w:themeTint="80" w:sz="4" w:space="0"/>
            </w:tcBorders>
          </w:tcPr>
          <w:p w14:paraId="75EC177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42</w:t>
            </w:r>
          </w:p>
        </w:tc>
      </w:tr>
      <w:tr w14:paraId="56BE937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6E2C067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n_jobs</w:t>
            </w:r>
          </w:p>
        </w:tc>
        <w:tc>
          <w:tcPr>
            <w:tcW w:w="1610" w:type="pct"/>
            <w:tcBorders>
              <w:top w:val="single" w:color="7E7E7E" w:themeColor="text1" w:themeTint="80" w:sz="4" w:space="0"/>
              <w:bottom w:val="single" w:color="7E7E7E" w:themeColor="text1" w:themeTint="80" w:sz="4" w:space="0"/>
            </w:tcBorders>
          </w:tcPr>
          <w:p w14:paraId="29FFD5E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bl>
    <w:p w14:paraId="6B64B29F">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82C99DE">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8" w:name="_Toc22323"/>
      <w:r>
        <w:rPr>
          <w:rFonts w:hint="default" w:ascii="Times New Roman" w:hAnsi="Times New Roman" w:cs="Times New Roman"/>
          <w:color w:val="auto"/>
          <w:sz w:val="20"/>
          <w:szCs w:val="20"/>
          <w:lang w:val="en-US"/>
        </w:rPr>
        <w:t>B6</w:t>
      </w:r>
      <w:r>
        <w:rPr>
          <w:rFonts w:hint="default" w:ascii="Times New Roman" w:hAnsi="Times New Roman" w:cs="Times New Roman"/>
          <w:color w:val="auto"/>
          <w:sz w:val="20"/>
          <w:szCs w:val="20"/>
        </w:rPr>
        <w:t>: Hyperparameters of Random Forest (Passenger Vessel)</w:t>
      </w:r>
      <w:bookmarkEnd w:id="8"/>
    </w:p>
    <w:tbl>
      <w:tblPr>
        <w:tblStyle w:val="166"/>
        <w:tblW w:w="4999"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91"/>
        <w:gridCol w:w="3083"/>
      </w:tblGrid>
      <w:tr w14:paraId="0278CE9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bottom w:val="single" w:color="7E7E7E" w:themeColor="text1" w:themeTint="80" w:sz="4" w:space="0"/>
              <w:insideH w:val="single" w:sz="4" w:space="0"/>
            </w:tcBorders>
          </w:tcPr>
          <w:p w14:paraId="1217BEB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1610" w:type="pct"/>
            <w:tcBorders>
              <w:bottom w:val="single" w:color="7E7E7E" w:themeColor="text1" w:themeTint="80" w:sz="4" w:space="0"/>
              <w:insideH w:val="single" w:sz="4" w:space="0"/>
            </w:tcBorders>
          </w:tcPr>
          <w:p w14:paraId="33FCC0A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2CFE36B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6F9B637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n_estimators</w:t>
            </w:r>
          </w:p>
        </w:tc>
        <w:tc>
          <w:tcPr>
            <w:tcW w:w="1610" w:type="pct"/>
            <w:tcBorders>
              <w:top w:val="single" w:color="7E7E7E" w:themeColor="text1" w:themeTint="80" w:sz="4" w:space="0"/>
              <w:bottom w:val="single" w:color="7E7E7E" w:themeColor="text1" w:themeTint="80" w:sz="4" w:space="0"/>
            </w:tcBorders>
          </w:tcPr>
          <w:p w14:paraId="3743541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b/>
                <w:bCs/>
                <w:color w:val="auto"/>
                <w:kern w:val="2"/>
                <w:sz w:val="20"/>
                <w:szCs w:val="20"/>
                <w14:ligatures w14:val="none"/>
              </w:rPr>
              <w:t>170</w:t>
            </w:r>
          </w:p>
        </w:tc>
      </w:tr>
      <w:tr w14:paraId="12CBF1F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2F852EE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max_depth</w:t>
            </w:r>
          </w:p>
        </w:tc>
        <w:tc>
          <w:tcPr>
            <w:tcW w:w="1610" w:type="pct"/>
          </w:tcPr>
          <w:p w14:paraId="2365C89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20</w:t>
            </w:r>
          </w:p>
        </w:tc>
      </w:tr>
      <w:tr w14:paraId="02A1D06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350E464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min_samples_split</w:t>
            </w:r>
          </w:p>
        </w:tc>
        <w:tc>
          <w:tcPr>
            <w:tcW w:w="1610" w:type="pct"/>
            <w:tcBorders>
              <w:top w:val="single" w:color="7E7E7E" w:themeColor="text1" w:themeTint="80" w:sz="4" w:space="0"/>
              <w:bottom w:val="single" w:color="7E7E7E" w:themeColor="text1" w:themeTint="80" w:sz="4" w:space="0"/>
            </w:tcBorders>
          </w:tcPr>
          <w:p w14:paraId="7FABF34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Aptos" w:cs="Times New Roman"/>
                <w:color w:val="auto"/>
                <w:kern w:val="2"/>
                <w:sz w:val="20"/>
                <w:szCs w:val="20"/>
                <w14:ligatures w14:val="none"/>
              </w:rPr>
              <w:t>3</w:t>
            </w:r>
          </w:p>
        </w:tc>
      </w:tr>
      <w:tr w14:paraId="2023D85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14C5BE6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min_samples_leaf</w:t>
            </w:r>
          </w:p>
        </w:tc>
        <w:tc>
          <w:tcPr>
            <w:tcW w:w="1610" w:type="pct"/>
          </w:tcPr>
          <w:p w14:paraId="0125BF2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r w14:paraId="5FCA316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1A2F8E4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max_features</w:t>
            </w:r>
          </w:p>
        </w:tc>
        <w:tc>
          <w:tcPr>
            <w:tcW w:w="1610" w:type="pct"/>
            <w:tcBorders>
              <w:top w:val="single" w:color="7E7E7E" w:themeColor="text1" w:themeTint="80" w:sz="4" w:space="0"/>
              <w:bottom w:val="single" w:color="7E7E7E" w:themeColor="text1" w:themeTint="80" w:sz="4" w:space="0"/>
            </w:tcBorders>
          </w:tcPr>
          <w:p w14:paraId="2D70E9E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‘sqrt'</w:t>
            </w:r>
          </w:p>
        </w:tc>
      </w:tr>
      <w:tr w14:paraId="341C3B5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6AD5FC8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bootstrap</w:t>
            </w:r>
          </w:p>
        </w:tc>
        <w:tc>
          <w:tcPr>
            <w:tcW w:w="1610" w:type="pct"/>
          </w:tcPr>
          <w:p w14:paraId="2E45500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383BD60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Borders>
              <w:top w:val="single" w:color="7E7E7E" w:themeColor="text1" w:themeTint="80" w:sz="4" w:space="0"/>
              <w:bottom w:val="single" w:color="7E7E7E" w:themeColor="text1" w:themeTint="80" w:sz="4" w:space="0"/>
            </w:tcBorders>
          </w:tcPr>
          <w:p w14:paraId="3A1C684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oob_score</w:t>
            </w:r>
          </w:p>
        </w:tc>
        <w:tc>
          <w:tcPr>
            <w:tcW w:w="1610" w:type="pct"/>
            <w:tcBorders>
              <w:top w:val="single" w:color="7E7E7E" w:themeColor="text1" w:themeTint="80" w:sz="4" w:space="0"/>
              <w:bottom w:val="single" w:color="7E7E7E" w:themeColor="text1" w:themeTint="80" w:sz="4" w:space="0"/>
            </w:tcBorders>
          </w:tcPr>
          <w:p w14:paraId="6ED9E53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663A45E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89" w:type="pct"/>
          </w:tcPr>
          <w:p w14:paraId="6A8FDE2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criterion</w:t>
            </w:r>
          </w:p>
        </w:tc>
        <w:tc>
          <w:tcPr>
            <w:tcW w:w="1610" w:type="pct"/>
          </w:tcPr>
          <w:p w14:paraId="2C4B77A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'squared_error'</w:t>
            </w:r>
          </w:p>
        </w:tc>
      </w:tr>
      <w:tr w14:paraId="49ACA7E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649912B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random_state</w:t>
            </w:r>
          </w:p>
        </w:tc>
        <w:tc>
          <w:tcPr>
            <w:tcW w:w="1610" w:type="pct"/>
            <w:tcBorders>
              <w:top w:val="single" w:color="7E7E7E" w:themeColor="text1" w:themeTint="80" w:sz="4" w:space="0"/>
              <w:bottom w:val="single" w:color="7E7E7E" w:themeColor="text1" w:themeTint="80" w:sz="4" w:space="0"/>
            </w:tcBorders>
          </w:tcPr>
          <w:p w14:paraId="5F6F3E0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42</w:t>
            </w:r>
          </w:p>
        </w:tc>
      </w:tr>
      <w:tr w14:paraId="60442F5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89" w:type="pct"/>
            <w:tcBorders>
              <w:top w:val="single" w:color="7E7E7E" w:themeColor="text1" w:themeTint="80" w:sz="4" w:space="0"/>
              <w:bottom w:val="single" w:color="7E7E7E" w:themeColor="text1" w:themeTint="80" w:sz="4" w:space="0"/>
            </w:tcBorders>
          </w:tcPr>
          <w:p w14:paraId="7FB23CA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n_jobs</w:t>
            </w:r>
          </w:p>
        </w:tc>
        <w:tc>
          <w:tcPr>
            <w:tcW w:w="1610" w:type="pct"/>
            <w:tcBorders>
              <w:top w:val="single" w:color="7E7E7E" w:themeColor="text1" w:themeTint="80" w:sz="4" w:space="0"/>
              <w:bottom w:val="single" w:color="7E7E7E" w:themeColor="text1" w:themeTint="80" w:sz="4" w:space="0"/>
            </w:tcBorders>
          </w:tcPr>
          <w:p w14:paraId="73CED16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w:t>
            </w:r>
          </w:p>
        </w:tc>
      </w:tr>
    </w:tbl>
    <w:p w14:paraId="4AD5203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4FAEEB24">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Tables </w:t>
      </w:r>
      <w:r>
        <w:rPr>
          <w:rFonts w:hint="default" w:ascii="Times New Roman" w:hAnsi="Times New Roman" w:cs="Times New Roman"/>
          <w:color w:val="auto"/>
          <w:sz w:val="20"/>
          <w:szCs w:val="20"/>
          <w:lang w:val="en-US"/>
        </w:rPr>
        <w:t xml:space="preserve">B7-9 </w:t>
      </w:r>
      <w:r>
        <w:rPr>
          <w:rFonts w:hint="default" w:ascii="Times New Roman" w:hAnsi="Times New Roman" w:cs="Times New Roman"/>
          <w:color w:val="auto"/>
          <w:sz w:val="20"/>
          <w:szCs w:val="20"/>
        </w:rPr>
        <w:t>summarize the optimized hyperparameters used for the Support Vector Regression (SVR) models developed for cargo vessels, oil tankers, and passenger vessels, respectively. Different kernel functions and parameter settings were selected to account for the distinct nonlinear characteristics and data distributions of each vessel type. The radial basis function (RBF) kernel was employed for the cargo vessel model to effectively capture smooth nonlinear relationships, while polynomial kernels were adopted for oil tanker and passenger vessel models to represent more complex interaction effects. The regularization parameter C, epsilon-insensitive loss parameter ϵ\epsilonϵ, and kernel-specific parameters were tuned to balance model accuracy and generalization performance. Appropriate feature scaling techniques were applied for each case to ensure numerical stability and efficient convergence. Overall, the selected hyperparameters reflect a tailored SVR configuration for each vessel category, enabling robust and accurate prediction of engine power across diverse operating conditions.</w:t>
      </w:r>
    </w:p>
    <w:p w14:paraId="15295217">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57EC5E9">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9" w:name="_Toc8278"/>
      <w:r>
        <w:rPr>
          <w:rFonts w:hint="default" w:ascii="Times New Roman" w:hAnsi="Times New Roman" w:cs="Times New Roman"/>
          <w:color w:val="auto"/>
          <w:sz w:val="20"/>
          <w:szCs w:val="20"/>
          <w:lang w:val="en-US"/>
        </w:rPr>
        <w:t>B7</w:t>
      </w:r>
      <w:r>
        <w:rPr>
          <w:rFonts w:hint="default" w:ascii="Times New Roman" w:hAnsi="Times New Roman" w:cs="Times New Roman"/>
          <w:color w:val="auto"/>
          <w:sz w:val="20"/>
          <w:szCs w:val="20"/>
        </w:rPr>
        <w:t>: Hyperparameters of SVR (Cargo Vessel)</w:t>
      </w:r>
      <w:bookmarkEnd w:id="9"/>
    </w:p>
    <w:tbl>
      <w:tblPr>
        <w:tblStyle w:val="166"/>
        <w:tblW w:w="0" w:type="auto"/>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2309"/>
      </w:tblGrid>
      <w:tr w14:paraId="310B58D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bottom w:val="single" w:color="7E7E7E" w:themeColor="text1" w:themeTint="80" w:sz="4" w:space="0"/>
              <w:insideH w:val="single" w:sz="4" w:space="0"/>
            </w:tcBorders>
          </w:tcPr>
          <w:p w14:paraId="4B7B796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2309" w:type="dxa"/>
            <w:tcBorders>
              <w:bottom w:val="single" w:color="7E7E7E" w:themeColor="text1" w:themeTint="80" w:sz="4" w:space="0"/>
              <w:insideH w:val="single" w:sz="4" w:space="0"/>
            </w:tcBorders>
          </w:tcPr>
          <w:p w14:paraId="5AEC29C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5EF058F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1B5CD82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w:t>
            </w:r>
          </w:p>
        </w:tc>
        <w:tc>
          <w:tcPr>
            <w:tcW w:w="2309" w:type="dxa"/>
            <w:tcBorders>
              <w:top w:val="single" w:color="7E7E7E" w:themeColor="text1" w:themeTint="80" w:sz="4" w:space="0"/>
              <w:bottom w:val="single" w:color="7E7E7E" w:themeColor="text1" w:themeTint="80" w:sz="4" w:space="0"/>
            </w:tcBorders>
          </w:tcPr>
          <w:p w14:paraId="53DCF6A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'rbf'</w:t>
            </w:r>
          </w:p>
        </w:tc>
      </w:tr>
      <w:tr w14:paraId="48AA209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4592AB5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w:t>
            </w:r>
          </w:p>
        </w:tc>
        <w:tc>
          <w:tcPr>
            <w:tcW w:w="2309" w:type="dxa"/>
          </w:tcPr>
          <w:p w14:paraId="26C402B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w:t>
            </w:r>
          </w:p>
        </w:tc>
      </w:tr>
      <w:tr w14:paraId="7519893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41B049F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ε (Epsilon)</w:t>
            </w:r>
          </w:p>
        </w:tc>
        <w:tc>
          <w:tcPr>
            <w:tcW w:w="2309" w:type="dxa"/>
            <w:tcBorders>
              <w:top w:val="single" w:color="7E7E7E" w:themeColor="text1" w:themeTint="80" w:sz="4" w:space="0"/>
              <w:bottom w:val="single" w:color="7E7E7E" w:themeColor="text1" w:themeTint="80" w:sz="4" w:space="0"/>
            </w:tcBorders>
          </w:tcPr>
          <w:p w14:paraId="231198A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0.1</w:t>
            </w:r>
          </w:p>
        </w:tc>
      </w:tr>
      <w:tr w14:paraId="2C0A024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6FB2FC2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Gamma</w:t>
            </w:r>
          </w:p>
        </w:tc>
        <w:tc>
          <w:tcPr>
            <w:tcW w:w="2309" w:type="dxa"/>
          </w:tcPr>
          <w:p w14:paraId="4080E62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0.01</w:t>
            </w:r>
          </w:p>
        </w:tc>
      </w:tr>
      <w:tr w14:paraId="7065E48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1705C8F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Degree</w:t>
            </w:r>
          </w:p>
        </w:tc>
        <w:tc>
          <w:tcPr>
            <w:tcW w:w="2309" w:type="dxa"/>
            <w:tcBorders>
              <w:top w:val="single" w:color="7E7E7E" w:themeColor="text1" w:themeTint="80" w:sz="4" w:space="0"/>
              <w:bottom w:val="single" w:color="7E7E7E" w:themeColor="text1" w:themeTint="80" w:sz="4" w:space="0"/>
            </w:tcBorders>
          </w:tcPr>
          <w:p w14:paraId="53FB728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3</w:t>
            </w:r>
          </w:p>
        </w:tc>
      </w:tr>
      <w:tr w14:paraId="7B17490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0FFE264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Shrinking</w:t>
            </w:r>
          </w:p>
        </w:tc>
        <w:tc>
          <w:tcPr>
            <w:tcW w:w="2309" w:type="dxa"/>
          </w:tcPr>
          <w:p w14:paraId="240F540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13E0552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4759DCD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Tolerance (tol)</w:t>
            </w:r>
          </w:p>
        </w:tc>
        <w:tc>
          <w:tcPr>
            <w:tcW w:w="2309" w:type="dxa"/>
            <w:tcBorders>
              <w:top w:val="single" w:color="7E7E7E" w:themeColor="text1" w:themeTint="80" w:sz="4" w:space="0"/>
              <w:bottom w:val="single" w:color="7E7E7E" w:themeColor="text1" w:themeTint="80" w:sz="4" w:space="0"/>
            </w:tcBorders>
          </w:tcPr>
          <w:p w14:paraId="5D795C8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1e-3</w:t>
            </w:r>
          </w:p>
        </w:tc>
      </w:tr>
      <w:tr w14:paraId="2804DE7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202FA16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 Iterations</w:t>
            </w:r>
          </w:p>
        </w:tc>
        <w:tc>
          <w:tcPr>
            <w:tcW w:w="2309" w:type="dxa"/>
          </w:tcPr>
          <w:p w14:paraId="5E4F6C9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1000</w:t>
            </w:r>
          </w:p>
        </w:tc>
      </w:tr>
      <w:tr w14:paraId="536AB3E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5DD6D19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Scaling</w:t>
            </w:r>
          </w:p>
        </w:tc>
        <w:tc>
          <w:tcPr>
            <w:tcW w:w="2309" w:type="dxa"/>
            <w:tcBorders>
              <w:top w:val="single" w:color="7E7E7E" w:themeColor="text1" w:themeTint="80" w:sz="4" w:space="0"/>
              <w:bottom w:val="single" w:color="7E7E7E" w:themeColor="text1" w:themeTint="80" w:sz="4" w:space="0"/>
            </w:tcBorders>
          </w:tcPr>
          <w:p w14:paraId="1532A82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StandardScaler</w:t>
            </w:r>
          </w:p>
        </w:tc>
      </w:tr>
    </w:tbl>
    <w:p w14:paraId="05A77941">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53927AB">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10" w:name="_Toc21796"/>
      <w:r>
        <w:rPr>
          <w:rFonts w:hint="default" w:ascii="Times New Roman" w:hAnsi="Times New Roman" w:cs="Times New Roman"/>
          <w:color w:val="auto"/>
          <w:sz w:val="20"/>
          <w:szCs w:val="20"/>
          <w:lang w:val="en-US"/>
        </w:rPr>
        <w:t>B8</w:t>
      </w:r>
      <w:r>
        <w:rPr>
          <w:rFonts w:hint="default" w:ascii="Times New Roman" w:hAnsi="Times New Roman" w:cs="Times New Roman"/>
          <w:color w:val="auto"/>
          <w:sz w:val="20"/>
          <w:szCs w:val="20"/>
        </w:rPr>
        <w:t>: Hyperparameters of SVR (Oil Tanker)</w:t>
      </w:r>
      <w:bookmarkEnd w:id="10"/>
    </w:p>
    <w:tbl>
      <w:tblPr>
        <w:tblStyle w:val="166"/>
        <w:tblW w:w="0" w:type="auto"/>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2309"/>
      </w:tblGrid>
      <w:tr w14:paraId="41E72C6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bottom w:val="single" w:color="7E7E7E" w:themeColor="text1" w:themeTint="80" w:sz="4" w:space="0"/>
              <w:insideH w:val="single" w:sz="4" w:space="0"/>
            </w:tcBorders>
          </w:tcPr>
          <w:p w14:paraId="5CB3C43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2309" w:type="dxa"/>
            <w:tcBorders>
              <w:bottom w:val="single" w:color="7E7E7E" w:themeColor="text1" w:themeTint="80" w:sz="4" w:space="0"/>
              <w:insideH w:val="single" w:sz="4" w:space="0"/>
            </w:tcBorders>
          </w:tcPr>
          <w:p w14:paraId="777AED1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7D24248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5CA0491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w:t>
            </w:r>
          </w:p>
        </w:tc>
        <w:tc>
          <w:tcPr>
            <w:tcW w:w="2309" w:type="dxa"/>
            <w:tcBorders>
              <w:top w:val="single" w:color="7E7E7E" w:themeColor="text1" w:themeTint="80" w:sz="4" w:space="0"/>
              <w:bottom w:val="single" w:color="7E7E7E" w:themeColor="text1" w:themeTint="80" w:sz="4" w:space="0"/>
            </w:tcBorders>
          </w:tcPr>
          <w:p w14:paraId="0C21862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'poly'</w:t>
            </w:r>
          </w:p>
        </w:tc>
      </w:tr>
      <w:tr w14:paraId="31D9EAB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6E99A51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w:t>
            </w:r>
          </w:p>
        </w:tc>
        <w:tc>
          <w:tcPr>
            <w:tcW w:w="2309" w:type="dxa"/>
          </w:tcPr>
          <w:p w14:paraId="175EFB4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w:t>
            </w:r>
          </w:p>
        </w:tc>
      </w:tr>
      <w:tr w14:paraId="305C5E0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100E633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ε (Epsilon)</w:t>
            </w:r>
          </w:p>
        </w:tc>
        <w:tc>
          <w:tcPr>
            <w:tcW w:w="2309" w:type="dxa"/>
            <w:tcBorders>
              <w:top w:val="single" w:color="7E7E7E" w:themeColor="text1" w:themeTint="80" w:sz="4" w:space="0"/>
              <w:bottom w:val="single" w:color="7E7E7E" w:themeColor="text1" w:themeTint="80" w:sz="4" w:space="0"/>
            </w:tcBorders>
          </w:tcPr>
          <w:p w14:paraId="1301350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0.25</w:t>
            </w:r>
          </w:p>
        </w:tc>
      </w:tr>
      <w:tr w14:paraId="38D4F45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628F2DF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Gamma</w:t>
            </w:r>
          </w:p>
        </w:tc>
        <w:tc>
          <w:tcPr>
            <w:tcW w:w="2309" w:type="dxa"/>
          </w:tcPr>
          <w:p w14:paraId="29E45D1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0.01</w:t>
            </w:r>
          </w:p>
        </w:tc>
      </w:tr>
      <w:tr w14:paraId="50D3B16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5CAE2FB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Degree</w:t>
            </w:r>
          </w:p>
        </w:tc>
        <w:tc>
          <w:tcPr>
            <w:tcW w:w="2309" w:type="dxa"/>
            <w:tcBorders>
              <w:top w:val="single" w:color="7E7E7E" w:themeColor="text1" w:themeTint="80" w:sz="4" w:space="0"/>
              <w:bottom w:val="single" w:color="7E7E7E" w:themeColor="text1" w:themeTint="80" w:sz="4" w:space="0"/>
            </w:tcBorders>
          </w:tcPr>
          <w:p w14:paraId="2168E98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3</w:t>
            </w:r>
          </w:p>
        </w:tc>
      </w:tr>
      <w:tr w14:paraId="2C1F061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644A136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Shrinking</w:t>
            </w:r>
          </w:p>
        </w:tc>
        <w:tc>
          <w:tcPr>
            <w:tcW w:w="2309" w:type="dxa"/>
          </w:tcPr>
          <w:p w14:paraId="08D69BA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6DC8FDD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3D39ED8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Tolerance (tol)</w:t>
            </w:r>
          </w:p>
        </w:tc>
        <w:tc>
          <w:tcPr>
            <w:tcW w:w="2309" w:type="dxa"/>
            <w:tcBorders>
              <w:top w:val="single" w:color="7E7E7E" w:themeColor="text1" w:themeTint="80" w:sz="4" w:space="0"/>
              <w:bottom w:val="single" w:color="7E7E7E" w:themeColor="text1" w:themeTint="80" w:sz="4" w:space="0"/>
            </w:tcBorders>
          </w:tcPr>
          <w:p w14:paraId="72597AC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1e-4</w:t>
            </w:r>
          </w:p>
        </w:tc>
      </w:tr>
      <w:tr w14:paraId="4011E62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52BFD6A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 Iterations</w:t>
            </w:r>
          </w:p>
        </w:tc>
        <w:tc>
          <w:tcPr>
            <w:tcW w:w="2309" w:type="dxa"/>
          </w:tcPr>
          <w:p w14:paraId="2499EC7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1000</w:t>
            </w:r>
          </w:p>
        </w:tc>
      </w:tr>
      <w:tr w14:paraId="74C7201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09B82EB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Scaling</w:t>
            </w:r>
          </w:p>
        </w:tc>
        <w:tc>
          <w:tcPr>
            <w:tcW w:w="2309" w:type="dxa"/>
            <w:tcBorders>
              <w:top w:val="single" w:color="7E7E7E" w:themeColor="text1" w:themeTint="80" w:sz="4" w:space="0"/>
              <w:bottom w:val="single" w:color="7E7E7E" w:themeColor="text1" w:themeTint="80" w:sz="4" w:space="0"/>
            </w:tcBorders>
          </w:tcPr>
          <w:p w14:paraId="79E5825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MinMaxScaler</w:t>
            </w:r>
          </w:p>
        </w:tc>
      </w:tr>
    </w:tbl>
    <w:p w14:paraId="06A03BBA">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162731BB">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SEQ Table \* ARABIC </w:instrText>
      </w:r>
      <w:r>
        <w:rPr>
          <w:rFonts w:hint="default" w:ascii="Times New Roman" w:hAnsi="Times New Roman" w:cs="Times New Roman"/>
          <w:color w:val="auto"/>
          <w:sz w:val="20"/>
          <w:szCs w:val="20"/>
        </w:rPr>
        <w:fldChar w:fldCharType="separate"/>
      </w:r>
      <w:r>
        <w:rPr>
          <w:rFonts w:hint="default" w:ascii="Times New Roman" w:hAnsi="Times New Roman" w:cs="Times New Roman"/>
          <w:color w:val="auto"/>
          <w:sz w:val="20"/>
          <w:szCs w:val="20"/>
        </w:rPr>
        <w:fldChar w:fldCharType="end"/>
      </w:r>
      <w:bookmarkStart w:id="11" w:name="_Toc26644"/>
      <w:r>
        <w:rPr>
          <w:rFonts w:hint="default" w:ascii="Times New Roman" w:hAnsi="Times New Roman" w:cs="Times New Roman"/>
          <w:color w:val="auto"/>
          <w:sz w:val="20"/>
          <w:szCs w:val="20"/>
          <w:lang w:val="en-US"/>
        </w:rPr>
        <w:t>B9</w:t>
      </w:r>
      <w:r>
        <w:rPr>
          <w:rFonts w:hint="default" w:ascii="Times New Roman" w:hAnsi="Times New Roman" w:cs="Times New Roman"/>
          <w:color w:val="auto"/>
          <w:sz w:val="20"/>
          <w:szCs w:val="20"/>
        </w:rPr>
        <w:t>: Hyperparameters of SVR (Passenger Vessel)</w:t>
      </w:r>
      <w:bookmarkEnd w:id="11"/>
    </w:p>
    <w:tbl>
      <w:tblPr>
        <w:tblStyle w:val="166"/>
        <w:tblW w:w="0" w:type="auto"/>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2309"/>
      </w:tblGrid>
      <w:tr w14:paraId="15960EC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bottom w:val="single" w:color="7E7E7E" w:themeColor="text1" w:themeTint="80" w:sz="4" w:space="0"/>
              <w:insideH w:val="single" w:sz="4" w:space="0"/>
            </w:tcBorders>
          </w:tcPr>
          <w:p w14:paraId="78AB93E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2309" w:type="dxa"/>
            <w:tcBorders>
              <w:bottom w:val="single" w:color="7E7E7E" w:themeColor="text1" w:themeTint="80" w:sz="4" w:space="0"/>
              <w:insideH w:val="single" w:sz="4" w:space="0"/>
            </w:tcBorders>
          </w:tcPr>
          <w:p w14:paraId="6955A48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7DBA2BC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38C207E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w:t>
            </w:r>
          </w:p>
        </w:tc>
        <w:tc>
          <w:tcPr>
            <w:tcW w:w="2309" w:type="dxa"/>
            <w:tcBorders>
              <w:top w:val="single" w:color="7E7E7E" w:themeColor="text1" w:themeTint="80" w:sz="4" w:space="0"/>
              <w:bottom w:val="single" w:color="7E7E7E" w:themeColor="text1" w:themeTint="80" w:sz="4" w:space="0"/>
            </w:tcBorders>
          </w:tcPr>
          <w:p w14:paraId="06B58BA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'poly'</w:t>
            </w:r>
          </w:p>
        </w:tc>
      </w:tr>
      <w:tr w14:paraId="1451D84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6A2E430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C</w:t>
            </w:r>
          </w:p>
        </w:tc>
        <w:tc>
          <w:tcPr>
            <w:tcW w:w="2309" w:type="dxa"/>
          </w:tcPr>
          <w:p w14:paraId="0BCEB71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15</w:t>
            </w:r>
          </w:p>
        </w:tc>
      </w:tr>
      <w:tr w14:paraId="57FD18F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22E1D74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ε (Epsilon)</w:t>
            </w:r>
          </w:p>
        </w:tc>
        <w:tc>
          <w:tcPr>
            <w:tcW w:w="2309" w:type="dxa"/>
            <w:tcBorders>
              <w:top w:val="single" w:color="7E7E7E" w:themeColor="text1" w:themeTint="80" w:sz="4" w:space="0"/>
              <w:bottom w:val="single" w:color="7E7E7E" w:themeColor="text1" w:themeTint="80" w:sz="4" w:space="0"/>
            </w:tcBorders>
          </w:tcPr>
          <w:p w14:paraId="4D0BC7C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0.25</w:t>
            </w:r>
          </w:p>
        </w:tc>
      </w:tr>
      <w:tr w14:paraId="053D6F9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23B330CB">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Gamma</w:t>
            </w:r>
          </w:p>
        </w:tc>
        <w:tc>
          <w:tcPr>
            <w:tcW w:w="2309" w:type="dxa"/>
          </w:tcPr>
          <w:p w14:paraId="2C63A1A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0.05</w:t>
            </w:r>
          </w:p>
        </w:tc>
      </w:tr>
      <w:tr w14:paraId="266B200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20EDD6B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Degree</w:t>
            </w:r>
          </w:p>
        </w:tc>
        <w:tc>
          <w:tcPr>
            <w:tcW w:w="2309" w:type="dxa"/>
            <w:tcBorders>
              <w:top w:val="single" w:color="7E7E7E" w:themeColor="text1" w:themeTint="80" w:sz="4" w:space="0"/>
              <w:bottom w:val="single" w:color="7E7E7E" w:themeColor="text1" w:themeTint="80" w:sz="4" w:space="0"/>
            </w:tcBorders>
          </w:tcPr>
          <w:p w14:paraId="5F53A19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3</w:t>
            </w:r>
          </w:p>
        </w:tc>
      </w:tr>
      <w:tr w14:paraId="15DDAF3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76B7B3C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Shrinking</w:t>
            </w:r>
          </w:p>
        </w:tc>
        <w:tc>
          <w:tcPr>
            <w:tcW w:w="2309" w:type="dxa"/>
          </w:tcPr>
          <w:p w14:paraId="0077FAD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False</w:t>
            </w:r>
          </w:p>
        </w:tc>
      </w:tr>
      <w:tr w14:paraId="0BA1383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Borders>
              <w:top w:val="single" w:color="7E7E7E" w:themeColor="text1" w:themeTint="80" w:sz="4" w:space="0"/>
              <w:bottom w:val="single" w:color="7E7E7E" w:themeColor="text1" w:themeTint="80" w:sz="4" w:space="0"/>
            </w:tcBorders>
          </w:tcPr>
          <w:p w14:paraId="7498A16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Tolerance (tol)</w:t>
            </w:r>
          </w:p>
        </w:tc>
        <w:tc>
          <w:tcPr>
            <w:tcW w:w="2309" w:type="dxa"/>
            <w:tcBorders>
              <w:top w:val="single" w:color="7E7E7E" w:themeColor="text1" w:themeTint="80" w:sz="4" w:space="0"/>
              <w:bottom w:val="single" w:color="7E7E7E" w:themeColor="text1" w:themeTint="80" w:sz="4" w:space="0"/>
            </w:tcBorders>
          </w:tcPr>
          <w:p w14:paraId="1E750DD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1e-4</w:t>
            </w:r>
          </w:p>
        </w:tc>
      </w:tr>
      <w:tr w14:paraId="14F509F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4860" w:type="dxa"/>
          </w:tcPr>
          <w:p w14:paraId="42F57B0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Max Iterations</w:t>
            </w:r>
          </w:p>
        </w:tc>
        <w:tc>
          <w:tcPr>
            <w:tcW w:w="2309" w:type="dxa"/>
          </w:tcPr>
          <w:p w14:paraId="5E7DA37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1000</w:t>
            </w:r>
          </w:p>
        </w:tc>
      </w:tr>
      <w:tr w14:paraId="3753DB1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4860" w:type="dxa"/>
            <w:tcBorders>
              <w:top w:val="single" w:color="7E7E7E" w:themeColor="text1" w:themeTint="80" w:sz="4" w:space="0"/>
              <w:bottom w:val="single" w:color="7E7E7E" w:themeColor="text1" w:themeTint="80" w:sz="4" w:space="0"/>
            </w:tcBorders>
          </w:tcPr>
          <w:p w14:paraId="178BF44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Scaling</w:t>
            </w:r>
          </w:p>
        </w:tc>
        <w:tc>
          <w:tcPr>
            <w:tcW w:w="2309" w:type="dxa"/>
            <w:tcBorders>
              <w:top w:val="single" w:color="7E7E7E" w:themeColor="text1" w:themeTint="80" w:sz="4" w:space="0"/>
              <w:bottom w:val="single" w:color="7E7E7E" w:themeColor="text1" w:themeTint="80" w:sz="4" w:space="0"/>
            </w:tcBorders>
          </w:tcPr>
          <w:p w14:paraId="6F269CA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RobustScaler</w:t>
            </w:r>
          </w:p>
        </w:tc>
      </w:tr>
    </w:tbl>
    <w:p w14:paraId="2DF9DC22">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0488FCF2">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Tables </w:t>
      </w:r>
      <w:r>
        <w:rPr>
          <w:rFonts w:hint="default" w:ascii="Times New Roman" w:hAnsi="Times New Roman" w:cs="Times New Roman"/>
          <w:color w:val="auto"/>
          <w:sz w:val="20"/>
          <w:szCs w:val="20"/>
          <w:lang w:val="en-US"/>
        </w:rPr>
        <w:t>B10-12</w:t>
      </w:r>
      <w:r>
        <w:rPr>
          <w:rFonts w:hint="default" w:ascii="Times New Roman" w:hAnsi="Times New Roman" w:cs="Times New Roman"/>
          <w:color w:val="auto"/>
          <w:sz w:val="20"/>
          <w:szCs w:val="20"/>
        </w:rPr>
        <w:t xml:space="preserve"> summarize the hyperparameter configurations used for Gaussian Process Regression (GPR) models developed for cargo vessels, oil tankers, and passenger vessels, respectively. For the cargo vessel case, a combination of Radial Basis Function (RBF) and White kernels was employed to model smooth nonlinear behavior while accounting for observation noise, with hyperparameters optimized using a quasi-Newton optimization scheme. In contrast, the oil tanker and passenger vessel models adopted a more flexible kernel structure by combining Exponential, Matérn (ν = 1/2), and Rational Quadratic kernels, enabling the representation of diverse correlation scales and nonlinear patterns present in these datasets. Linear basis functions and sparse approximation techniques were applied to improve computational efficiency while maintaining prediction accuracy. Input and output normalization were enabled across all cases to enhance numerical stability, and kernel hyperparameters such as variance and length scale were optimized during training. These configurations allow the GPR models to provide accurate predictions along with uncertainty quantification, making them particularly suitable for engineering applications involving limited data and complex nonlinear relationships.</w:t>
      </w:r>
    </w:p>
    <w:p w14:paraId="63C88D8C">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3677E19A">
      <w:pPr>
        <w:pStyle w:val="16"/>
        <w:keepNext/>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SEQ Table \* ARABIC </w:instrText>
      </w:r>
      <w:r>
        <w:rPr>
          <w:rFonts w:hint="default" w:ascii="Times New Roman" w:hAnsi="Times New Roman" w:cs="Times New Roman"/>
          <w:color w:val="auto"/>
          <w:sz w:val="20"/>
          <w:szCs w:val="20"/>
        </w:rPr>
        <w:fldChar w:fldCharType="separate"/>
      </w:r>
      <w:r>
        <w:rPr>
          <w:rFonts w:hint="default" w:ascii="Times New Roman" w:hAnsi="Times New Roman" w:cs="Times New Roman"/>
          <w:color w:val="auto"/>
          <w:sz w:val="20"/>
          <w:szCs w:val="20"/>
        </w:rPr>
        <w:fldChar w:fldCharType="end"/>
      </w:r>
      <w:bookmarkStart w:id="12" w:name="_Toc3191"/>
      <w:r>
        <w:rPr>
          <w:rFonts w:hint="default" w:ascii="Times New Roman" w:hAnsi="Times New Roman" w:cs="Times New Roman"/>
          <w:color w:val="auto"/>
          <w:sz w:val="20"/>
          <w:szCs w:val="20"/>
          <w:lang w:val="en-US"/>
        </w:rPr>
        <w:t>B10</w:t>
      </w:r>
      <w:r>
        <w:rPr>
          <w:rFonts w:hint="default" w:ascii="Times New Roman" w:hAnsi="Times New Roman" w:cs="Times New Roman"/>
          <w:color w:val="auto"/>
          <w:sz w:val="20"/>
          <w:szCs w:val="20"/>
        </w:rPr>
        <w:t>: Hyperparameters of GPR (Cargo Vessel)</w:t>
      </w:r>
      <w:bookmarkEnd w:id="12"/>
    </w:p>
    <w:tbl>
      <w:tblPr>
        <w:tblStyle w:val="166"/>
        <w:tblW w:w="5000"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93"/>
        <w:gridCol w:w="3083"/>
      </w:tblGrid>
      <w:tr w14:paraId="59E1E47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Borders>
              <w:bottom w:val="single" w:color="7E7E7E" w:themeColor="text1" w:themeTint="80" w:sz="4" w:space="0"/>
              <w:insideH w:val="single" w:sz="4" w:space="0"/>
            </w:tcBorders>
          </w:tcPr>
          <w:p w14:paraId="3016AE62">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1610" w:type="pct"/>
            <w:tcBorders>
              <w:bottom w:val="single" w:color="7E7E7E" w:themeColor="text1" w:themeTint="80" w:sz="4" w:space="0"/>
              <w:insideH w:val="single" w:sz="4" w:space="0"/>
            </w:tcBorders>
          </w:tcPr>
          <w:p w14:paraId="712CAC7B">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26D4A27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90" w:type="pct"/>
            <w:tcBorders>
              <w:top w:val="single" w:color="7E7E7E" w:themeColor="text1" w:themeTint="80" w:sz="4" w:space="0"/>
              <w:bottom w:val="single" w:color="7E7E7E" w:themeColor="text1" w:themeTint="80" w:sz="4" w:space="0"/>
            </w:tcBorders>
          </w:tcPr>
          <w:p w14:paraId="4A05A35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w:t>
            </w:r>
          </w:p>
        </w:tc>
        <w:tc>
          <w:tcPr>
            <w:tcW w:w="1610" w:type="pct"/>
            <w:tcBorders>
              <w:top w:val="single" w:color="7E7E7E" w:themeColor="text1" w:themeTint="80" w:sz="4" w:space="0"/>
              <w:bottom w:val="single" w:color="7E7E7E" w:themeColor="text1" w:themeTint="80" w:sz="4" w:space="0"/>
            </w:tcBorders>
          </w:tcPr>
          <w:p w14:paraId="5557DD6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RBF + WhiteKernel</w:t>
            </w:r>
          </w:p>
        </w:tc>
      </w:tr>
      <w:tr w14:paraId="5D181E0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Pr>
          <w:p w14:paraId="466A5D7E">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Length Scale</w:t>
            </w:r>
          </w:p>
        </w:tc>
        <w:tc>
          <w:tcPr>
            <w:tcW w:w="1610" w:type="pct"/>
          </w:tcPr>
          <w:p w14:paraId="79917A92">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w:t>
            </w:r>
          </w:p>
        </w:tc>
      </w:tr>
      <w:tr w14:paraId="0E6C026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Borders>
              <w:top w:val="single" w:color="7E7E7E" w:themeColor="text1" w:themeTint="80" w:sz="4" w:space="0"/>
              <w:bottom w:val="single" w:color="7E7E7E" w:themeColor="text1" w:themeTint="80" w:sz="4" w:space="0"/>
            </w:tcBorders>
          </w:tcPr>
          <w:p w14:paraId="014527CC">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Noise Level</w:t>
            </w:r>
          </w:p>
        </w:tc>
        <w:tc>
          <w:tcPr>
            <w:tcW w:w="1610" w:type="pct"/>
            <w:tcBorders>
              <w:top w:val="single" w:color="7E7E7E" w:themeColor="text1" w:themeTint="80" w:sz="4" w:space="0"/>
              <w:bottom w:val="single" w:color="7E7E7E" w:themeColor="text1" w:themeTint="80" w:sz="4" w:space="0"/>
            </w:tcBorders>
          </w:tcPr>
          <w:p w14:paraId="55147F7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10</w:t>
            </w:r>
            <w:r>
              <w:rPr>
                <w:rFonts w:hint="default" w:ascii="Times New Roman" w:hAnsi="Times New Roman" w:eastAsia="SimSun" w:cs="Times New Roman"/>
                <w:color w:val="auto"/>
                <w:kern w:val="2"/>
                <w:position w:val="12"/>
                <w:sz w:val="20"/>
                <w:szCs w:val="20"/>
                <w:vertAlign w:val="superscript"/>
                <w14:ligatures w14:val="none"/>
              </w:rPr>
              <w:t>−5</w:t>
            </w:r>
          </w:p>
        </w:tc>
      </w:tr>
      <w:tr w14:paraId="4C2D46D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Pr>
          <w:p w14:paraId="60A60C5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Optimizer</w:t>
            </w:r>
          </w:p>
        </w:tc>
        <w:tc>
          <w:tcPr>
            <w:tcW w:w="1610" w:type="pct"/>
          </w:tcPr>
          <w:p w14:paraId="5D34C31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'fmin_l_bfgs_b'</w:t>
            </w:r>
          </w:p>
        </w:tc>
      </w:tr>
      <w:tr w14:paraId="12A91C1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3390" w:type="pct"/>
            <w:tcBorders>
              <w:top w:val="single" w:color="7E7E7E" w:themeColor="text1" w:themeTint="80" w:sz="4" w:space="0"/>
              <w:bottom w:val="single" w:color="7E7E7E" w:themeColor="text1" w:themeTint="80" w:sz="4" w:space="0"/>
            </w:tcBorders>
          </w:tcPr>
          <w:p w14:paraId="00044948">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n_restarts_optimizer</w:t>
            </w:r>
          </w:p>
        </w:tc>
        <w:tc>
          <w:tcPr>
            <w:tcW w:w="1610" w:type="pct"/>
            <w:tcBorders>
              <w:top w:val="single" w:color="7E7E7E" w:themeColor="text1" w:themeTint="80" w:sz="4" w:space="0"/>
              <w:bottom w:val="single" w:color="7E7E7E" w:themeColor="text1" w:themeTint="80" w:sz="4" w:space="0"/>
            </w:tcBorders>
          </w:tcPr>
          <w:p w14:paraId="3F7BFD16">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10</w:t>
            </w:r>
          </w:p>
        </w:tc>
      </w:tr>
      <w:tr w14:paraId="7545E77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Pr>
          <w:p w14:paraId="7CA7AA05">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Alpha</w:t>
            </w:r>
          </w:p>
        </w:tc>
        <w:tc>
          <w:tcPr>
            <w:tcW w:w="1610" w:type="pct"/>
          </w:tcPr>
          <w:p w14:paraId="473271D6">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10</w:t>
            </w:r>
            <w:r>
              <w:rPr>
                <w:rFonts w:hint="default" w:ascii="Times New Roman" w:hAnsi="Times New Roman" w:eastAsia="SimSun" w:cs="Times New Roman"/>
                <w:color w:val="auto"/>
                <w:kern w:val="2"/>
                <w:position w:val="12"/>
                <w:sz w:val="20"/>
                <w:szCs w:val="20"/>
                <w:vertAlign w:val="superscript"/>
                <w14:ligatures w14:val="none"/>
              </w:rPr>
              <w:t>−10</w:t>
            </w:r>
          </w:p>
        </w:tc>
      </w:tr>
      <w:tr w14:paraId="399CD00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Borders>
              <w:top w:val="single" w:color="7E7E7E" w:themeColor="text1" w:themeTint="80" w:sz="4" w:space="0"/>
              <w:bottom w:val="single" w:color="7E7E7E" w:themeColor="text1" w:themeTint="80" w:sz="4" w:space="0"/>
            </w:tcBorders>
          </w:tcPr>
          <w:p w14:paraId="15CEDB4A">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Normalize Y</w:t>
            </w:r>
          </w:p>
        </w:tc>
        <w:tc>
          <w:tcPr>
            <w:tcW w:w="1610" w:type="pct"/>
            <w:tcBorders>
              <w:top w:val="single" w:color="7E7E7E" w:themeColor="text1" w:themeTint="80" w:sz="4" w:space="0"/>
              <w:bottom w:val="single" w:color="7E7E7E" w:themeColor="text1" w:themeTint="80" w:sz="4" w:space="0"/>
            </w:tcBorders>
          </w:tcPr>
          <w:p w14:paraId="3BBF6BF1">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True</w:t>
            </w:r>
          </w:p>
        </w:tc>
      </w:tr>
      <w:tr w14:paraId="49D0EA5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3390" w:type="pct"/>
          </w:tcPr>
          <w:p w14:paraId="4FE536FE">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Random State</w:t>
            </w:r>
          </w:p>
        </w:tc>
        <w:tc>
          <w:tcPr>
            <w:tcW w:w="1610" w:type="pct"/>
          </w:tcPr>
          <w:p w14:paraId="277B8CA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0</w:t>
            </w:r>
          </w:p>
        </w:tc>
      </w:tr>
    </w:tbl>
    <w:p w14:paraId="78E9A550">
      <w:pPr>
        <w:pStyle w:val="33"/>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7594F1B3">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SEQ Table \* ARABIC </w:instrText>
      </w:r>
      <w:r>
        <w:rPr>
          <w:rFonts w:hint="default" w:ascii="Times New Roman" w:hAnsi="Times New Roman" w:cs="Times New Roman"/>
          <w:color w:val="auto"/>
          <w:sz w:val="20"/>
          <w:szCs w:val="20"/>
        </w:rPr>
        <w:fldChar w:fldCharType="separate"/>
      </w:r>
      <w:r>
        <w:rPr>
          <w:rFonts w:hint="default" w:ascii="Times New Roman" w:hAnsi="Times New Roman" w:cs="Times New Roman"/>
          <w:color w:val="auto"/>
          <w:sz w:val="20"/>
          <w:szCs w:val="20"/>
        </w:rPr>
        <w:fldChar w:fldCharType="end"/>
      </w:r>
      <w:bookmarkStart w:id="13" w:name="_Toc17859"/>
      <w:r>
        <w:rPr>
          <w:rFonts w:hint="default" w:ascii="Times New Roman" w:hAnsi="Times New Roman" w:cs="Times New Roman"/>
          <w:color w:val="auto"/>
          <w:sz w:val="20"/>
          <w:szCs w:val="20"/>
          <w:lang w:val="en-US"/>
        </w:rPr>
        <w:t>B11</w:t>
      </w:r>
      <w:r>
        <w:rPr>
          <w:rFonts w:hint="default" w:ascii="Times New Roman" w:hAnsi="Times New Roman" w:cs="Times New Roman"/>
          <w:color w:val="auto"/>
          <w:sz w:val="20"/>
          <w:szCs w:val="20"/>
        </w:rPr>
        <w:t>: Hyperparameters of GPR (Oil Tanker)</w:t>
      </w:r>
      <w:bookmarkEnd w:id="13"/>
    </w:p>
    <w:tbl>
      <w:tblPr>
        <w:tblStyle w:val="166"/>
        <w:tblW w:w="5000"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24"/>
        <w:gridCol w:w="5452"/>
      </w:tblGrid>
      <w:tr w14:paraId="7B7BD1AB">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tcBorders>
              <w:bottom w:val="single" w:color="7E7E7E" w:themeColor="text1" w:themeTint="80" w:sz="4" w:space="0"/>
              <w:insideH w:val="single" w:sz="4" w:space="0"/>
            </w:tcBorders>
          </w:tcPr>
          <w:p w14:paraId="6E0943A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2846" w:type="pct"/>
            <w:tcBorders>
              <w:bottom w:val="single" w:color="7E7E7E" w:themeColor="text1" w:themeTint="80" w:sz="4" w:space="0"/>
              <w:insideH w:val="single" w:sz="4" w:space="0"/>
            </w:tcBorders>
          </w:tcPr>
          <w:p w14:paraId="74765A8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407514F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153" w:type="pct"/>
            <w:tcBorders>
              <w:top w:val="single" w:color="7E7E7E" w:themeColor="text1" w:themeTint="80" w:sz="4" w:space="0"/>
              <w:bottom w:val="single" w:color="7E7E7E" w:themeColor="text1" w:themeTint="80" w:sz="4" w:space="0"/>
            </w:tcBorders>
            <w:vAlign w:val="center"/>
          </w:tcPr>
          <w:p w14:paraId="58278B3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 Functions</w:t>
            </w:r>
          </w:p>
        </w:tc>
        <w:tc>
          <w:tcPr>
            <w:tcW w:w="2846" w:type="pct"/>
            <w:tcBorders>
              <w:top w:val="single" w:color="7E7E7E" w:themeColor="text1" w:themeTint="80" w:sz="4" w:space="0"/>
              <w:bottom w:val="single" w:color="7E7E7E" w:themeColor="text1" w:themeTint="80" w:sz="4" w:space="0"/>
            </w:tcBorders>
            <w:vAlign w:val="center"/>
          </w:tcPr>
          <w:p w14:paraId="0014FE8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Exponential, Matern 1/2, Rational Quadratic</w:t>
            </w:r>
          </w:p>
        </w:tc>
      </w:tr>
      <w:tr w14:paraId="44A96D4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vAlign w:val="center"/>
          </w:tcPr>
          <w:p w14:paraId="66B27A6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Basis Function</w:t>
            </w:r>
          </w:p>
        </w:tc>
        <w:tc>
          <w:tcPr>
            <w:tcW w:w="2846" w:type="pct"/>
            <w:vAlign w:val="center"/>
          </w:tcPr>
          <w:p w14:paraId="680FE3F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Linear</w:t>
            </w:r>
          </w:p>
        </w:tc>
      </w:tr>
      <w:tr w14:paraId="4443555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tcBorders>
              <w:top w:val="single" w:color="7E7E7E" w:themeColor="text1" w:themeTint="80" w:sz="4" w:space="0"/>
              <w:bottom w:val="single" w:color="7E7E7E" w:themeColor="text1" w:themeTint="80" w:sz="4" w:space="0"/>
            </w:tcBorders>
            <w:vAlign w:val="center"/>
          </w:tcPr>
          <w:p w14:paraId="32D2CC0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Fit Method</w:t>
            </w:r>
          </w:p>
        </w:tc>
        <w:tc>
          <w:tcPr>
            <w:tcW w:w="2846" w:type="pct"/>
            <w:tcBorders>
              <w:top w:val="single" w:color="7E7E7E" w:themeColor="text1" w:themeTint="80" w:sz="4" w:space="0"/>
              <w:bottom w:val="single" w:color="7E7E7E" w:themeColor="text1" w:themeTint="80" w:sz="4" w:space="0"/>
            </w:tcBorders>
            <w:vAlign w:val="center"/>
          </w:tcPr>
          <w:p w14:paraId="5BEA3D6D">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Sparse Approximation</w:t>
            </w:r>
          </w:p>
        </w:tc>
      </w:tr>
      <w:tr w14:paraId="65AC9D7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vAlign w:val="center"/>
          </w:tcPr>
          <w:p w14:paraId="662EB7A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Prediction Method</w:t>
            </w:r>
          </w:p>
        </w:tc>
        <w:tc>
          <w:tcPr>
            <w:tcW w:w="2846" w:type="pct"/>
            <w:vAlign w:val="center"/>
          </w:tcPr>
          <w:p w14:paraId="2948B74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Exact</w:t>
            </w:r>
          </w:p>
        </w:tc>
      </w:tr>
      <w:tr w14:paraId="0A1EE4DB">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153" w:type="pct"/>
            <w:tcBorders>
              <w:top w:val="single" w:color="7E7E7E" w:themeColor="text1" w:themeTint="80" w:sz="4" w:space="0"/>
              <w:bottom w:val="single" w:color="7E7E7E" w:themeColor="text1" w:themeTint="80" w:sz="4" w:space="0"/>
            </w:tcBorders>
            <w:vAlign w:val="center"/>
          </w:tcPr>
          <w:p w14:paraId="2A22140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Standardization</w:t>
            </w:r>
          </w:p>
        </w:tc>
        <w:tc>
          <w:tcPr>
            <w:tcW w:w="2846" w:type="pct"/>
            <w:tcBorders>
              <w:top w:val="single" w:color="7E7E7E" w:themeColor="text1" w:themeTint="80" w:sz="4" w:space="0"/>
              <w:bottom w:val="single" w:color="7E7E7E" w:themeColor="text1" w:themeTint="80" w:sz="4" w:space="0"/>
            </w:tcBorders>
            <w:vAlign w:val="center"/>
          </w:tcPr>
          <w:p w14:paraId="78665D8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Enabled (Standardize = true)</w:t>
            </w:r>
          </w:p>
        </w:tc>
      </w:tr>
      <w:tr w14:paraId="521F43D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vAlign w:val="center"/>
          </w:tcPr>
          <w:p w14:paraId="5E3E4CB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Optimized Hyperparameters</w:t>
            </w:r>
          </w:p>
        </w:tc>
        <w:tc>
          <w:tcPr>
            <w:tcW w:w="2846" w:type="pct"/>
            <w:vAlign w:val="center"/>
          </w:tcPr>
          <w:p w14:paraId="1713152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4"/>
                <w:sz w:val="20"/>
                <w:szCs w:val="20"/>
                <w14:ligatures w14:val="none"/>
              </w:rPr>
              <w:t>Sigma, LengthScale</w:t>
            </w:r>
          </w:p>
        </w:tc>
      </w:tr>
      <w:tr w14:paraId="521221A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tcBorders>
              <w:top w:val="single" w:color="7E7E7E" w:themeColor="text1" w:themeTint="80" w:sz="4" w:space="0"/>
              <w:bottom w:val="single" w:color="7E7E7E" w:themeColor="text1" w:themeTint="80" w:sz="4" w:space="0"/>
            </w:tcBorders>
            <w:vAlign w:val="center"/>
          </w:tcPr>
          <w:p w14:paraId="147B9F8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Optimization Algorithm</w:t>
            </w:r>
          </w:p>
        </w:tc>
        <w:tc>
          <w:tcPr>
            <w:tcW w:w="2846" w:type="pct"/>
            <w:tcBorders>
              <w:top w:val="single" w:color="7E7E7E" w:themeColor="text1" w:themeTint="80" w:sz="4" w:space="0"/>
              <w:bottom w:val="single" w:color="7E7E7E" w:themeColor="text1" w:themeTint="80" w:sz="4" w:space="0"/>
            </w:tcBorders>
            <w:vAlign w:val="center"/>
          </w:tcPr>
          <w:p w14:paraId="65A3A58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Gradient Descent</w:t>
            </w:r>
          </w:p>
        </w:tc>
      </w:tr>
      <w:tr w14:paraId="3DFE243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153" w:type="pct"/>
            <w:vAlign w:val="center"/>
          </w:tcPr>
          <w:p w14:paraId="1CA2F0CC">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Input Normalization</w:t>
            </w:r>
          </w:p>
        </w:tc>
        <w:tc>
          <w:tcPr>
            <w:tcW w:w="2846" w:type="pct"/>
            <w:vAlign w:val="center"/>
          </w:tcPr>
          <w:p w14:paraId="31FC7AC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Enabled using normalize()</w:t>
            </w:r>
          </w:p>
        </w:tc>
      </w:tr>
      <w:tr w14:paraId="59D9B49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153" w:type="pct"/>
            <w:tcBorders>
              <w:top w:val="single" w:color="7E7E7E" w:themeColor="text1" w:themeTint="80" w:sz="4" w:space="0"/>
              <w:bottom w:val="single" w:color="7E7E7E" w:themeColor="text1" w:themeTint="80" w:sz="4" w:space="0"/>
            </w:tcBorders>
            <w:vAlign w:val="center"/>
          </w:tcPr>
          <w:p w14:paraId="59C1281A">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Output Normalization</w:t>
            </w:r>
          </w:p>
        </w:tc>
        <w:tc>
          <w:tcPr>
            <w:tcW w:w="2846" w:type="pct"/>
            <w:tcBorders>
              <w:top w:val="single" w:color="7E7E7E" w:themeColor="text1" w:themeTint="80" w:sz="4" w:space="0"/>
              <w:bottom w:val="single" w:color="7E7E7E" w:themeColor="text1" w:themeTint="80" w:sz="4" w:space="0"/>
            </w:tcBorders>
            <w:vAlign w:val="center"/>
          </w:tcPr>
          <w:p w14:paraId="622C558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Enabled using normalize()</w:t>
            </w:r>
          </w:p>
        </w:tc>
      </w:tr>
    </w:tbl>
    <w:p w14:paraId="6485A196">
      <w:pPr>
        <w:pStyle w:val="33"/>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p>
    <w:p w14:paraId="6828B867">
      <w:pPr>
        <w:pStyle w:val="16"/>
        <w:keepNext/>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Table </w:t>
      </w:r>
      <w:bookmarkStart w:id="14" w:name="_Toc13959"/>
      <w:r>
        <w:rPr>
          <w:rFonts w:hint="default" w:ascii="Times New Roman" w:hAnsi="Times New Roman" w:cs="Times New Roman"/>
          <w:color w:val="auto"/>
          <w:sz w:val="20"/>
          <w:szCs w:val="20"/>
          <w:lang w:val="en-US"/>
        </w:rPr>
        <w:t>B12</w:t>
      </w:r>
      <w:r>
        <w:rPr>
          <w:rFonts w:hint="default" w:ascii="Times New Roman" w:hAnsi="Times New Roman" w:cs="Times New Roman"/>
          <w:color w:val="auto"/>
          <w:sz w:val="20"/>
          <w:szCs w:val="20"/>
        </w:rPr>
        <w:t>: Hyperparameters of GPR (Passenger Vessel)</w:t>
      </w:r>
      <w:bookmarkEnd w:id="14"/>
    </w:p>
    <w:tbl>
      <w:tblPr>
        <w:tblStyle w:val="166"/>
        <w:tblW w:w="5000" w:type="pct"/>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75"/>
        <w:gridCol w:w="5201"/>
      </w:tblGrid>
      <w:tr w14:paraId="0AFA4EA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tcBorders>
              <w:bottom w:val="single" w:color="7E7E7E" w:themeColor="text1" w:themeTint="80" w:sz="4" w:space="0"/>
              <w:insideH w:val="single" w:sz="4" w:space="0"/>
            </w:tcBorders>
          </w:tcPr>
          <w:p w14:paraId="7D3737E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Hyperparameter(s)</w:t>
            </w:r>
          </w:p>
        </w:tc>
        <w:tc>
          <w:tcPr>
            <w:tcW w:w="2715" w:type="pct"/>
            <w:tcBorders>
              <w:bottom w:val="single" w:color="7E7E7E" w:themeColor="text1" w:themeTint="80" w:sz="4" w:space="0"/>
              <w:insideH w:val="single" w:sz="4" w:space="0"/>
            </w:tcBorders>
          </w:tcPr>
          <w:p w14:paraId="4A67CB97">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bCs/>
                <w:color w:val="auto"/>
                <w:kern w:val="0"/>
                <w:sz w:val="20"/>
                <w:szCs w:val="20"/>
                <w14:ligatures w14:val="none"/>
              </w:rPr>
            </w:pPr>
            <w:r>
              <w:rPr>
                <w:rFonts w:hint="default" w:ascii="Times New Roman" w:hAnsi="Times New Roman" w:eastAsia="SimSun" w:cs="Times New Roman"/>
                <w:b/>
                <w:bCs/>
                <w:color w:val="auto"/>
                <w:kern w:val="0"/>
                <w:sz w:val="20"/>
                <w:szCs w:val="20"/>
                <w14:ligatures w14:val="none"/>
              </w:rPr>
              <w:t>Value</w:t>
            </w:r>
          </w:p>
        </w:tc>
      </w:tr>
      <w:tr w14:paraId="0B5124DB">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284" w:type="pct"/>
            <w:tcBorders>
              <w:top w:val="single" w:color="7E7E7E" w:themeColor="text1" w:themeTint="80" w:sz="4" w:space="0"/>
              <w:bottom w:val="single" w:color="7E7E7E" w:themeColor="text1" w:themeTint="80" w:sz="4" w:space="0"/>
            </w:tcBorders>
            <w:vAlign w:val="center"/>
          </w:tcPr>
          <w:p w14:paraId="3FA90F20">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Kernel Functions</w:t>
            </w:r>
          </w:p>
        </w:tc>
        <w:tc>
          <w:tcPr>
            <w:tcW w:w="2715" w:type="pct"/>
            <w:tcBorders>
              <w:top w:val="single" w:color="7E7E7E" w:themeColor="text1" w:themeTint="80" w:sz="4" w:space="0"/>
              <w:bottom w:val="single" w:color="7E7E7E" w:themeColor="text1" w:themeTint="80" w:sz="4" w:space="0"/>
            </w:tcBorders>
            <w:vAlign w:val="center"/>
          </w:tcPr>
          <w:p w14:paraId="53B61504">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Exponential, Matern 1/2, Rational Quadratic</w:t>
            </w:r>
          </w:p>
        </w:tc>
      </w:tr>
      <w:tr w14:paraId="7D4F75D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vAlign w:val="center"/>
          </w:tcPr>
          <w:p w14:paraId="42FF965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Basis Function</w:t>
            </w:r>
          </w:p>
        </w:tc>
        <w:tc>
          <w:tcPr>
            <w:tcW w:w="2715" w:type="pct"/>
            <w:vAlign w:val="center"/>
          </w:tcPr>
          <w:p w14:paraId="6237449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Linear</w:t>
            </w:r>
          </w:p>
        </w:tc>
      </w:tr>
      <w:tr w14:paraId="371BD5C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tcBorders>
              <w:top w:val="single" w:color="7E7E7E" w:themeColor="text1" w:themeTint="80" w:sz="4" w:space="0"/>
              <w:bottom w:val="single" w:color="7E7E7E" w:themeColor="text1" w:themeTint="80" w:sz="4" w:space="0"/>
            </w:tcBorders>
            <w:vAlign w:val="center"/>
          </w:tcPr>
          <w:p w14:paraId="6C69F97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Fit Method</w:t>
            </w:r>
          </w:p>
        </w:tc>
        <w:tc>
          <w:tcPr>
            <w:tcW w:w="2715" w:type="pct"/>
            <w:tcBorders>
              <w:top w:val="single" w:color="7E7E7E" w:themeColor="text1" w:themeTint="80" w:sz="4" w:space="0"/>
              <w:bottom w:val="single" w:color="7E7E7E" w:themeColor="text1" w:themeTint="80" w:sz="4" w:space="0"/>
            </w:tcBorders>
            <w:vAlign w:val="center"/>
          </w:tcPr>
          <w:p w14:paraId="389494C3">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Sparse Approximation</w:t>
            </w:r>
          </w:p>
        </w:tc>
      </w:tr>
      <w:tr w14:paraId="1B469A9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vAlign w:val="center"/>
          </w:tcPr>
          <w:p w14:paraId="41E5246F">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Prediction Method</w:t>
            </w:r>
          </w:p>
        </w:tc>
        <w:tc>
          <w:tcPr>
            <w:tcW w:w="2715" w:type="pct"/>
            <w:vAlign w:val="center"/>
          </w:tcPr>
          <w:p w14:paraId="0EB39AC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Exact</w:t>
            </w:r>
          </w:p>
        </w:tc>
      </w:tr>
      <w:tr w14:paraId="17655D8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284" w:type="pct"/>
            <w:tcBorders>
              <w:top w:val="single" w:color="7E7E7E" w:themeColor="text1" w:themeTint="80" w:sz="4" w:space="0"/>
              <w:bottom w:val="single" w:color="7E7E7E" w:themeColor="text1" w:themeTint="80" w:sz="4" w:space="0"/>
            </w:tcBorders>
            <w:vAlign w:val="center"/>
          </w:tcPr>
          <w:p w14:paraId="7EA47C5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highlight w:val="yellow"/>
                <w14:ligatures w14:val="none"/>
              </w:rPr>
            </w:pPr>
            <w:r>
              <w:rPr>
                <w:rFonts w:hint="default" w:ascii="Times New Roman" w:hAnsi="Times New Roman" w:eastAsia="SimSun" w:cs="Times New Roman"/>
                <w:b w:val="0"/>
                <w:bCs w:val="0"/>
                <w:color w:val="auto"/>
                <w:kern w:val="2"/>
                <w:sz w:val="20"/>
                <w:szCs w:val="20"/>
                <w14:ligatures w14:val="none"/>
              </w:rPr>
              <w:t>Standardization</w:t>
            </w:r>
          </w:p>
        </w:tc>
        <w:tc>
          <w:tcPr>
            <w:tcW w:w="2715" w:type="pct"/>
            <w:tcBorders>
              <w:top w:val="single" w:color="7E7E7E" w:themeColor="text1" w:themeTint="80" w:sz="4" w:space="0"/>
              <w:bottom w:val="single" w:color="7E7E7E" w:themeColor="text1" w:themeTint="80" w:sz="4" w:space="0"/>
            </w:tcBorders>
            <w:vAlign w:val="center"/>
          </w:tcPr>
          <w:p w14:paraId="0742593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highlight w:val="yellow"/>
                <w14:ligatures w14:val="none"/>
              </w:rPr>
            </w:pPr>
            <w:r>
              <w:rPr>
                <w:rFonts w:hint="default" w:ascii="Times New Roman" w:hAnsi="Times New Roman" w:eastAsia="SimSun" w:cs="Times New Roman"/>
                <w:color w:val="auto"/>
                <w:kern w:val="2"/>
                <w:sz w:val="20"/>
                <w:szCs w:val="20"/>
                <w14:ligatures w14:val="none"/>
              </w:rPr>
              <w:t>Enabled (Standardize = true)</w:t>
            </w:r>
          </w:p>
        </w:tc>
      </w:tr>
      <w:tr w14:paraId="7072825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vAlign w:val="center"/>
          </w:tcPr>
          <w:p w14:paraId="26C2205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Optimized Hyperparameters</w:t>
            </w:r>
          </w:p>
        </w:tc>
        <w:tc>
          <w:tcPr>
            <w:tcW w:w="2715" w:type="pct"/>
            <w:vAlign w:val="center"/>
          </w:tcPr>
          <w:p w14:paraId="005FA611">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4"/>
                <w:sz w:val="20"/>
                <w:szCs w:val="20"/>
                <w14:ligatures w14:val="none"/>
              </w:rPr>
              <w:t>Sigma, LengthScale</w:t>
            </w:r>
          </w:p>
        </w:tc>
      </w:tr>
      <w:tr w14:paraId="2BE0F05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tcBorders>
              <w:top w:val="single" w:color="7E7E7E" w:themeColor="text1" w:themeTint="80" w:sz="4" w:space="0"/>
              <w:bottom w:val="single" w:color="7E7E7E" w:themeColor="text1" w:themeTint="80" w:sz="4" w:space="0"/>
            </w:tcBorders>
            <w:vAlign w:val="center"/>
          </w:tcPr>
          <w:p w14:paraId="73FF04DE">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Optimization Algorithm</w:t>
            </w:r>
          </w:p>
        </w:tc>
        <w:tc>
          <w:tcPr>
            <w:tcW w:w="2715" w:type="pct"/>
            <w:tcBorders>
              <w:top w:val="single" w:color="7E7E7E" w:themeColor="text1" w:themeTint="80" w:sz="4" w:space="0"/>
              <w:bottom w:val="single" w:color="7E7E7E" w:themeColor="text1" w:themeTint="80" w:sz="4" w:space="0"/>
            </w:tcBorders>
            <w:vAlign w:val="center"/>
          </w:tcPr>
          <w:p w14:paraId="196AA8F8">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Gradient Descent</w:t>
            </w:r>
          </w:p>
        </w:tc>
      </w:tr>
      <w:tr w14:paraId="4F2EE4B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2284" w:type="pct"/>
            <w:vAlign w:val="center"/>
          </w:tcPr>
          <w:p w14:paraId="6F71D116">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Input Normalization</w:t>
            </w:r>
          </w:p>
        </w:tc>
        <w:tc>
          <w:tcPr>
            <w:tcW w:w="2715" w:type="pct"/>
            <w:vAlign w:val="center"/>
          </w:tcPr>
          <w:p w14:paraId="7C6F26C2">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Enabled using normalize()</w:t>
            </w:r>
          </w:p>
        </w:tc>
      </w:tr>
      <w:tr w14:paraId="7968E3D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jc w:val="center"/>
        </w:trPr>
        <w:tc>
          <w:tcPr>
            <w:tcW w:w="2284" w:type="pct"/>
            <w:tcBorders>
              <w:top w:val="single" w:color="7E7E7E" w:themeColor="text1" w:themeTint="80" w:sz="4" w:space="0"/>
              <w:bottom w:val="single" w:color="7E7E7E" w:themeColor="text1" w:themeTint="80" w:sz="4" w:space="0"/>
            </w:tcBorders>
            <w:vAlign w:val="center"/>
          </w:tcPr>
          <w:p w14:paraId="55097DF9">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val="0"/>
                <w:bCs w:val="0"/>
                <w:color w:val="auto"/>
                <w:kern w:val="0"/>
                <w:sz w:val="20"/>
                <w:szCs w:val="20"/>
                <w14:ligatures w14:val="none"/>
              </w:rPr>
            </w:pPr>
            <w:r>
              <w:rPr>
                <w:rFonts w:hint="default" w:ascii="Times New Roman" w:hAnsi="Times New Roman" w:eastAsia="SimSun" w:cs="Times New Roman"/>
                <w:b w:val="0"/>
                <w:bCs w:val="0"/>
                <w:color w:val="auto"/>
                <w:kern w:val="2"/>
                <w:sz w:val="20"/>
                <w:szCs w:val="20"/>
                <w14:ligatures w14:val="none"/>
              </w:rPr>
              <w:t>Output Normalization</w:t>
            </w:r>
          </w:p>
        </w:tc>
        <w:tc>
          <w:tcPr>
            <w:tcW w:w="2715" w:type="pct"/>
            <w:tcBorders>
              <w:top w:val="single" w:color="7E7E7E" w:themeColor="text1" w:themeTint="80" w:sz="4" w:space="0"/>
              <w:bottom w:val="single" w:color="7E7E7E" w:themeColor="text1" w:themeTint="80" w:sz="4" w:space="0"/>
            </w:tcBorders>
            <w:vAlign w:val="center"/>
          </w:tcPr>
          <w:p w14:paraId="6832A175">
            <w:pPr>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color w:val="auto"/>
                <w:kern w:val="0"/>
                <w:sz w:val="20"/>
                <w:szCs w:val="20"/>
                <w14:ligatures w14:val="none"/>
              </w:rPr>
            </w:pPr>
            <w:r>
              <w:rPr>
                <w:rFonts w:hint="default" w:ascii="Times New Roman" w:hAnsi="Times New Roman" w:eastAsia="SimSun" w:cs="Times New Roman"/>
                <w:color w:val="auto"/>
                <w:kern w:val="2"/>
                <w:sz w:val="20"/>
                <w:szCs w:val="20"/>
                <w14:ligatures w14:val="none"/>
              </w:rPr>
              <w:t>Enabled using normalize()</w:t>
            </w:r>
          </w:p>
        </w:tc>
      </w:tr>
    </w:tbl>
    <w:p w14:paraId="540E5A3F">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eastAsiaTheme="minorEastAsia"/>
          <w:color w:val="auto"/>
          <w:kern w:val="0"/>
          <w:sz w:val="20"/>
          <w:szCs w:val="20"/>
          <w:lang w:eastAsia="zh-CN"/>
          <w14:ligatures w14:val="none"/>
        </w:rPr>
      </w:pPr>
    </w:p>
    <w:p w14:paraId="15AADBB3">
      <w:pPr>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b/>
          <w:bCs/>
          <w:color w:val="auto"/>
          <w:sz w:val="20"/>
          <w:szCs w:val="20"/>
        </w:rPr>
      </w:pPr>
      <w:r>
        <w:rPr>
          <w:rFonts w:hint="default" w:ascii="Times New Roman" w:hAnsi="Times New Roman" w:cs="Times New Roman" w:eastAsiaTheme="minorEastAsia"/>
          <w:color w:val="auto"/>
          <w:kern w:val="0"/>
          <w:sz w:val="20"/>
          <w:szCs w:val="20"/>
          <w:lang w:eastAsia="zh-CN"/>
          <w14:ligatures w14:val="none"/>
        </w:rPr>
        <w:t>By employing systematic and model-specific hyperparameter tuning for the Artificial Neural Network (ANN), Random Forest (RF), Support Vector Regression (SVR), and Gaussian Process Regression (GPR) models, this study demonstrates a rigorous commitment to optimizing model architectures and configurations. Such careful calibration ensures robust predictive performance, improved generalization, and enhanced reliability across different vessel types. The comprehensive tuning strategy adopted in this work strengthens the credibility of the modeling framework and supports the development of accurate, efficient, and trustworthy machine learning–based solutions for engineering applications.</w:t>
      </w:r>
    </w:p>
    <w:p w14:paraId="699E6F97">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auto"/>
          <w:sz w:val="20"/>
          <w:szCs w:val="20"/>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Vrinda">
    <w:altName w:val="Siyam Rupali"/>
    <w:panose1 w:val="00000400000000000000"/>
    <w:charset w:val="00"/>
    <w:family w:val="swiss"/>
    <w:pitch w:val="default"/>
    <w:sig w:usb0="00000000" w:usb1="00000000" w:usb2="00000000" w:usb3="00000000" w:csb0="00000001" w:csb1="00000000"/>
  </w:font>
  <w:font w:name="Siyam Rupali">
    <w:panose1 w:val="02000500000000020004"/>
    <w:charset w:val="00"/>
    <w:family w:val="auto"/>
    <w:pitch w:val="default"/>
    <w:sig w:usb0="00010000" w:usb1="00000000" w:usb2="00000000" w:usb3="00000000" w:csb0="00000001" w:csb1="00000000"/>
  </w:font>
  <w:font w:name="Aptos">
    <w:altName w:val="SimSun"/>
    <w:panose1 w:val="00000000000000000000"/>
    <w:charset w:val="86"/>
    <w:family w:val="swiss"/>
    <w:pitch w:val="default"/>
    <w:sig w:usb0="00000000" w:usb1="00000000" w:usb2="00000000" w:usb3="00000000" w:csb0="0000019F"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D666271"/>
    <w:rsid w:val="125E6CE5"/>
    <w:rsid w:val="30F2100B"/>
    <w:rsid w:val="4052107C"/>
    <w:rsid w:val="65AD62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Normal (Web)"/>
    <w:basedOn w:val="1"/>
    <w:qFormat/>
    <w:uiPriority w:val="99"/>
    <w:pPr>
      <w:spacing w:beforeAutospacing="1" w:afterAutospacing="1"/>
    </w:pPr>
    <w:rPr>
      <w:rFonts w:cs="Vrinda"/>
      <w:sz w:val="24"/>
      <w:szCs w:val="24"/>
      <w:lang w:bidi="bn-BD"/>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 w:type="table" w:customStyle="1" w:styleId="165">
    <w:name w:val="Grid Table Light"/>
    <w:basedOn w:val="12"/>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166">
    <w:name w:val="Plain Table 21"/>
    <w:basedOn w:val="12"/>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761</Words>
  <Characters>4861</Characters>
  <Lines>0</Lines>
  <Paragraphs>0</Paragraphs>
  <TotalTime>2</TotalTime>
  <ScaleCrop>false</ScaleCrop>
  <LinksUpToDate>false</LinksUpToDate>
  <CharactersWithSpaces>5405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SM Rashidul Hasan</cp:lastModifiedBy>
  <dcterms:modified xsi:type="dcterms:W3CDTF">2026-05-27T18:18:47Z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eyJoZGlkIjoiYmEyZDMxNWRkYmY5MjE3NjUxYTk3ZDA1NDUyNmVkYWEiLCJ1c2VySWQiOiIzMTc4ODExOTc4MDQ3In0=</vt:lpwstr>
  </property>
  <property fmtid="{D5CDD505-2E9C-101B-9397-08002B2CF9AE}" pid="3" name="KSOProductBuildVer">
    <vt:lpwstr>1033-12.1.0.26372</vt:lpwstr>
  </property>
  <property fmtid="{D5CDD505-2E9C-101B-9397-08002B2CF9AE}" pid="4" name="ICV">
    <vt:lpwstr>90B3CC02DF774E59B2F7FC2340796675_12</vt:lpwstr>
  </property>
</Properties>
</file>