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Methods      </w:t>
      </w: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Study design and population. </w:t>
      </w:r>
      <w:r>
        <w:rPr>
          <w:sz w:val="24"/>
          <w:szCs w:val="24"/>
        </w:rPr>
        <w:t>We conducted a phase-4 prospective longitudinal study (</w:t>
      </w:r>
      <w:proofErr w:type="spellStart"/>
      <w:r>
        <w:rPr>
          <w:sz w:val="24"/>
          <w:szCs w:val="24"/>
        </w:rPr>
        <w:t>CoronavRheum</w:t>
      </w:r>
      <w:proofErr w:type="spellEnd"/>
      <w:r>
        <w:rPr>
          <w:sz w:val="24"/>
          <w:szCs w:val="24"/>
        </w:rPr>
        <w:t xml:space="preserve"> clinicaltrials.gov #NCT04754698) at a large tertiary hospital in Sao Paulo, Brazil. The protocol was approved by the National and Institutional Ethical Committee of </w:t>
      </w:r>
      <w:r>
        <w:rPr>
          <w:sz w:val="24"/>
          <w:szCs w:val="24"/>
          <w:highlight w:val="white"/>
        </w:rPr>
        <w:t xml:space="preserve">Hospital das </w:t>
      </w:r>
      <w:proofErr w:type="spellStart"/>
      <w:r>
        <w:rPr>
          <w:sz w:val="24"/>
          <w:szCs w:val="24"/>
          <w:highlight w:val="white"/>
        </w:rPr>
        <w:t>Clinicas</w:t>
      </w:r>
      <w:proofErr w:type="spellEnd"/>
      <w:r>
        <w:rPr>
          <w:sz w:val="24"/>
          <w:szCs w:val="24"/>
          <w:highlight w:val="white"/>
        </w:rPr>
        <w:t xml:space="preserve"> H</w:t>
      </w:r>
      <w:r>
        <w:rPr>
          <w:sz w:val="24"/>
          <w:szCs w:val="24"/>
          <w:highlight w:val="white"/>
        </w:rPr>
        <w:t xml:space="preserve">CFMUSP, </w:t>
      </w:r>
      <w:proofErr w:type="spellStart"/>
      <w:r>
        <w:rPr>
          <w:sz w:val="24"/>
          <w:szCs w:val="24"/>
          <w:highlight w:val="white"/>
        </w:rPr>
        <w:t>Faculdade</w:t>
      </w:r>
      <w:proofErr w:type="spellEnd"/>
      <w:r>
        <w:rPr>
          <w:sz w:val="24"/>
          <w:szCs w:val="24"/>
          <w:highlight w:val="white"/>
        </w:rPr>
        <w:t xml:space="preserve"> de </w:t>
      </w:r>
      <w:proofErr w:type="spellStart"/>
      <w:r>
        <w:rPr>
          <w:sz w:val="24"/>
          <w:szCs w:val="24"/>
          <w:highlight w:val="white"/>
        </w:rPr>
        <w:t>Medicina</w:t>
      </w:r>
      <w:proofErr w:type="spellEnd"/>
      <w:r>
        <w:rPr>
          <w:sz w:val="24"/>
          <w:szCs w:val="24"/>
          <w:highlight w:val="white"/>
        </w:rPr>
        <w:t xml:space="preserve">, University of Sao Paulo, Sao Paulo, Brazil </w:t>
      </w:r>
      <w:r>
        <w:rPr>
          <w:sz w:val="24"/>
          <w:szCs w:val="24"/>
        </w:rPr>
        <w:t xml:space="preserve">(CAAE: 42566621.0.0000.0068).  ARD patients followed at our </w:t>
      </w:r>
      <w:r>
        <w:rPr>
          <w:sz w:val="24"/>
          <w:szCs w:val="24"/>
          <w:highlight w:val="white"/>
        </w:rPr>
        <w:t>Outpatient Rheumatology Clinics were invited to participate in the study. The patients were diagnosed according to interna</w:t>
      </w:r>
      <w:r>
        <w:rPr>
          <w:sz w:val="24"/>
          <w:szCs w:val="24"/>
          <w:highlight w:val="white"/>
        </w:rPr>
        <w:t>tional guidelines, and the population included were rheumatoid arthritis</w:t>
      </w:r>
      <w:r>
        <w:rPr>
          <w:sz w:val="24"/>
          <w:szCs w:val="24"/>
          <w:highlight w:val="white"/>
          <w:vertAlign w:val="superscript"/>
        </w:rPr>
        <w:t>18</w:t>
      </w:r>
      <w:r>
        <w:rPr>
          <w:sz w:val="24"/>
          <w:szCs w:val="24"/>
          <w:highlight w:val="white"/>
        </w:rPr>
        <w:t xml:space="preserve">, systemic </w:t>
      </w:r>
      <w:proofErr w:type="spellStart"/>
      <w:r>
        <w:rPr>
          <w:sz w:val="24"/>
          <w:szCs w:val="24"/>
          <w:highlight w:val="white"/>
        </w:rPr>
        <w:t>erythematosus</w:t>
      </w:r>
      <w:proofErr w:type="spellEnd"/>
      <w:r>
        <w:rPr>
          <w:sz w:val="24"/>
          <w:szCs w:val="24"/>
          <w:highlight w:val="white"/>
        </w:rPr>
        <w:t xml:space="preserve"> lupus</w:t>
      </w:r>
      <w:r>
        <w:rPr>
          <w:sz w:val="24"/>
          <w:szCs w:val="24"/>
          <w:highlight w:val="white"/>
          <w:vertAlign w:val="superscript"/>
        </w:rPr>
        <w:t>19</w:t>
      </w:r>
      <w:r>
        <w:rPr>
          <w:sz w:val="24"/>
          <w:szCs w:val="24"/>
          <w:highlight w:val="white"/>
        </w:rPr>
        <w:t xml:space="preserve">, axial </w:t>
      </w:r>
      <w:proofErr w:type="spellStart"/>
      <w:r>
        <w:rPr>
          <w:sz w:val="24"/>
          <w:szCs w:val="24"/>
          <w:highlight w:val="white"/>
        </w:rPr>
        <w:t>ankylosing</w:t>
      </w:r>
      <w:proofErr w:type="spellEnd"/>
      <w:r>
        <w:rPr>
          <w:sz w:val="24"/>
          <w:szCs w:val="24"/>
          <w:highlight w:val="white"/>
        </w:rPr>
        <w:t xml:space="preserve"> spondylitis</w:t>
      </w:r>
      <w:r>
        <w:rPr>
          <w:sz w:val="24"/>
          <w:szCs w:val="24"/>
          <w:highlight w:val="white"/>
          <w:vertAlign w:val="superscript"/>
        </w:rPr>
        <w:t>20</w:t>
      </w:r>
      <w:r>
        <w:rPr>
          <w:sz w:val="24"/>
          <w:szCs w:val="24"/>
          <w:highlight w:val="white"/>
        </w:rPr>
        <w:t>, psoriatic arthritis</w:t>
      </w:r>
      <w:r>
        <w:rPr>
          <w:sz w:val="24"/>
          <w:szCs w:val="24"/>
          <w:highlight w:val="white"/>
          <w:vertAlign w:val="superscript"/>
        </w:rPr>
        <w:t>21</w:t>
      </w:r>
      <w:r>
        <w:rPr>
          <w:sz w:val="24"/>
          <w:szCs w:val="24"/>
          <w:highlight w:val="white"/>
        </w:rPr>
        <w:t>, primary vasculitis</w:t>
      </w:r>
      <w:r>
        <w:rPr>
          <w:sz w:val="24"/>
          <w:szCs w:val="24"/>
          <w:highlight w:val="white"/>
          <w:vertAlign w:val="superscript"/>
        </w:rPr>
        <w:t>22,23</w:t>
      </w:r>
      <w:r>
        <w:rPr>
          <w:sz w:val="24"/>
          <w:szCs w:val="24"/>
          <w:highlight w:val="white"/>
        </w:rPr>
        <w:t xml:space="preserve">, primary </w:t>
      </w:r>
      <w:proofErr w:type="spellStart"/>
      <w:r>
        <w:rPr>
          <w:sz w:val="24"/>
          <w:szCs w:val="24"/>
          <w:highlight w:val="white"/>
        </w:rPr>
        <w:t>Sjogren's</w:t>
      </w:r>
      <w:proofErr w:type="spellEnd"/>
      <w:r>
        <w:rPr>
          <w:sz w:val="24"/>
          <w:szCs w:val="24"/>
          <w:highlight w:val="white"/>
        </w:rPr>
        <w:t xml:space="preserve"> syndrome</w:t>
      </w:r>
      <w:r>
        <w:rPr>
          <w:sz w:val="24"/>
          <w:szCs w:val="24"/>
          <w:highlight w:val="white"/>
          <w:vertAlign w:val="superscript"/>
        </w:rPr>
        <w:t>24</w:t>
      </w:r>
      <w:r>
        <w:rPr>
          <w:sz w:val="24"/>
          <w:szCs w:val="24"/>
          <w:highlight w:val="white"/>
        </w:rPr>
        <w:t>, systemic sclerosis</w:t>
      </w:r>
      <w:r>
        <w:rPr>
          <w:sz w:val="24"/>
          <w:szCs w:val="24"/>
          <w:highlight w:val="white"/>
          <w:vertAlign w:val="superscript"/>
        </w:rPr>
        <w:t>25</w:t>
      </w:r>
      <w:r>
        <w:rPr>
          <w:sz w:val="24"/>
          <w:szCs w:val="24"/>
          <w:highlight w:val="white"/>
        </w:rPr>
        <w:t>, idiopathic Infla</w:t>
      </w:r>
      <w:r>
        <w:rPr>
          <w:sz w:val="24"/>
          <w:szCs w:val="24"/>
          <w:highlight w:val="white"/>
        </w:rPr>
        <w:t>mmatory myopathies</w:t>
      </w:r>
      <w:r>
        <w:rPr>
          <w:sz w:val="24"/>
          <w:szCs w:val="24"/>
          <w:highlight w:val="white"/>
          <w:vertAlign w:val="superscript"/>
        </w:rPr>
        <w:t>26</w:t>
      </w:r>
      <w:r>
        <w:rPr>
          <w:sz w:val="24"/>
          <w:szCs w:val="24"/>
          <w:highlight w:val="white"/>
        </w:rPr>
        <w:t xml:space="preserve">, and primary </w:t>
      </w:r>
      <w:proofErr w:type="spellStart"/>
      <w:r>
        <w:rPr>
          <w:sz w:val="24"/>
          <w:szCs w:val="24"/>
          <w:highlight w:val="white"/>
        </w:rPr>
        <w:t>antiphospholipid</w:t>
      </w:r>
      <w:proofErr w:type="spellEnd"/>
      <w:r>
        <w:rPr>
          <w:sz w:val="24"/>
          <w:szCs w:val="24"/>
          <w:highlight w:val="white"/>
        </w:rPr>
        <w:t xml:space="preserve"> syndrome</w:t>
      </w:r>
      <w:r>
        <w:rPr>
          <w:sz w:val="24"/>
          <w:szCs w:val="24"/>
          <w:highlight w:val="white"/>
          <w:vertAlign w:val="superscript"/>
        </w:rPr>
        <w:t>27</w:t>
      </w:r>
      <w:r>
        <w:rPr>
          <w:sz w:val="24"/>
          <w:szCs w:val="24"/>
          <w:highlight w:val="white"/>
        </w:rPr>
        <w:t xml:space="preserve">. Subsequently, we invited individuals without ARD or immunosuppressive therapy, as control group (CG). All participants were </w:t>
      </w:r>
      <w:r>
        <w:rPr>
          <w:sz w:val="24"/>
          <w:szCs w:val="24"/>
          <w:highlight w:val="white"/>
          <w:u w:val="single"/>
        </w:rPr>
        <w:t>&gt;</w:t>
      </w:r>
      <w:r>
        <w:rPr>
          <w:sz w:val="24"/>
          <w:szCs w:val="24"/>
        </w:rPr>
        <w:t xml:space="preserve"> 18 years old, and the controls were balanced with patients by sex a</w:t>
      </w:r>
      <w:r>
        <w:rPr>
          <w:sz w:val="24"/>
          <w:szCs w:val="24"/>
        </w:rPr>
        <w:t xml:space="preserve">nd for age (up to 5 years differences) at the entry (1 control: 4 patients). All ARD patients received the inactivated </w:t>
      </w:r>
      <w:proofErr w:type="spellStart"/>
      <w:r>
        <w:rPr>
          <w:sz w:val="24"/>
          <w:szCs w:val="24"/>
        </w:rPr>
        <w:t>Sinovac-CoronaVac</w:t>
      </w:r>
      <w:proofErr w:type="spellEnd"/>
      <w:r>
        <w:rPr>
          <w:sz w:val="24"/>
          <w:szCs w:val="24"/>
        </w:rPr>
        <w:t xml:space="preserve"> vaccine (</w:t>
      </w:r>
      <w:proofErr w:type="spellStart"/>
      <w:r>
        <w:rPr>
          <w:sz w:val="24"/>
          <w:szCs w:val="24"/>
        </w:rPr>
        <w:t>Sinovac</w:t>
      </w:r>
      <w:proofErr w:type="spellEnd"/>
      <w:r>
        <w:rPr>
          <w:sz w:val="24"/>
          <w:szCs w:val="24"/>
        </w:rPr>
        <w:t xml:space="preserve"> Life Sciences, Beijing, China, batch #20200412) first dose between February 9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17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2021, and the</w:t>
      </w:r>
      <w:r>
        <w:rPr>
          <w:sz w:val="24"/>
          <w:szCs w:val="24"/>
        </w:rPr>
        <w:t xml:space="preserve"> second dose between March 9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17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 (28 days apart). No strategy for immunogenicity improvement was applied. The exclusion criteria at vaccination included previous vaccination with any SARS-CoV-2 vaccine, previous history of anaphylactic events a</w:t>
      </w:r>
      <w:r>
        <w:rPr>
          <w:sz w:val="24"/>
          <w:szCs w:val="24"/>
        </w:rPr>
        <w:t xml:space="preserve">fter vaccine administration, history of previous vaccination with live virus up to four weeks, or with inactivated virus vaccine up to two weeks, COVID-19 related symptoms, acute febrile illness, </w:t>
      </w:r>
      <w:proofErr w:type="spellStart"/>
      <w:r>
        <w:rPr>
          <w:sz w:val="24"/>
          <w:szCs w:val="24"/>
        </w:rPr>
        <w:t>Guillain-Barré</w:t>
      </w:r>
      <w:proofErr w:type="spellEnd"/>
      <w:r>
        <w:rPr>
          <w:sz w:val="24"/>
          <w:szCs w:val="24"/>
        </w:rPr>
        <w:t xml:space="preserve"> syndrome, </w:t>
      </w:r>
      <w:proofErr w:type="spellStart"/>
      <w:r>
        <w:rPr>
          <w:sz w:val="24"/>
          <w:szCs w:val="24"/>
        </w:rPr>
        <w:t>decompensated</w:t>
      </w:r>
      <w:proofErr w:type="spellEnd"/>
      <w:r>
        <w:rPr>
          <w:sz w:val="24"/>
          <w:szCs w:val="24"/>
        </w:rPr>
        <w:t xml:space="preserve"> heart failure, </w:t>
      </w:r>
      <w:proofErr w:type="spellStart"/>
      <w:r>
        <w:rPr>
          <w:sz w:val="24"/>
          <w:szCs w:val="24"/>
        </w:rPr>
        <w:t>demyel</w:t>
      </w:r>
      <w:r>
        <w:rPr>
          <w:sz w:val="24"/>
          <w:szCs w:val="24"/>
        </w:rPr>
        <w:t>inating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disease</w:t>
      </w:r>
      <w:proofErr w:type="gramEnd"/>
      <w:r>
        <w:rPr>
          <w:sz w:val="24"/>
          <w:szCs w:val="24"/>
        </w:rPr>
        <w:t xml:space="preserve">, history of blood products administration up to six months before the study start. Hospitalized patients or controls were also excluded.  The full flow diagram with all exclusions is presented in </w:t>
      </w:r>
      <w:r>
        <w:rPr>
          <w:b/>
          <w:sz w:val="24"/>
          <w:szCs w:val="24"/>
        </w:rPr>
        <w:t>Supplementary Figure 1.</w:t>
      </w:r>
      <w:r>
        <w:rPr>
          <w:sz w:val="24"/>
          <w:szCs w:val="24"/>
        </w:rPr>
        <w:t xml:space="preserve"> Blood collections fo</w:t>
      </w:r>
      <w:r>
        <w:rPr>
          <w:sz w:val="24"/>
          <w:szCs w:val="24"/>
        </w:rPr>
        <w:t>r this study were performed six weeks after de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dose (April 19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2021, D69) and 6 months after the 2</w:t>
      </w:r>
      <w:r>
        <w:rPr>
          <w:sz w:val="24"/>
          <w:szCs w:val="24"/>
          <w:vertAlign w:val="superscript"/>
        </w:rPr>
        <w:t xml:space="preserve">nd </w:t>
      </w:r>
      <w:r>
        <w:rPr>
          <w:sz w:val="24"/>
          <w:szCs w:val="24"/>
        </w:rPr>
        <w:t>dose (September 18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2021, D210). All participants signed the written informed consent prior to the vaccination and blood collection. </w:t>
      </w: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A rigorous fol</w:t>
      </w:r>
      <w:r>
        <w:rPr>
          <w:sz w:val="24"/>
          <w:szCs w:val="24"/>
        </w:rPr>
        <w:t>low-up of incident cases using instant message, telephone e e-mail was available for all participants with COVID-19 symptoms from vaccine first dose to 6 months after the second dose (D210). Four in-person visits (vaccine first dose, vaccine second dose, D</w:t>
      </w:r>
      <w:r>
        <w:rPr>
          <w:sz w:val="24"/>
          <w:szCs w:val="24"/>
        </w:rPr>
        <w:t xml:space="preserve">69 and D210) with a standardized diary regarding COVID-19 symptoms </w:t>
      </w:r>
      <w:proofErr w:type="gramStart"/>
      <w:r>
        <w:rPr>
          <w:sz w:val="24"/>
          <w:szCs w:val="24"/>
        </w:rPr>
        <w:t>was</w:t>
      </w:r>
      <w:proofErr w:type="gramEnd"/>
      <w:r>
        <w:rPr>
          <w:sz w:val="24"/>
          <w:szCs w:val="24"/>
        </w:rPr>
        <w:t xml:space="preserve"> also performed. These participants were tested using real-time reverse transcriptase-polymerase chain reaction (RT-PCR) test for SARS-CoV-2 by </w:t>
      </w:r>
      <w:proofErr w:type="spellStart"/>
      <w:r>
        <w:rPr>
          <w:sz w:val="24"/>
          <w:szCs w:val="24"/>
        </w:rPr>
        <w:t>naso</w:t>
      </w:r>
      <w:proofErr w:type="spellEnd"/>
      <w:r>
        <w:rPr>
          <w:sz w:val="24"/>
          <w:szCs w:val="24"/>
        </w:rPr>
        <w:t xml:space="preserve">- and </w:t>
      </w:r>
      <w:proofErr w:type="spellStart"/>
      <w:r>
        <w:rPr>
          <w:sz w:val="24"/>
          <w:szCs w:val="24"/>
        </w:rPr>
        <w:t>oropharyngeal</w:t>
      </w:r>
      <w:proofErr w:type="spellEnd"/>
      <w:r>
        <w:rPr>
          <w:sz w:val="24"/>
          <w:szCs w:val="24"/>
        </w:rPr>
        <w:t xml:space="preserve"> swabs. </w:t>
      </w:r>
    </w:p>
    <w:p w:rsidR="00C9072A" w:rsidRDefault="00C9072A">
      <w:pPr>
        <w:spacing w:before="200" w:line="360" w:lineRule="auto"/>
        <w:jc w:val="both"/>
        <w:rPr>
          <w:b/>
          <w:sz w:val="24"/>
          <w:szCs w:val="24"/>
        </w:rPr>
      </w:pP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Primary a</w:t>
      </w:r>
      <w:r>
        <w:rPr>
          <w:b/>
          <w:sz w:val="24"/>
          <w:szCs w:val="24"/>
        </w:rPr>
        <w:t>nd secondary outcomes.</w:t>
      </w:r>
      <w:proofErr w:type="gram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The primary outcome was </w:t>
      </w:r>
      <w:proofErr w:type="spellStart"/>
      <w:r>
        <w:rPr>
          <w:sz w:val="24"/>
          <w:szCs w:val="24"/>
        </w:rPr>
        <w:t>humoral</w:t>
      </w:r>
      <w:proofErr w:type="spellEnd"/>
      <w:r>
        <w:rPr>
          <w:sz w:val="24"/>
          <w:szCs w:val="24"/>
        </w:rPr>
        <w:t xml:space="preserve"> immunogenicity assessed by the presence of anti-S1/S2 SARS-CoV-2 </w:t>
      </w:r>
      <w:proofErr w:type="spellStart"/>
      <w:r>
        <w:rPr>
          <w:sz w:val="24"/>
          <w:szCs w:val="24"/>
        </w:rPr>
        <w:t>IgG</w:t>
      </w:r>
      <w:proofErr w:type="spellEnd"/>
      <w:r>
        <w:rPr>
          <w:sz w:val="24"/>
          <w:szCs w:val="24"/>
        </w:rPr>
        <w:t xml:space="preserve"> 6 months after the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vaccine dose (D210). Secondary outcomes were assessment after 6 months of the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vaccine dose (D210): the pr</w:t>
      </w:r>
      <w:r>
        <w:rPr>
          <w:sz w:val="24"/>
          <w:szCs w:val="24"/>
        </w:rPr>
        <w:t>esence of neutralizing antibodies (</w:t>
      </w:r>
      <w:proofErr w:type="spellStart"/>
      <w:r>
        <w:rPr>
          <w:sz w:val="24"/>
          <w:szCs w:val="24"/>
        </w:rPr>
        <w:t>NAb</w:t>
      </w:r>
      <w:proofErr w:type="spellEnd"/>
      <w:r>
        <w:rPr>
          <w:sz w:val="24"/>
          <w:szCs w:val="24"/>
        </w:rPr>
        <w:t xml:space="preserve">), anti-S1/S2 SARS-CoV-2 </w:t>
      </w:r>
      <w:proofErr w:type="spellStart"/>
      <w:r>
        <w:rPr>
          <w:sz w:val="24"/>
          <w:szCs w:val="24"/>
        </w:rPr>
        <w:t>IgG</w:t>
      </w:r>
      <w:proofErr w:type="spellEnd"/>
      <w:r>
        <w:rPr>
          <w:sz w:val="24"/>
          <w:szCs w:val="24"/>
        </w:rPr>
        <w:t xml:space="preserve"> GMT, </w:t>
      </w:r>
      <w:proofErr w:type="spellStart"/>
      <w:r>
        <w:rPr>
          <w:sz w:val="24"/>
          <w:szCs w:val="24"/>
        </w:rPr>
        <w:t>NAb</w:t>
      </w:r>
      <w:proofErr w:type="spellEnd"/>
      <w:r>
        <w:rPr>
          <w:sz w:val="24"/>
          <w:szCs w:val="24"/>
        </w:rPr>
        <w:t xml:space="preserve"> activity and the influence of demographic data, ARD diagnosis and current therapy on persistence of anti-SARS-CoV-2 immunogenicity. </w:t>
      </w:r>
      <w:proofErr w:type="gramStart"/>
      <w:r>
        <w:rPr>
          <w:sz w:val="24"/>
          <w:szCs w:val="24"/>
        </w:rPr>
        <w:t>Incident cases confirmed by RT-PCR for SARS-CoV-</w:t>
      </w:r>
      <w:r>
        <w:rPr>
          <w:sz w:val="24"/>
          <w:szCs w:val="24"/>
        </w:rPr>
        <w:t>2 infection was</w:t>
      </w:r>
      <w:proofErr w:type="gramEnd"/>
      <w:r>
        <w:rPr>
          <w:sz w:val="24"/>
          <w:szCs w:val="24"/>
        </w:rPr>
        <w:t xml:space="preserve"> also a secondary outcome.</w:t>
      </w:r>
    </w:p>
    <w:p w:rsidR="00C9072A" w:rsidRDefault="00C9072A">
      <w:pPr>
        <w:spacing w:before="200" w:line="360" w:lineRule="auto"/>
        <w:jc w:val="both"/>
        <w:rPr>
          <w:b/>
          <w:sz w:val="24"/>
          <w:szCs w:val="24"/>
        </w:rPr>
      </w:pP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Serologic assays. </w:t>
      </w:r>
      <w:r>
        <w:rPr>
          <w:sz w:val="24"/>
          <w:szCs w:val="24"/>
        </w:rPr>
        <w:t xml:space="preserve">The blood samples collected, centrifuged and stored at -80 º C until analysis. The serologic assay consisted of the measurement of the total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antibodies against the SARS-CoV-2 S1 and S2 protei</w:t>
      </w:r>
      <w:r>
        <w:rPr>
          <w:sz w:val="24"/>
          <w:szCs w:val="24"/>
          <w:highlight w:val="white"/>
        </w:rPr>
        <w:t>ns</w:t>
      </w:r>
      <w:r>
        <w:rPr>
          <w:sz w:val="24"/>
          <w:szCs w:val="24"/>
        </w:rPr>
        <w:t xml:space="preserve"> performed by </w:t>
      </w:r>
      <w:proofErr w:type="spellStart"/>
      <w:r>
        <w:rPr>
          <w:sz w:val="24"/>
          <w:szCs w:val="24"/>
          <w:highlight w:val="white"/>
        </w:rPr>
        <w:t>chemiluminescent</w:t>
      </w:r>
      <w:proofErr w:type="spellEnd"/>
      <w:r>
        <w:rPr>
          <w:sz w:val="24"/>
          <w:szCs w:val="24"/>
          <w:highlight w:val="white"/>
        </w:rPr>
        <w:t xml:space="preserve"> immunoassay </w:t>
      </w:r>
      <w:r>
        <w:rPr>
          <w:sz w:val="24"/>
          <w:szCs w:val="24"/>
        </w:rPr>
        <w:t>on the ETI-MAX-3000 equipment (</w:t>
      </w:r>
      <w:proofErr w:type="spellStart"/>
      <w:r>
        <w:rPr>
          <w:sz w:val="24"/>
          <w:szCs w:val="24"/>
        </w:rPr>
        <w:t>DiaSorin</w:t>
      </w:r>
      <w:proofErr w:type="spellEnd"/>
      <w:r>
        <w:rPr>
          <w:sz w:val="24"/>
          <w:szCs w:val="24"/>
        </w:rPr>
        <w:t>, Italy)</w:t>
      </w:r>
      <w:r>
        <w:rPr>
          <w:sz w:val="24"/>
          <w:szCs w:val="24"/>
          <w:highlight w:val="white"/>
        </w:rPr>
        <w:t xml:space="preserve"> using the Indirect ELISA, LIAISON® SARS-CoV-2 S1/S2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kit (</w:t>
      </w:r>
      <w:proofErr w:type="spellStart"/>
      <w:r>
        <w:rPr>
          <w:sz w:val="24"/>
          <w:szCs w:val="24"/>
          <w:highlight w:val="white"/>
        </w:rPr>
        <w:t>DiaSorin</w:t>
      </w:r>
      <w:proofErr w:type="spellEnd"/>
      <w:r>
        <w:rPr>
          <w:sz w:val="24"/>
          <w:szCs w:val="24"/>
          <w:highlight w:val="white"/>
        </w:rPr>
        <w:t>, Italy),</w:t>
      </w:r>
      <w:r>
        <w:rPr>
          <w:sz w:val="24"/>
          <w:szCs w:val="24"/>
        </w:rPr>
        <w:t xml:space="preserve"> and the measurement of the circulating </w:t>
      </w:r>
      <w:proofErr w:type="spellStart"/>
      <w:r>
        <w:rPr>
          <w:sz w:val="24"/>
          <w:szCs w:val="24"/>
        </w:rPr>
        <w:t>NAb</w:t>
      </w:r>
      <w:proofErr w:type="spellEnd"/>
      <w:r>
        <w:rPr>
          <w:sz w:val="24"/>
          <w:szCs w:val="24"/>
        </w:rPr>
        <w:t xml:space="preserve"> against SARS-CoV-2 using </w:t>
      </w:r>
      <w:r>
        <w:rPr>
          <w:sz w:val="24"/>
          <w:szCs w:val="24"/>
          <w:highlight w:val="white"/>
        </w:rPr>
        <w:t>the</w:t>
      </w:r>
      <w:r>
        <w:rPr>
          <w:sz w:val="24"/>
          <w:szCs w:val="24"/>
        </w:rPr>
        <w:t xml:space="preserve"> SARS-CoV-2 </w:t>
      </w:r>
      <w:proofErr w:type="spellStart"/>
      <w:r>
        <w:rPr>
          <w:sz w:val="24"/>
          <w:szCs w:val="24"/>
        </w:rPr>
        <w:t>s</w:t>
      </w:r>
      <w:r>
        <w:rPr>
          <w:sz w:val="24"/>
          <w:szCs w:val="24"/>
        </w:rPr>
        <w:t>VNT</w:t>
      </w:r>
      <w:proofErr w:type="spellEnd"/>
      <w:r>
        <w:rPr>
          <w:sz w:val="24"/>
          <w:szCs w:val="24"/>
        </w:rPr>
        <w:t xml:space="preserve"> Kit (</w:t>
      </w:r>
      <w:proofErr w:type="spellStart"/>
      <w:r>
        <w:rPr>
          <w:sz w:val="24"/>
          <w:szCs w:val="24"/>
        </w:rPr>
        <w:t>GenScript</w:t>
      </w:r>
      <w:proofErr w:type="spellEnd"/>
      <w:r>
        <w:rPr>
          <w:sz w:val="24"/>
          <w:szCs w:val="24"/>
        </w:rPr>
        <w:t>, Piscataway, NJ, USA)</w:t>
      </w:r>
      <w:r>
        <w:rPr>
          <w:sz w:val="24"/>
          <w:szCs w:val="24"/>
          <w:highlight w:val="white"/>
        </w:rPr>
        <w:t xml:space="preserve"> for the </w:t>
      </w:r>
      <w:proofErr w:type="spellStart"/>
      <w:r>
        <w:rPr>
          <w:sz w:val="24"/>
          <w:szCs w:val="24"/>
          <w:highlight w:val="white"/>
        </w:rPr>
        <w:t>NAb</w:t>
      </w:r>
      <w:proofErr w:type="spellEnd"/>
      <w:r>
        <w:rPr>
          <w:sz w:val="24"/>
          <w:szCs w:val="24"/>
          <w:highlight w:val="white"/>
        </w:rPr>
        <w:t>, following the manufacturer's instructions. Samples with 15.0 UA/</w:t>
      </w:r>
      <w:proofErr w:type="spellStart"/>
      <w:r>
        <w:rPr>
          <w:sz w:val="24"/>
          <w:szCs w:val="24"/>
          <w:highlight w:val="white"/>
        </w:rPr>
        <w:t>mL</w:t>
      </w:r>
      <w:proofErr w:type="spellEnd"/>
      <w:r>
        <w:rPr>
          <w:sz w:val="24"/>
          <w:szCs w:val="24"/>
          <w:highlight w:val="white"/>
        </w:rPr>
        <w:t xml:space="preserve"> or more for total anti-S1/S2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and with 30% or more inhibition for neutralizing </w:t>
      </w:r>
      <w:proofErr w:type="gramStart"/>
      <w:r>
        <w:rPr>
          <w:sz w:val="24"/>
          <w:szCs w:val="24"/>
          <w:highlight w:val="white"/>
        </w:rPr>
        <w:t>assay,</w:t>
      </w:r>
      <w:proofErr w:type="gramEnd"/>
      <w:r>
        <w:rPr>
          <w:sz w:val="24"/>
          <w:szCs w:val="24"/>
          <w:highlight w:val="white"/>
        </w:rPr>
        <w:t xml:space="preserve"> were considered </w:t>
      </w:r>
      <w:proofErr w:type="spellStart"/>
      <w:r>
        <w:rPr>
          <w:sz w:val="24"/>
          <w:szCs w:val="24"/>
          <w:highlight w:val="white"/>
        </w:rPr>
        <w:t>seropositive</w:t>
      </w:r>
      <w:proofErr w:type="spellEnd"/>
      <w:r>
        <w:rPr>
          <w:sz w:val="24"/>
          <w:szCs w:val="24"/>
          <w:highlight w:val="white"/>
        </w:rPr>
        <w:t xml:space="preserve"> according to the </w:t>
      </w:r>
      <w:r>
        <w:rPr>
          <w:sz w:val="24"/>
          <w:szCs w:val="24"/>
          <w:highlight w:val="white"/>
        </w:rPr>
        <w:t>manufacturer's guide</w:t>
      </w:r>
      <w:r>
        <w:rPr>
          <w:sz w:val="24"/>
          <w:szCs w:val="24"/>
          <w:highlight w:val="white"/>
          <w:vertAlign w:val="superscript"/>
        </w:rPr>
        <w:t>28</w:t>
      </w:r>
      <w:r>
        <w:rPr>
          <w:sz w:val="24"/>
          <w:szCs w:val="24"/>
          <w:highlight w:val="white"/>
        </w:rPr>
        <w:t>. Furthermore, quantitative results were reported, attributing the value of 1.9 UA/</w:t>
      </w:r>
      <w:proofErr w:type="spellStart"/>
      <w:r>
        <w:rPr>
          <w:sz w:val="24"/>
          <w:szCs w:val="24"/>
          <w:highlight w:val="white"/>
        </w:rPr>
        <w:t>mL</w:t>
      </w:r>
      <w:proofErr w:type="spellEnd"/>
      <w:r>
        <w:rPr>
          <w:sz w:val="24"/>
          <w:szCs w:val="24"/>
          <w:highlight w:val="white"/>
        </w:rPr>
        <w:t xml:space="preserve"> (half of the lower limit of quantification 3.8 UA/</w:t>
      </w:r>
      <w:proofErr w:type="spellStart"/>
      <w:r>
        <w:rPr>
          <w:sz w:val="24"/>
          <w:szCs w:val="24"/>
          <w:highlight w:val="white"/>
        </w:rPr>
        <w:t>mL</w:t>
      </w:r>
      <w:proofErr w:type="spellEnd"/>
      <w:r>
        <w:rPr>
          <w:sz w:val="24"/>
          <w:szCs w:val="24"/>
          <w:highlight w:val="white"/>
        </w:rPr>
        <w:t>) to undetectable levels (&lt;3.8 UA/</w:t>
      </w:r>
      <w:proofErr w:type="spellStart"/>
      <w:r>
        <w:rPr>
          <w:sz w:val="24"/>
          <w:szCs w:val="24"/>
          <w:highlight w:val="white"/>
        </w:rPr>
        <w:t>mL</w:t>
      </w:r>
      <w:proofErr w:type="spellEnd"/>
      <w:r>
        <w:rPr>
          <w:sz w:val="24"/>
          <w:szCs w:val="24"/>
          <w:highlight w:val="white"/>
        </w:rPr>
        <w:t xml:space="preserve">) of total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and 15% (half of the lower limit of quantific</w:t>
      </w:r>
      <w:r>
        <w:rPr>
          <w:sz w:val="24"/>
          <w:szCs w:val="24"/>
          <w:highlight w:val="white"/>
        </w:rPr>
        <w:t xml:space="preserve">ation 30%) to undetectable levels (&lt;30%) of neutralizing antibodies. </w:t>
      </w:r>
    </w:p>
    <w:p w:rsidR="00C9072A" w:rsidRDefault="00C9072A">
      <w:pPr>
        <w:spacing w:before="200" w:line="360" w:lineRule="auto"/>
        <w:jc w:val="both"/>
        <w:rPr>
          <w:b/>
          <w:color w:val="222222"/>
          <w:sz w:val="24"/>
          <w:szCs w:val="24"/>
        </w:rPr>
      </w:pPr>
    </w:p>
    <w:p w:rsidR="00C9072A" w:rsidRDefault="00D70CEC">
      <w:pPr>
        <w:spacing w:before="200" w:line="360" w:lineRule="auto"/>
        <w:jc w:val="both"/>
        <w:rPr>
          <w:sz w:val="24"/>
          <w:szCs w:val="24"/>
          <w:highlight w:val="cyan"/>
        </w:rPr>
      </w:pPr>
      <w:proofErr w:type="gramStart"/>
      <w:r>
        <w:rPr>
          <w:b/>
          <w:color w:val="222222"/>
          <w:sz w:val="24"/>
          <w:szCs w:val="24"/>
        </w:rPr>
        <w:t>RT</w:t>
      </w:r>
      <w:r>
        <w:rPr>
          <w:b/>
          <w:sz w:val="24"/>
          <w:szCs w:val="24"/>
        </w:rPr>
        <w:t>-PCR for SARS-CoV-2 analysis.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Naso</w:t>
      </w:r>
      <w:proofErr w:type="spellEnd"/>
      <w:r>
        <w:rPr>
          <w:sz w:val="24"/>
          <w:szCs w:val="24"/>
        </w:rPr>
        <w:t xml:space="preserve">- and </w:t>
      </w:r>
      <w:proofErr w:type="spellStart"/>
      <w:r>
        <w:rPr>
          <w:sz w:val="24"/>
          <w:szCs w:val="24"/>
        </w:rPr>
        <w:t>oropharyngeal</w:t>
      </w:r>
      <w:proofErr w:type="spellEnd"/>
      <w:r>
        <w:rPr>
          <w:sz w:val="24"/>
          <w:szCs w:val="24"/>
        </w:rPr>
        <w:t xml:space="preserve"> swabs were obtained whenever the participants reported Covid-19 related symptoms, and SARS-CoV-2 RT-PCR was performed using a previously reported assay</w:t>
      </w:r>
      <w:r>
        <w:rPr>
          <w:sz w:val="24"/>
          <w:szCs w:val="24"/>
          <w:vertAlign w:val="superscript"/>
        </w:rPr>
        <w:t>29</w:t>
      </w:r>
      <w:r>
        <w:rPr>
          <w:sz w:val="24"/>
          <w:szCs w:val="24"/>
        </w:rPr>
        <w:t xml:space="preserve">. </w:t>
      </w:r>
    </w:p>
    <w:p w:rsidR="00C9072A" w:rsidRDefault="00C9072A">
      <w:pPr>
        <w:spacing w:before="200" w:line="360" w:lineRule="auto"/>
        <w:jc w:val="both"/>
        <w:rPr>
          <w:b/>
          <w:sz w:val="24"/>
          <w:szCs w:val="24"/>
          <w:highlight w:val="white"/>
        </w:rPr>
      </w:pPr>
    </w:p>
    <w:p w:rsidR="00C9072A" w:rsidRDefault="00D70CEC">
      <w:pPr>
        <w:spacing w:before="200" w:line="360" w:lineRule="auto"/>
        <w:jc w:val="both"/>
        <w:rPr>
          <w:sz w:val="24"/>
          <w:szCs w:val="24"/>
        </w:rPr>
      </w:pPr>
      <w:proofErr w:type="gramStart"/>
      <w:r>
        <w:rPr>
          <w:b/>
          <w:sz w:val="24"/>
          <w:szCs w:val="24"/>
          <w:highlight w:val="white"/>
        </w:rPr>
        <w:t>Data and statistical analysis.</w:t>
      </w:r>
      <w:proofErr w:type="gramEnd"/>
      <w:r>
        <w:rPr>
          <w:b/>
          <w:sz w:val="24"/>
          <w:szCs w:val="24"/>
          <w:highlight w:val="white"/>
        </w:rPr>
        <w:t xml:space="preserve"> </w:t>
      </w:r>
      <w:r>
        <w:rPr>
          <w:sz w:val="24"/>
          <w:szCs w:val="24"/>
        </w:rPr>
        <w:t xml:space="preserve">Demographical data were presented as number </w:t>
      </w:r>
      <w:r>
        <w:rPr>
          <w:sz w:val="24"/>
          <w:szCs w:val="24"/>
          <w:highlight w:val="white"/>
        </w:rPr>
        <w:t xml:space="preserve">(percentage) for </w:t>
      </w:r>
      <w:r>
        <w:rPr>
          <w:sz w:val="24"/>
          <w:szCs w:val="24"/>
        </w:rPr>
        <w:t xml:space="preserve">categorical variables </w:t>
      </w:r>
      <w:r>
        <w:rPr>
          <w:sz w:val="24"/>
          <w:szCs w:val="24"/>
          <w:highlight w:val="white"/>
        </w:rPr>
        <w:t xml:space="preserve">and </w:t>
      </w:r>
      <w:r>
        <w:rPr>
          <w:sz w:val="24"/>
          <w:szCs w:val="24"/>
        </w:rPr>
        <w:t>as medians (</w:t>
      </w:r>
      <w:proofErr w:type="spellStart"/>
      <w:r>
        <w:rPr>
          <w:sz w:val="24"/>
          <w:szCs w:val="24"/>
        </w:rPr>
        <w:t>interquartile</w:t>
      </w:r>
      <w:proofErr w:type="spellEnd"/>
      <w:r>
        <w:rPr>
          <w:sz w:val="24"/>
          <w:szCs w:val="24"/>
        </w:rPr>
        <w:t xml:space="preserve"> ranges) for continuous variables</w:t>
      </w:r>
      <w:r>
        <w:rPr>
          <w:sz w:val="24"/>
          <w:szCs w:val="24"/>
          <w:highlight w:val="white"/>
        </w:rPr>
        <w:t xml:space="preserve">. The comparison between ARD and CG were performed by the chi-square or Fisher's exact tests, as appropriate for categorical variables, and by </w:t>
      </w:r>
      <w:r>
        <w:rPr>
          <w:sz w:val="24"/>
          <w:szCs w:val="24"/>
        </w:rPr>
        <w:t>Mann-Whitney</w:t>
      </w:r>
      <w:r>
        <w:rPr>
          <w:sz w:val="24"/>
          <w:szCs w:val="24"/>
        </w:rPr>
        <w:t xml:space="preserve"> test for continuous variables</w:t>
      </w:r>
      <w:r>
        <w:rPr>
          <w:sz w:val="24"/>
          <w:szCs w:val="24"/>
          <w:highlight w:val="white"/>
        </w:rPr>
        <w:t xml:space="preserve">. </w:t>
      </w:r>
      <w:proofErr w:type="spellStart"/>
      <w:r>
        <w:rPr>
          <w:sz w:val="24"/>
          <w:szCs w:val="24"/>
          <w:highlight w:val="white"/>
        </w:rPr>
        <w:t>Seropositivity</w:t>
      </w:r>
      <w:proofErr w:type="spellEnd"/>
      <w:r>
        <w:rPr>
          <w:sz w:val="24"/>
          <w:szCs w:val="24"/>
          <w:highlight w:val="white"/>
        </w:rPr>
        <w:t xml:space="preserve"> (SP) rates of anti-S1/S2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and </w:t>
      </w:r>
      <w:proofErr w:type="spellStart"/>
      <w:r>
        <w:rPr>
          <w:sz w:val="24"/>
          <w:szCs w:val="24"/>
          <w:highlight w:val="white"/>
        </w:rPr>
        <w:t>NAb</w:t>
      </w:r>
      <w:proofErr w:type="spellEnd"/>
      <w:r>
        <w:rPr>
          <w:sz w:val="24"/>
          <w:szCs w:val="24"/>
          <w:highlight w:val="white"/>
        </w:rPr>
        <w:t xml:space="preserve"> were presented as numbers (</w:t>
      </w:r>
      <w:proofErr w:type="spellStart"/>
      <w:r>
        <w:rPr>
          <w:sz w:val="24"/>
          <w:szCs w:val="24"/>
          <w:highlight w:val="white"/>
        </w:rPr>
        <w:t>porcentage</w:t>
      </w:r>
      <w:proofErr w:type="spellEnd"/>
      <w:r>
        <w:rPr>
          <w:sz w:val="24"/>
          <w:szCs w:val="24"/>
          <w:highlight w:val="white"/>
        </w:rPr>
        <w:t xml:space="preserve">) of positive samples and were compared </w:t>
      </w:r>
      <w:r>
        <w:rPr>
          <w:sz w:val="24"/>
          <w:szCs w:val="24"/>
        </w:rPr>
        <w:t>between groups (ARD and CG) and between time points (D69 vs. D210) using generalized estimating</w:t>
      </w:r>
      <w:r>
        <w:rPr>
          <w:sz w:val="24"/>
          <w:szCs w:val="24"/>
        </w:rPr>
        <w:t xml:space="preserve"> equations (GEE) with binomial distribution and </w:t>
      </w:r>
      <w:proofErr w:type="spellStart"/>
      <w:r>
        <w:rPr>
          <w:sz w:val="24"/>
          <w:szCs w:val="24"/>
        </w:rPr>
        <w:t>logit</w:t>
      </w:r>
      <w:proofErr w:type="spellEnd"/>
      <w:r>
        <w:rPr>
          <w:sz w:val="24"/>
          <w:szCs w:val="24"/>
        </w:rPr>
        <w:t xml:space="preserve"> link function, assuming autoregressive correlation matrix between moments. </w:t>
      </w:r>
      <w:proofErr w:type="spellStart"/>
      <w:r>
        <w:rPr>
          <w:sz w:val="24"/>
          <w:szCs w:val="24"/>
        </w:rPr>
        <w:t>IgG</w:t>
      </w:r>
      <w:proofErr w:type="spellEnd"/>
      <w:r>
        <w:rPr>
          <w:sz w:val="24"/>
          <w:szCs w:val="24"/>
        </w:rPr>
        <w:t xml:space="preserve"> antibody titers are expressed as geometric means with 95% confidence interval (95%CI). </w:t>
      </w:r>
      <w:r>
        <w:rPr>
          <w:sz w:val="24"/>
          <w:szCs w:val="24"/>
          <w:highlight w:val="white"/>
        </w:rPr>
        <w:t xml:space="preserve">Total anti-S1/S2 SARS-CoV-2 </w:t>
      </w:r>
      <w:proofErr w:type="spellStart"/>
      <w:r>
        <w:rPr>
          <w:sz w:val="24"/>
          <w:szCs w:val="24"/>
          <w:highlight w:val="white"/>
        </w:rPr>
        <w:t>IgG</w:t>
      </w:r>
      <w:proofErr w:type="spellEnd"/>
      <w:r>
        <w:rPr>
          <w:sz w:val="24"/>
          <w:szCs w:val="24"/>
          <w:highlight w:val="white"/>
        </w:rPr>
        <w:t xml:space="preserve"> was </w:t>
      </w:r>
      <w:r>
        <w:rPr>
          <w:sz w:val="24"/>
          <w:szCs w:val="24"/>
          <w:highlight w:val="white"/>
        </w:rPr>
        <w:t xml:space="preserve">expressed as geometric mean titers (GMT) and 95% confidence intervals and it was compared </w:t>
      </w:r>
      <w:r>
        <w:rPr>
          <w:sz w:val="24"/>
          <w:szCs w:val="24"/>
        </w:rPr>
        <w:t xml:space="preserve">using Generalized Estimating Equations (GEE) with two factors [2 groups (ARD and CG) at 2 time points (D69 vs. D210)] followed by </w:t>
      </w:r>
      <w:proofErr w:type="spellStart"/>
      <w:r>
        <w:rPr>
          <w:sz w:val="24"/>
          <w:szCs w:val="24"/>
        </w:rPr>
        <w:t>Bonferroni's</w:t>
      </w:r>
      <w:proofErr w:type="spellEnd"/>
      <w:r>
        <w:rPr>
          <w:sz w:val="24"/>
          <w:szCs w:val="24"/>
        </w:rPr>
        <w:t xml:space="preserve"> multiple comparisons in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neperian</w:t>
      </w:r>
      <w:proofErr w:type="spellEnd"/>
      <w:r>
        <w:rPr>
          <w:sz w:val="24"/>
          <w:szCs w:val="24"/>
        </w:rPr>
        <w:t xml:space="preserve"> logarithm (</w:t>
      </w:r>
      <w:proofErr w:type="spellStart"/>
      <w:r>
        <w:rPr>
          <w:sz w:val="24"/>
          <w:szCs w:val="24"/>
        </w:rPr>
        <w:t>ln</w:t>
      </w:r>
      <w:proofErr w:type="spellEnd"/>
      <w:r>
        <w:rPr>
          <w:sz w:val="24"/>
          <w:szCs w:val="24"/>
        </w:rPr>
        <w:t xml:space="preserve">)-transformed data. </w:t>
      </w:r>
      <w:r>
        <w:rPr>
          <w:sz w:val="24"/>
          <w:szCs w:val="24"/>
          <w:highlight w:val="white"/>
        </w:rPr>
        <w:t>Neutralizing activity was expressed as m</w:t>
      </w:r>
      <w:r>
        <w:rPr>
          <w:sz w:val="24"/>
          <w:szCs w:val="24"/>
        </w:rPr>
        <w:t>edians (</w:t>
      </w:r>
      <w:proofErr w:type="spellStart"/>
      <w:r>
        <w:rPr>
          <w:sz w:val="24"/>
          <w:szCs w:val="24"/>
        </w:rPr>
        <w:t>interquartile</w:t>
      </w:r>
      <w:proofErr w:type="spellEnd"/>
      <w:r>
        <w:rPr>
          <w:sz w:val="24"/>
          <w:szCs w:val="24"/>
        </w:rPr>
        <w:t xml:space="preserve"> range) of the</w:t>
      </w:r>
      <w:r>
        <w:rPr>
          <w:sz w:val="24"/>
          <w:szCs w:val="24"/>
          <w:highlight w:val="white"/>
        </w:rPr>
        <w:t xml:space="preserve"> percentage of inhibition and were compared </w:t>
      </w:r>
      <w:r>
        <w:rPr>
          <w:sz w:val="24"/>
          <w:szCs w:val="24"/>
        </w:rPr>
        <w:t xml:space="preserve">using Generalized </w:t>
      </w:r>
      <w:r>
        <w:rPr>
          <w:sz w:val="24"/>
          <w:szCs w:val="24"/>
        </w:rPr>
        <w:t>Estimating Equations (GEE) with two factors [2 groups (ARD and CG) at 2 time</w:t>
      </w:r>
      <w:r>
        <w:rPr>
          <w:sz w:val="24"/>
          <w:szCs w:val="24"/>
        </w:rPr>
        <w:t xml:space="preserve"> points (D69 vs. D210)] followed by </w:t>
      </w:r>
      <w:proofErr w:type="spellStart"/>
      <w:r>
        <w:rPr>
          <w:sz w:val="24"/>
          <w:szCs w:val="24"/>
        </w:rPr>
        <w:t>Bonferroni's</w:t>
      </w:r>
      <w:proofErr w:type="spellEnd"/>
      <w:r>
        <w:rPr>
          <w:sz w:val="24"/>
          <w:szCs w:val="24"/>
        </w:rPr>
        <w:t xml:space="preserve"> multiple comparisons. Multivariate logistic regression analyses were performed using as dependent variables SC or </w:t>
      </w:r>
      <w:proofErr w:type="spellStart"/>
      <w:r>
        <w:rPr>
          <w:sz w:val="24"/>
          <w:szCs w:val="24"/>
        </w:rPr>
        <w:t>NAb</w:t>
      </w:r>
      <w:proofErr w:type="spellEnd"/>
      <w:r>
        <w:rPr>
          <w:sz w:val="24"/>
          <w:szCs w:val="24"/>
        </w:rPr>
        <w:t xml:space="preserve"> positivity at D210 and as independent variables those with p&lt;0.2 in each </w:t>
      </w:r>
      <w:proofErr w:type="spellStart"/>
      <w:r>
        <w:rPr>
          <w:sz w:val="24"/>
          <w:szCs w:val="24"/>
        </w:rPr>
        <w:t>univariate</w:t>
      </w:r>
      <w:proofErr w:type="spellEnd"/>
      <w:r>
        <w:rPr>
          <w:sz w:val="24"/>
          <w:szCs w:val="24"/>
        </w:rPr>
        <w:t xml:space="preserve"> analy</w:t>
      </w:r>
      <w:r>
        <w:rPr>
          <w:sz w:val="24"/>
          <w:szCs w:val="24"/>
        </w:rPr>
        <w:t xml:space="preserve">sis. Confirmed COVID-19 cases and hospitalization incident-density data (along with 95% confidence intervals) were estimated </w:t>
      </w:r>
      <w:r>
        <w:rPr>
          <w:color w:val="000000"/>
          <w:sz w:val="24"/>
          <w:szCs w:val="24"/>
        </w:rPr>
        <w:t xml:space="preserve">using Poisson distribution and test-based methods </w:t>
      </w:r>
      <w:r>
        <w:rPr>
          <w:sz w:val="24"/>
          <w:szCs w:val="24"/>
        </w:rPr>
        <w:t xml:space="preserve">and compared on ARD patients at T1 and T2, with significance related to incident </w:t>
      </w:r>
      <w:r>
        <w:rPr>
          <w:sz w:val="24"/>
          <w:szCs w:val="24"/>
        </w:rPr>
        <w:t xml:space="preserve">differences. Survival analysis of ARD and CG subjects free of confirmed COVID-19 cases was performed using Kaplan-Meier curves and compared with long-rank test. </w:t>
      </w:r>
      <w:r>
        <w:rPr>
          <w:sz w:val="24"/>
          <w:szCs w:val="24"/>
        </w:rPr>
        <w:lastRenderedPageBreak/>
        <w:t>Statistical significance was defined as p&lt;0.05. Most of statistical analyses were performed usi</w:t>
      </w:r>
      <w:r>
        <w:rPr>
          <w:sz w:val="24"/>
          <w:szCs w:val="24"/>
        </w:rPr>
        <w:t xml:space="preserve">ng Statistical Package for the Social Sciences, version 20.0 (IBM-SPSS for Windows. 20.0. Chicago, IL, USA). For incident-density data, </w:t>
      </w:r>
      <w:proofErr w:type="spellStart"/>
      <w:r>
        <w:rPr>
          <w:sz w:val="24"/>
          <w:szCs w:val="24"/>
        </w:rPr>
        <w:t>MedCalc</w:t>
      </w:r>
      <w:proofErr w:type="spellEnd"/>
      <w:r>
        <w:rPr>
          <w:sz w:val="24"/>
          <w:szCs w:val="24"/>
        </w:rPr>
        <w:t xml:space="preserve"> version 20.015 was used.</w:t>
      </w: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061367" w:rsidRDefault="00061367">
      <w:pPr>
        <w:spacing w:before="200" w:line="360" w:lineRule="auto"/>
        <w:jc w:val="both"/>
        <w:rPr>
          <w:sz w:val="24"/>
          <w:szCs w:val="24"/>
        </w:rPr>
      </w:pP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References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00"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Aletaha</w:t>
      </w:r>
      <w:proofErr w:type="spellEnd"/>
      <w:r>
        <w:rPr>
          <w:color w:val="000000"/>
          <w:sz w:val="24"/>
          <w:szCs w:val="24"/>
        </w:rPr>
        <w:t>, D. et al. 2010 Rheumatoid arthritis classification criteria: An Ame</w:t>
      </w:r>
      <w:r>
        <w:rPr>
          <w:color w:val="000000"/>
          <w:sz w:val="24"/>
          <w:szCs w:val="24"/>
        </w:rPr>
        <w:t xml:space="preserve">rican College of Rheumatology/European League </w:t>
      </w:r>
      <w:proofErr w:type="gramStart"/>
      <w:r>
        <w:rPr>
          <w:color w:val="000000"/>
          <w:sz w:val="24"/>
          <w:szCs w:val="24"/>
        </w:rPr>
        <w:t>Against</w:t>
      </w:r>
      <w:proofErr w:type="gramEnd"/>
      <w:r>
        <w:rPr>
          <w:color w:val="000000"/>
          <w:sz w:val="24"/>
          <w:szCs w:val="24"/>
        </w:rPr>
        <w:t xml:space="preserve"> Rheumatism collaborative initiative. </w:t>
      </w:r>
      <w:r>
        <w:rPr>
          <w:i/>
          <w:color w:val="000000"/>
          <w:sz w:val="24"/>
          <w:szCs w:val="24"/>
        </w:rPr>
        <w:t xml:space="preserve">Arthritis.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62</w:t>
      </w:r>
      <w:r>
        <w:rPr>
          <w:color w:val="000000"/>
          <w:sz w:val="24"/>
          <w:szCs w:val="24"/>
        </w:rPr>
        <w:t>, 2569–2581 (2010).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Petri, M. et al. Derivation and validation of the Systemic Lupus International Collaborating Clinics classification criteria for systemic lupus </w:t>
      </w:r>
      <w:proofErr w:type="spellStart"/>
      <w:r>
        <w:rPr>
          <w:color w:val="000000"/>
          <w:sz w:val="24"/>
          <w:szCs w:val="24"/>
        </w:rPr>
        <w:t>erythematosus</w:t>
      </w:r>
      <w:proofErr w:type="spellEnd"/>
      <w:r>
        <w:rPr>
          <w:color w:val="000000"/>
          <w:sz w:val="24"/>
          <w:szCs w:val="24"/>
        </w:rPr>
        <w:t xml:space="preserve">. </w:t>
      </w:r>
      <w:r>
        <w:rPr>
          <w:i/>
          <w:color w:val="000000"/>
          <w:sz w:val="24"/>
          <w:szCs w:val="24"/>
        </w:rPr>
        <w:t xml:space="preserve">Arthritis.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64, 2677–2686 (2012).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Rudwaleit</w:t>
      </w:r>
      <w:proofErr w:type="spellEnd"/>
      <w:r>
        <w:rPr>
          <w:color w:val="000000"/>
          <w:sz w:val="24"/>
          <w:szCs w:val="24"/>
        </w:rPr>
        <w:t xml:space="preserve">, M. et al. The development of Assessment of </w:t>
      </w:r>
      <w:proofErr w:type="spellStart"/>
      <w:r>
        <w:rPr>
          <w:color w:val="000000"/>
          <w:sz w:val="24"/>
          <w:szCs w:val="24"/>
        </w:rPr>
        <w:t>Spo</w:t>
      </w:r>
      <w:r>
        <w:rPr>
          <w:color w:val="000000"/>
          <w:sz w:val="24"/>
          <w:szCs w:val="24"/>
        </w:rPr>
        <w:t>ndyloArthritis</w:t>
      </w:r>
      <w:proofErr w:type="spellEnd"/>
      <w:r>
        <w:rPr>
          <w:color w:val="000000"/>
          <w:sz w:val="24"/>
          <w:szCs w:val="24"/>
        </w:rPr>
        <w:t xml:space="preserve"> international Society classification criteria for axial </w:t>
      </w:r>
      <w:proofErr w:type="spellStart"/>
      <w:r>
        <w:rPr>
          <w:color w:val="000000"/>
          <w:sz w:val="24"/>
          <w:szCs w:val="24"/>
        </w:rPr>
        <w:t>spondyloarthritis</w:t>
      </w:r>
      <w:proofErr w:type="spellEnd"/>
      <w:r>
        <w:rPr>
          <w:color w:val="000000"/>
          <w:sz w:val="24"/>
          <w:szCs w:val="24"/>
        </w:rPr>
        <w:t xml:space="preserve"> (part II): validation and final selection. </w:t>
      </w:r>
      <w:r>
        <w:rPr>
          <w:i/>
          <w:color w:val="000000"/>
          <w:sz w:val="24"/>
          <w:szCs w:val="24"/>
        </w:rPr>
        <w:t xml:space="preserve">Ann.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 Dis.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68</w:t>
      </w:r>
      <w:r>
        <w:rPr>
          <w:color w:val="000000"/>
          <w:sz w:val="24"/>
          <w:szCs w:val="24"/>
        </w:rPr>
        <w:t>, 777–783 (2009).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Tillett</w:t>
      </w:r>
      <w:proofErr w:type="spellEnd"/>
      <w:r>
        <w:rPr>
          <w:color w:val="000000"/>
          <w:sz w:val="24"/>
          <w:szCs w:val="24"/>
        </w:rPr>
        <w:t xml:space="preserve">, W. et al. The </w:t>
      </w:r>
      <w:proofErr w:type="spellStart"/>
      <w:r>
        <w:rPr>
          <w:color w:val="000000"/>
          <w:sz w:val="24"/>
          <w:szCs w:val="24"/>
        </w:rPr>
        <w:t>ClASsification</w:t>
      </w:r>
      <w:proofErr w:type="spellEnd"/>
      <w:r>
        <w:rPr>
          <w:color w:val="000000"/>
          <w:sz w:val="24"/>
          <w:szCs w:val="24"/>
        </w:rPr>
        <w:t xml:space="preserve"> for Psoriatic </w:t>
      </w:r>
      <w:proofErr w:type="spellStart"/>
      <w:r>
        <w:rPr>
          <w:color w:val="000000"/>
          <w:sz w:val="24"/>
          <w:szCs w:val="24"/>
        </w:rPr>
        <w:t>ARthritis</w:t>
      </w:r>
      <w:proofErr w:type="spellEnd"/>
      <w:r>
        <w:rPr>
          <w:color w:val="000000"/>
          <w:sz w:val="24"/>
          <w:szCs w:val="24"/>
        </w:rPr>
        <w:t xml:space="preserve"> (CASPAR) Criteria – A Retrospective Feasibility, Sensitivity, and Specificity Study. </w:t>
      </w:r>
      <w:r>
        <w:rPr>
          <w:i/>
          <w:color w:val="000000"/>
          <w:sz w:val="24"/>
          <w:szCs w:val="24"/>
        </w:rPr>
        <w:t xml:space="preserve">J. </w:t>
      </w:r>
      <w:proofErr w:type="spellStart"/>
      <w:r>
        <w:rPr>
          <w:i/>
          <w:color w:val="000000"/>
          <w:sz w:val="24"/>
          <w:szCs w:val="24"/>
        </w:rPr>
        <w:t>Rheumatol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39</w:t>
      </w:r>
      <w:r>
        <w:rPr>
          <w:color w:val="000000"/>
          <w:sz w:val="24"/>
          <w:szCs w:val="24"/>
        </w:rPr>
        <w:t>, 154–156 (2012).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Arend</w:t>
      </w:r>
      <w:proofErr w:type="spellEnd"/>
      <w:r>
        <w:rPr>
          <w:color w:val="000000"/>
          <w:sz w:val="24"/>
          <w:szCs w:val="24"/>
        </w:rPr>
        <w:t xml:space="preserve">, W. P. et al. The American College of Rheumatology 1990 criteria for </w:t>
      </w:r>
      <w:r>
        <w:rPr>
          <w:color w:val="000000"/>
          <w:sz w:val="24"/>
          <w:szCs w:val="24"/>
        </w:rPr>
        <w:t xml:space="preserve">the classification of </w:t>
      </w:r>
      <w:proofErr w:type="spellStart"/>
      <w:r>
        <w:rPr>
          <w:color w:val="000000"/>
          <w:sz w:val="24"/>
          <w:szCs w:val="24"/>
        </w:rPr>
        <w:t>Takayasu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arteritis</w:t>
      </w:r>
      <w:proofErr w:type="spellEnd"/>
      <w:r>
        <w:rPr>
          <w:i/>
          <w:color w:val="000000"/>
          <w:sz w:val="24"/>
          <w:szCs w:val="24"/>
        </w:rPr>
        <w:t xml:space="preserve">. Arthritis.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33</w:t>
      </w:r>
      <w:r>
        <w:rPr>
          <w:color w:val="000000"/>
          <w:sz w:val="24"/>
          <w:szCs w:val="24"/>
        </w:rPr>
        <w:t>, 1129–1134 (2010).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Leavitt, R. Y. et al. The American College of Rheumatology 1990 criteria for the classification of Wegener’s </w:t>
      </w:r>
      <w:proofErr w:type="spellStart"/>
      <w:r>
        <w:rPr>
          <w:color w:val="000000"/>
          <w:sz w:val="24"/>
          <w:szCs w:val="24"/>
        </w:rPr>
        <w:t>granulomatosis</w:t>
      </w:r>
      <w:proofErr w:type="spellEnd"/>
      <w:r>
        <w:rPr>
          <w:color w:val="000000"/>
          <w:sz w:val="24"/>
          <w:szCs w:val="24"/>
        </w:rPr>
        <w:t xml:space="preserve">. </w:t>
      </w:r>
      <w:r>
        <w:rPr>
          <w:i/>
          <w:color w:val="000000"/>
          <w:sz w:val="24"/>
          <w:szCs w:val="24"/>
        </w:rPr>
        <w:t xml:space="preserve">Arthritis.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33</w:t>
      </w:r>
      <w:r>
        <w:rPr>
          <w:color w:val="000000"/>
          <w:sz w:val="24"/>
          <w:szCs w:val="24"/>
        </w:rPr>
        <w:t>, 1101–1107 (2010).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Vitali</w:t>
      </w:r>
      <w:proofErr w:type="spellEnd"/>
      <w:r>
        <w:rPr>
          <w:color w:val="000000"/>
          <w:sz w:val="24"/>
          <w:szCs w:val="24"/>
        </w:rPr>
        <w:t>, C</w:t>
      </w:r>
      <w:r>
        <w:rPr>
          <w:color w:val="000000"/>
          <w:sz w:val="24"/>
          <w:szCs w:val="24"/>
        </w:rPr>
        <w:t xml:space="preserve">. Classification criteria for </w:t>
      </w:r>
      <w:proofErr w:type="spellStart"/>
      <w:r>
        <w:rPr>
          <w:color w:val="000000"/>
          <w:sz w:val="24"/>
          <w:szCs w:val="24"/>
        </w:rPr>
        <w:t>Sjogren’s</w:t>
      </w:r>
      <w:proofErr w:type="spellEnd"/>
      <w:r>
        <w:rPr>
          <w:color w:val="000000"/>
          <w:sz w:val="24"/>
          <w:szCs w:val="24"/>
        </w:rPr>
        <w:t xml:space="preserve"> syndrome: a revised version of the European criteria proposed by the American-European Consensus Group. </w:t>
      </w:r>
      <w:r>
        <w:rPr>
          <w:i/>
          <w:color w:val="000000"/>
          <w:sz w:val="24"/>
          <w:szCs w:val="24"/>
        </w:rPr>
        <w:t xml:space="preserve">Ann.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 Dis.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61</w:t>
      </w:r>
      <w:r>
        <w:rPr>
          <w:color w:val="000000"/>
          <w:sz w:val="24"/>
          <w:szCs w:val="24"/>
        </w:rPr>
        <w:t>, 554–558 (2002).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van</w:t>
      </w:r>
      <w:proofErr w:type="gramEnd"/>
      <w:r>
        <w:rPr>
          <w:color w:val="000000"/>
          <w:sz w:val="24"/>
          <w:szCs w:val="24"/>
        </w:rPr>
        <w:t xml:space="preserve"> den </w:t>
      </w:r>
      <w:proofErr w:type="spellStart"/>
      <w:r>
        <w:rPr>
          <w:color w:val="000000"/>
          <w:sz w:val="24"/>
          <w:szCs w:val="24"/>
        </w:rPr>
        <w:t>Hoogen</w:t>
      </w:r>
      <w:proofErr w:type="spellEnd"/>
      <w:r>
        <w:rPr>
          <w:color w:val="000000"/>
          <w:sz w:val="24"/>
          <w:szCs w:val="24"/>
        </w:rPr>
        <w:t>, F. et al. 2013 classification criteria for systemic scleros</w:t>
      </w:r>
      <w:r>
        <w:rPr>
          <w:color w:val="000000"/>
          <w:sz w:val="24"/>
          <w:szCs w:val="24"/>
        </w:rPr>
        <w:t xml:space="preserve">is: an American college of rheumatology/European league against rheumatism collaborative initiative. </w:t>
      </w:r>
      <w:r>
        <w:rPr>
          <w:i/>
          <w:color w:val="000000"/>
          <w:sz w:val="24"/>
          <w:szCs w:val="24"/>
        </w:rPr>
        <w:t xml:space="preserve">Ann.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>Dis</w:t>
      </w:r>
      <w:r>
        <w:rPr>
          <w:color w:val="000000"/>
          <w:sz w:val="24"/>
          <w:szCs w:val="24"/>
        </w:rPr>
        <w:t xml:space="preserve">. </w:t>
      </w:r>
      <w:r>
        <w:rPr>
          <w:b/>
          <w:color w:val="000000"/>
          <w:sz w:val="24"/>
          <w:szCs w:val="24"/>
        </w:rPr>
        <w:t>72</w:t>
      </w:r>
      <w:r>
        <w:rPr>
          <w:color w:val="000000"/>
          <w:sz w:val="24"/>
          <w:szCs w:val="24"/>
        </w:rPr>
        <w:t>, 1747–1755 (2013).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Lundberg IE. </w:t>
      </w:r>
      <w:proofErr w:type="gramStart"/>
      <w:r>
        <w:rPr>
          <w:color w:val="000000"/>
          <w:sz w:val="24"/>
          <w:szCs w:val="24"/>
        </w:rPr>
        <w:t>et</w:t>
      </w:r>
      <w:proofErr w:type="gramEnd"/>
      <w:r>
        <w:rPr>
          <w:color w:val="000000"/>
          <w:sz w:val="24"/>
          <w:szCs w:val="24"/>
        </w:rPr>
        <w:t xml:space="preserve"> al. EULAR/ACR classification criteria for adult and juvenile idiopathic inflammatory </w:t>
      </w:r>
      <w:proofErr w:type="spellStart"/>
      <w:r>
        <w:rPr>
          <w:color w:val="000000"/>
          <w:sz w:val="24"/>
          <w:szCs w:val="24"/>
        </w:rPr>
        <w:t>myopathies</w:t>
      </w:r>
      <w:proofErr w:type="spellEnd"/>
      <w:r>
        <w:rPr>
          <w:color w:val="000000"/>
          <w:sz w:val="24"/>
          <w:szCs w:val="24"/>
        </w:rPr>
        <w:t xml:space="preserve"> and </w:t>
      </w:r>
      <w:r>
        <w:rPr>
          <w:color w:val="000000"/>
          <w:sz w:val="24"/>
          <w:szCs w:val="24"/>
        </w:rPr>
        <w:t xml:space="preserve">their major subgroups. </w:t>
      </w:r>
      <w:r>
        <w:rPr>
          <w:i/>
          <w:color w:val="000000"/>
          <w:sz w:val="24"/>
          <w:szCs w:val="24"/>
        </w:rPr>
        <w:t xml:space="preserve">Ann. </w:t>
      </w:r>
      <w:proofErr w:type="spellStart"/>
      <w:r>
        <w:rPr>
          <w:i/>
          <w:color w:val="000000"/>
          <w:sz w:val="24"/>
          <w:szCs w:val="24"/>
        </w:rPr>
        <w:t>Rheum</w:t>
      </w:r>
      <w:proofErr w:type="spellEnd"/>
      <w:r>
        <w:rPr>
          <w:i/>
          <w:color w:val="000000"/>
          <w:sz w:val="24"/>
          <w:szCs w:val="24"/>
        </w:rPr>
        <w:t>. Dis.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76</w:t>
      </w:r>
      <w:r>
        <w:rPr>
          <w:color w:val="000000"/>
          <w:sz w:val="24"/>
          <w:szCs w:val="24"/>
        </w:rPr>
        <w:t>, 1955-1964 (2017).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Miyakis</w:t>
      </w:r>
      <w:proofErr w:type="spellEnd"/>
      <w:r>
        <w:rPr>
          <w:color w:val="000000"/>
          <w:sz w:val="24"/>
          <w:szCs w:val="24"/>
        </w:rPr>
        <w:t xml:space="preserve">, S. et al. International consensus statement on an update of the classification criteria for definite </w:t>
      </w:r>
      <w:proofErr w:type="spellStart"/>
      <w:r>
        <w:rPr>
          <w:color w:val="000000"/>
          <w:sz w:val="24"/>
          <w:szCs w:val="24"/>
        </w:rPr>
        <w:t>antiphospholipid</w:t>
      </w:r>
      <w:proofErr w:type="spellEnd"/>
      <w:r>
        <w:rPr>
          <w:color w:val="000000"/>
          <w:sz w:val="24"/>
          <w:szCs w:val="24"/>
        </w:rPr>
        <w:t xml:space="preserve"> syndrome (APS). </w:t>
      </w:r>
      <w:r>
        <w:rPr>
          <w:i/>
          <w:color w:val="000000"/>
          <w:sz w:val="24"/>
          <w:szCs w:val="24"/>
        </w:rPr>
        <w:t xml:space="preserve">J. </w:t>
      </w:r>
      <w:proofErr w:type="spellStart"/>
      <w:r>
        <w:rPr>
          <w:i/>
          <w:color w:val="000000"/>
          <w:sz w:val="24"/>
          <w:szCs w:val="24"/>
        </w:rPr>
        <w:t>Thromb</w:t>
      </w:r>
      <w:proofErr w:type="spellEnd"/>
      <w:r>
        <w:rPr>
          <w:i/>
          <w:color w:val="000000"/>
          <w:sz w:val="24"/>
          <w:szCs w:val="24"/>
        </w:rPr>
        <w:t xml:space="preserve">. </w:t>
      </w:r>
      <w:proofErr w:type="spellStart"/>
      <w:r>
        <w:rPr>
          <w:i/>
          <w:color w:val="000000"/>
          <w:sz w:val="24"/>
          <w:szCs w:val="24"/>
        </w:rPr>
        <w:t>Haemost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>, 295–306 (2006).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Taylor, S. C. et al. A New SARS-CoV-2 Dual-Purpose Serology Test: Highly Accurate Infection Tracing and Neutralizing Antibody Response Detection. </w:t>
      </w:r>
      <w:r>
        <w:rPr>
          <w:i/>
          <w:color w:val="000000"/>
          <w:sz w:val="24"/>
          <w:szCs w:val="24"/>
        </w:rPr>
        <w:t xml:space="preserve">J. </w:t>
      </w:r>
      <w:proofErr w:type="spellStart"/>
      <w:r>
        <w:rPr>
          <w:i/>
          <w:color w:val="000000"/>
          <w:sz w:val="24"/>
          <w:szCs w:val="24"/>
        </w:rPr>
        <w:t>Clin</w:t>
      </w:r>
      <w:proofErr w:type="spellEnd"/>
      <w:r>
        <w:rPr>
          <w:i/>
          <w:color w:val="000000"/>
          <w:sz w:val="24"/>
          <w:szCs w:val="24"/>
        </w:rPr>
        <w:t xml:space="preserve">. </w:t>
      </w:r>
      <w:proofErr w:type="spellStart"/>
      <w:r>
        <w:rPr>
          <w:i/>
          <w:color w:val="000000"/>
          <w:sz w:val="24"/>
          <w:szCs w:val="24"/>
        </w:rPr>
        <w:t>Microbiol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59</w:t>
      </w:r>
      <w:r>
        <w:rPr>
          <w:color w:val="000000"/>
          <w:sz w:val="24"/>
          <w:szCs w:val="24"/>
        </w:rPr>
        <w:t>, (2021).</w:t>
      </w:r>
    </w:p>
    <w:p w:rsidR="00C9072A" w:rsidRDefault="00D70C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Corman</w:t>
      </w:r>
      <w:proofErr w:type="spellEnd"/>
      <w:r>
        <w:rPr>
          <w:color w:val="000000"/>
          <w:sz w:val="24"/>
          <w:szCs w:val="24"/>
        </w:rPr>
        <w:t xml:space="preserve">, V. M. et al. Detection of 2019 novel </w:t>
      </w:r>
      <w:proofErr w:type="spellStart"/>
      <w:r>
        <w:rPr>
          <w:color w:val="000000"/>
          <w:sz w:val="24"/>
          <w:szCs w:val="24"/>
        </w:rPr>
        <w:t>coronavirus</w:t>
      </w:r>
      <w:proofErr w:type="spellEnd"/>
      <w:r>
        <w:rPr>
          <w:color w:val="000000"/>
          <w:sz w:val="24"/>
          <w:szCs w:val="24"/>
        </w:rPr>
        <w:t xml:space="preserve"> (2019-nCoV) by real-t</w:t>
      </w:r>
      <w:r>
        <w:rPr>
          <w:color w:val="000000"/>
          <w:sz w:val="24"/>
          <w:szCs w:val="24"/>
        </w:rPr>
        <w:t xml:space="preserve">ime RT–PCR. </w:t>
      </w:r>
      <w:proofErr w:type="spellStart"/>
      <w:r>
        <w:rPr>
          <w:i/>
          <w:color w:val="000000"/>
          <w:sz w:val="24"/>
          <w:szCs w:val="24"/>
        </w:rPr>
        <w:t>Eurosurveillance</w:t>
      </w:r>
      <w:proofErr w:type="spellEnd"/>
      <w:r>
        <w:rPr>
          <w:i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25</w:t>
      </w:r>
      <w:r>
        <w:rPr>
          <w:color w:val="000000"/>
          <w:sz w:val="24"/>
          <w:szCs w:val="24"/>
        </w:rPr>
        <w:t>, 2000045 (2020).</w:t>
      </w:r>
    </w:p>
    <w:p w:rsidR="00C9072A" w:rsidRDefault="00C9072A">
      <w:pPr>
        <w:spacing w:before="200" w:line="360" w:lineRule="auto"/>
        <w:jc w:val="both"/>
        <w:rPr>
          <w:b/>
          <w:sz w:val="24"/>
          <w:szCs w:val="24"/>
        </w:rPr>
      </w:pP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Data availability</w:t>
      </w:r>
    </w:p>
    <w:p w:rsidR="00C9072A" w:rsidRDefault="00D70CEC">
      <w:pPr>
        <w:spacing w:before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 data used in this analysis can be found at https://figshare.com. </w:t>
      </w:r>
    </w:p>
    <w:p w:rsidR="00C9072A" w:rsidRDefault="00D70CEC">
      <w:pPr>
        <w:spacing w:before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Competing interests</w:t>
      </w:r>
    </w:p>
    <w:p w:rsidR="00C9072A" w:rsidRDefault="00D70CEC">
      <w:pPr>
        <w:spacing w:before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 authors declare no competing interests.</w:t>
      </w:r>
    </w:p>
    <w:sectPr w:rsidR="00C9072A" w:rsidSect="00061367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CEC" w:rsidRDefault="00D70CEC" w:rsidP="00C9072A">
      <w:pPr>
        <w:spacing w:after="0" w:line="240" w:lineRule="auto"/>
      </w:pPr>
      <w:r>
        <w:separator/>
      </w:r>
    </w:p>
  </w:endnote>
  <w:endnote w:type="continuationSeparator" w:id="0">
    <w:p w:rsidR="00D70CEC" w:rsidRDefault="00D70CEC" w:rsidP="00C90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72A" w:rsidRDefault="00C9072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D70CEC">
      <w:rPr>
        <w:color w:val="000000"/>
      </w:rPr>
      <w:instrText>PAGE</w:instrText>
    </w:r>
    <w:r w:rsidR="00061367">
      <w:rPr>
        <w:color w:val="000000"/>
      </w:rPr>
      <w:fldChar w:fldCharType="separate"/>
    </w:r>
    <w:r w:rsidR="009776C1">
      <w:rPr>
        <w:noProof/>
        <w:color w:val="000000"/>
      </w:rPr>
      <w:t>6</w:t>
    </w:r>
    <w:r>
      <w:rPr>
        <w:color w:val="000000"/>
      </w:rPr>
      <w:fldChar w:fldCharType="end"/>
    </w:r>
  </w:p>
  <w:p w:rsidR="00C9072A" w:rsidRDefault="00C9072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CEC" w:rsidRDefault="00D70CEC" w:rsidP="00C9072A">
      <w:pPr>
        <w:spacing w:after="0" w:line="240" w:lineRule="auto"/>
      </w:pPr>
      <w:r>
        <w:separator/>
      </w:r>
    </w:p>
  </w:footnote>
  <w:footnote w:type="continuationSeparator" w:id="0">
    <w:p w:rsidR="00D70CEC" w:rsidRDefault="00D70CEC" w:rsidP="00C907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206AE"/>
    <w:multiLevelType w:val="multilevel"/>
    <w:tmpl w:val="04A0B73C"/>
    <w:lvl w:ilvl="0">
      <w:start w:val="18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072A"/>
    <w:rsid w:val="00061367"/>
    <w:rsid w:val="009776C1"/>
    <w:rsid w:val="00C9072A"/>
    <w:rsid w:val="00D70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20B"/>
  </w:style>
  <w:style w:type="paragraph" w:styleId="Ttulo1">
    <w:name w:val="heading 1"/>
    <w:basedOn w:val="Normal"/>
    <w:next w:val="Normal"/>
    <w:uiPriority w:val="9"/>
    <w:qFormat/>
    <w:rsid w:val="0055220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55220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55220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55220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55220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55220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C9072A"/>
  </w:style>
  <w:style w:type="table" w:customStyle="1" w:styleId="TableNormal">
    <w:name w:val="Table Normal"/>
    <w:rsid w:val="00C9072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55220B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C9072A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C9072A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401C7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55220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C9072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rsid w:val="0055220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3"/>
    <w:rsid w:val="0055220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3"/>
    <w:rsid w:val="0055220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3"/>
    <w:rsid w:val="0055220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3"/>
    <w:rsid w:val="0055220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3"/>
    <w:rsid w:val="00401C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3"/>
    <w:rsid w:val="00401C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3"/>
    <w:rsid w:val="00401C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3"/>
    <w:rsid w:val="00401C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3"/>
    <w:rsid w:val="00401C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F055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0559"/>
    <w:rPr>
      <w:rFonts w:ascii="Times New Roman" w:hAnsi="Times New Roman" w:cs="Times New Roman"/>
      <w:sz w:val="18"/>
      <w:szCs w:val="18"/>
    </w:rPr>
  </w:style>
  <w:style w:type="paragraph" w:styleId="PargrafodaLista">
    <w:name w:val="List Paragraph"/>
    <w:basedOn w:val="Normal"/>
    <w:uiPriority w:val="34"/>
    <w:qFormat/>
    <w:rsid w:val="0030033C"/>
    <w:pPr>
      <w:ind w:left="720"/>
      <w:contextualSpacing/>
    </w:pPr>
  </w:style>
  <w:style w:type="paragraph" w:styleId="Reviso">
    <w:name w:val="Revision"/>
    <w:hidden/>
    <w:uiPriority w:val="99"/>
    <w:semiHidden/>
    <w:rsid w:val="003C5953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FF714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F714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F714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F714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F7142"/>
    <w:rPr>
      <w:b/>
      <w:bCs/>
      <w:sz w:val="20"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A23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A23E10"/>
    <w:rPr>
      <w:rFonts w:ascii="Tahoma" w:hAnsi="Tahoma" w:cs="Tahoma"/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A23E10"/>
  </w:style>
  <w:style w:type="paragraph" w:styleId="Cabealho">
    <w:name w:val="header"/>
    <w:basedOn w:val="Normal"/>
    <w:link w:val="CabealhoChar"/>
    <w:uiPriority w:val="99"/>
    <w:semiHidden/>
    <w:unhideWhenUsed/>
    <w:rsid w:val="00A23E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23E10"/>
  </w:style>
  <w:style w:type="paragraph" w:styleId="Rodap">
    <w:name w:val="footer"/>
    <w:basedOn w:val="Normal"/>
    <w:link w:val="RodapChar"/>
    <w:uiPriority w:val="99"/>
    <w:unhideWhenUsed/>
    <w:rsid w:val="00A23E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3E10"/>
  </w:style>
  <w:style w:type="table" w:customStyle="1" w:styleId="a9">
    <w:basedOn w:val="TableNormal2"/>
    <w:rsid w:val="00C9072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2"/>
    <w:rsid w:val="00C9072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2"/>
    <w:rsid w:val="00C9072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2"/>
    <w:rsid w:val="00C9072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2"/>
    <w:rsid w:val="00C9072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C2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C871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1SGh3X3ctyABcQxxw+k58K3ZOyQ==">AMUW2mURSdGcj4wdC77g3hz6Bic56e9DQNVnykJPhoUVy/lP4cQqENYMpjNx5s/9sMBXIh+5qYGnXkY1JflZMdPV1WQdl5YiiUBK2FTDAA2zkjzLj60+jOXPS3b8M9uUxInAYb5bHOm2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1462</Words>
  <Characters>7898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EMI AIKAWA</dc:creator>
  <cp:lastModifiedBy>bioquimica.ichc</cp:lastModifiedBy>
  <cp:revision>2</cp:revision>
  <dcterms:created xsi:type="dcterms:W3CDTF">2021-11-05T09:18:00Z</dcterms:created>
  <dcterms:modified xsi:type="dcterms:W3CDTF">2021-11-12T15:47:00Z</dcterms:modified>
</cp:coreProperties>
</file>