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8B92A">
      <w:pPr>
        <w:spacing w:before="0" w:after="0" w:line="360" w:lineRule="auto"/>
        <w:jc w:val="center"/>
      </w:pPr>
      <w:bookmarkStart w:id="0" w:name="_GoBack"/>
      <w:bookmarkEnd w:id="0"/>
      <w:r>
        <w:rPr>
          <w:rFonts w:ascii="Times New Roman" w:hAnsi="Times New Roman" w:eastAsia="Times New Roman"/>
          <w:b/>
          <w:color w:val="000000"/>
          <w:sz w:val="32"/>
        </w:rPr>
        <w:t>Combined Supplementary Materials</w:t>
      </w:r>
    </w:p>
    <w:p w14:paraId="1FBC1027">
      <w:pPr>
        <w:spacing w:before="0" w:after="0" w:line="360" w:lineRule="auto"/>
        <w:jc w:val="both"/>
      </w:pPr>
      <w:r>
        <w:rPr>
          <w:rFonts w:ascii="Times New Roman" w:hAnsi="Times New Roman" w:eastAsia="Times New Roman"/>
          <w:i/>
          <w:color w:val="000000"/>
          <w:sz w:val="24"/>
        </w:rPr>
        <w:t>When Evaluation Clarity Creates Algorithmic Anxiety: A Randomized Field Experiment of Explainable Fuzzy Assessment and Teacher Feedback Uptake</w:t>
      </w:r>
    </w:p>
    <w:p w14:paraId="09636E37">
      <w:pPr>
        <w:spacing w:before="0" w:after="0" w:line="360" w:lineRule="auto"/>
        <w:jc w:val="both"/>
      </w:pPr>
      <w:r>
        <w:rPr>
          <w:rFonts w:ascii="Times New Roman" w:hAnsi="Times New Roman" w:eastAsia="Times New Roman"/>
          <w:color w:val="000000"/>
          <w:sz w:val="24"/>
        </w:rPr>
        <w:t>This file consolidates the materials normally requested by SSCI journals for an empirical manuscript using a randomized field design, survey scales, fuzzy-assessment logic, and restricted institutional data. It is designed as a single supplement rather than multiple fragmented appendices.</w:t>
      </w:r>
    </w:p>
    <w:p w14:paraId="18C777FC">
      <w:pPr>
        <w:pStyle w:val="3"/>
        <w:spacing w:before="0" w:after="0" w:line="360" w:lineRule="auto"/>
        <w:jc w:val="both"/>
      </w:pPr>
      <w:r>
        <w:rPr>
          <w:rFonts w:ascii="Times New Roman" w:hAnsi="Times New Roman" w:eastAsia="Times New Roman"/>
          <w:b/>
          <w:color w:val="000000"/>
          <w:sz w:val="32"/>
        </w:rPr>
        <w:t>Supplement A. Submission Package Map</w:t>
      </w:r>
    </w:p>
    <w:p w14:paraId="7051ADFB">
      <w:pPr>
        <w:spacing w:before="0" w:after="0" w:line="360" w:lineRule="auto"/>
        <w:jc w:val="both"/>
      </w:pPr>
      <w:r>
        <w:rPr>
          <w:rFonts w:ascii="Times New Roman" w:hAnsi="Times New Roman" w:eastAsia="Times New Roman"/>
          <w:color w:val="000000"/>
          <w:sz w:val="24"/>
        </w:rPr>
        <w:t>The supplement separates public documentation from restricted data materials. This is necessary because the study combines teacher surveys, course-level student evaluations, peer or supervisor ratings, course documents, and institutional teaching-evaluation records.</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1F4E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0C590ED8">
            <w:pPr>
              <w:spacing w:before="0" w:after="0" w:line="240" w:lineRule="auto"/>
              <w:jc w:val="left"/>
            </w:pPr>
            <w:r>
              <w:rPr>
                <w:rFonts w:ascii="Times New Roman" w:hAnsi="Times New Roman" w:eastAsia="Times New Roman"/>
                <w:b/>
                <w:color w:val="000000"/>
                <w:sz w:val="18"/>
              </w:rPr>
              <w:t>Item</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0ED8C336">
            <w:pPr>
              <w:spacing w:before="0" w:after="0" w:line="240" w:lineRule="auto"/>
              <w:jc w:val="left"/>
            </w:pPr>
            <w:r>
              <w:rPr>
                <w:rFonts w:ascii="Times New Roman" w:hAnsi="Times New Roman" w:eastAsia="Times New Roman"/>
                <w:b/>
                <w:color w:val="000000"/>
                <w:sz w:val="18"/>
              </w:rPr>
              <w:t>Content</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9995D9F">
            <w:pPr>
              <w:spacing w:before="0" w:after="0" w:line="240" w:lineRule="auto"/>
              <w:jc w:val="left"/>
            </w:pPr>
            <w:r>
              <w:rPr>
                <w:rFonts w:ascii="Times New Roman" w:hAnsi="Times New Roman" w:eastAsia="Times New Roman"/>
                <w:b/>
                <w:color w:val="000000"/>
                <w:sz w:val="18"/>
              </w:rPr>
              <w:t>Recommended submission status</w:t>
            </w:r>
          </w:p>
        </w:tc>
      </w:tr>
      <w:tr w14:paraId="2AA3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599136E0">
            <w:pPr>
              <w:spacing w:before="0" w:after="0" w:line="240" w:lineRule="auto"/>
              <w:jc w:val="left"/>
            </w:pPr>
            <w:r>
              <w:rPr>
                <w:rFonts w:ascii="Times New Roman" w:hAnsi="Times New Roman" w:eastAsia="Times New Roman"/>
                <w:color w:val="000000"/>
                <w:sz w:val="18"/>
              </w:rPr>
              <w:t>Main manuscript</w:t>
            </w:r>
          </w:p>
        </w:tc>
        <w:tc>
          <w:tcPr>
            <w:tcW w:w="6700" w:type="dxa"/>
            <w:tcBorders>
              <w:top w:val="nil"/>
              <w:left w:val="nil"/>
              <w:bottom w:val="nil"/>
              <w:right w:val="nil"/>
            </w:tcBorders>
            <w:tcMar>
              <w:top w:w="80" w:type="dxa"/>
              <w:left w:w="80" w:type="dxa"/>
              <w:bottom w:w="80" w:type="dxa"/>
              <w:right w:w="80" w:type="dxa"/>
            </w:tcMar>
            <w:vAlign w:val="center"/>
          </w:tcPr>
          <w:p w14:paraId="4DFD2322">
            <w:pPr>
              <w:spacing w:before="0" w:after="0" w:line="240" w:lineRule="auto"/>
              <w:jc w:val="left"/>
            </w:pPr>
            <w:r>
              <w:rPr>
                <w:rFonts w:ascii="Times New Roman" w:hAnsi="Times New Roman" w:eastAsia="Times New Roman"/>
                <w:color w:val="000000"/>
                <w:sz w:val="18"/>
              </w:rPr>
              <w:t>Theory, hypotheses, methods, aggregate results, limitations, and references</w:t>
            </w:r>
          </w:p>
        </w:tc>
        <w:tc>
          <w:tcPr>
            <w:tcW w:w="4100" w:type="dxa"/>
            <w:tcBorders>
              <w:top w:val="nil"/>
              <w:left w:val="nil"/>
              <w:bottom w:val="nil"/>
              <w:right w:val="nil"/>
            </w:tcBorders>
            <w:tcMar>
              <w:top w:w="80" w:type="dxa"/>
              <w:left w:w="80" w:type="dxa"/>
              <w:bottom w:w="80" w:type="dxa"/>
              <w:right w:w="80" w:type="dxa"/>
            </w:tcMar>
            <w:vAlign w:val="center"/>
          </w:tcPr>
          <w:p w14:paraId="3A656BE9">
            <w:pPr>
              <w:spacing w:before="0" w:after="0" w:line="240" w:lineRule="auto"/>
              <w:jc w:val="left"/>
            </w:pPr>
            <w:r>
              <w:rPr>
                <w:rFonts w:ascii="Times New Roman" w:hAnsi="Times New Roman" w:eastAsia="Times New Roman"/>
                <w:color w:val="000000"/>
                <w:sz w:val="18"/>
              </w:rPr>
              <w:t>Submit as main article file</w:t>
            </w:r>
          </w:p>
        </w:tc>
      </w:tr>
      <w:tr w14:paraId="697F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36CB387">
            <w:pPr>
              <w:spacing w:before="0" w:after="0" w:line="240" w:lineRule="auto"/>
              <w:jc w:val="left"/>
            </w:pPr>
            <w:r>
              <w:rPr>
                <w:rFonts w:ascii="Times New Roman" w:hAnsi="Times New Roman" w:eastAsia="Times New Roman"/>
                <w:color w:val="000000"/>
                <w:sz w:val="18"/>
              </w:rPr>
              <w:t>Combined supplementary materials</w:t>
            </w:r>
          </w:p>
        </w:tc>
        <w:tc>
          <w:tcPr>
            <w:tcW w:w="6700" w:type="dxa"/>
            <w:tcBorders>
              <w:top w:val="nil"/>
              <w:left w:val="nil"/>
              <w:bottom w:val="nil"/>
              <w:right w:val="nil"/>
            </w:tcBorders>
            <w:tcMar>
              <w:top w:w="80" w:type="dxa"/>
              <w:left w:w="80" w:type="dxa"/>
              <w:bottom w:w="80" w:type="dxa"/>
              <w:right w:w="80" w:type="dxa"/>
            </w:tcMar>
            <w:vAlign w:val="center"/>
          </w:tcPr>
          <w:p w14:paraId="22790D2A">
            <w:pPr>
              <w:spacing w:before="0" w:after="0" w:line="240" w:lineRule="auto"/>
              <w:jc w:val="left"/>
            </w:pPr>
            <w:r>
              <w:rPr>
                <w:rFonts w:ascii="Times New Roman" w:hAnsi="Times New Roman" w:eastAsia="Times New Roman"/>
                <w:color w:val="000000"/>
                <w:sz w:val="18"/>
              </w:rPr>
              <w:t>Survey, intervention templates, codebook, fuzzy protocol, output register, robustness index, and data statement</w:t>
            </w:r>
          </w:p>
        </w:tc>
        <w:tc>
          <w:tcPr>
            <w:tcW w:w="4100" w:type="dxa"/>
            <w:tcBorders>
              <w:top w:val="nil"/>
              <w:left w:val="nil"/>
              <w:bottom w:val="nil"/>
              <w:right w:val="nil"/>
            </w:tcBorders>
            <w:tcMar>
              <w:top w:w="80" w:type="dxa"/>
              <w:left w:w="80" w:type="dxa"/>
              <w:bottom w:w="80" w:type="dxa"/>
              <w:right w:w="80" w:type="dxa"/>
            </w:tcMar>
            <w:vAlign w:val="center"/>
          </w:tcPr>
          <w:p w14:paraId="20025E74">
            <w:pPr>
              <w:spacing w:before="0" w:after="0" w:line="240" w:lineRule="auto"/>
              <w:jc w:val="left"/>
            </w:pPr>
            <w:r>
              <w:rPr>
                <w:rFonts w:ascii="Times New Roman" w:hAnsi="Times New Roman" w:eastAsia="Times New Roman"/>
                <w:color w:val="000000"/>
                <w:sz w:val="18"/>
              </w:rPr>
              <w:t>Submit as one online supplement</w:t>
            </w:r>
          </w:p>
        </w:tc>
      </w:tr>
      <w:tr w14:paraId="2432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70D1DA8E">
            <w:pPr>
              <w:spacing w:before="0" w:after="0" w:line="240" w:lineRule="auto"/>
              <w:jc w:val="left"/>
            </w:pPr>
            <w:r>
              <w:rPr>
                <w:rFonts w:ascii="Times New Roman" w:hAnsi="Times New Roman" w:eastAsia="Times New Roman"/>
                <w:color w:val="000000"/>
                <w:sz w:val="18"/>
              </w:rPr>
              <w:t>Raw T1/T2/T3 survey data</w:t>
            </w:r>
          </w:p>
        </w:tc>
        <w:tc>
          <w:tcPr>
            <w:tcW w:w="6700" w:type="dxa"/>
            <w:tcBorders>
              <w:top w:val="nil"/>
              <w:left w:val="nil"/>
              <w:bottom w:val="nil"/>
              <w:right w:val="nil"/>
            </w:tcBorders>
            <w:tcMar>
              <w:top w:w="80" w:type="dxa"/>
              <w:left w:w="80" w:type="dxa"/>
              <w:bottom w:w="80" w:type="dxa"/>
              <w:right w:w="80" w:type="dxa"/>
            </w:tcMar>
            <w:vAlign w:val="center"/>
          </w:tcPr>
          <w:p w14:paraId="52046B2E">
            <w:pPr>
              <w:spacing w:before="0" w:after="0" w:line="240" w:lineRule="auto"/>
              <w:jc w:val="left"/>
            </w:pPr>
            <w:r>
              <w:rPr>
                <w:rFonts w:ascii="Times New Roman" w:hAnsi="Times New Roman" w:eastAsia="Times New Roman"/>
                <w:color w:val="000000"/>
                <w:sz w:val="18"/>
              </w:rPr>
              <w:t>Teacher-level responses with de-identified IDs</w:t>
            </w:r>
          </w:p>
        </w:tc>
        <w:tc>
          <w:tcPr>
            <w:tcW w:w="4100" w:type="dxa"/>
            <w:tcBorders>
              <w:top w:val="nil"/>
              <w:left w:val="nil"/>
              <w:bottom w:val="nil"/>
              <w:right w:val="nil"/>
            </w:tcBorders>
            <w:tcMar>
              <w:top w:w="80" w:type="dxa"/>
              <w:left w:w="80" w:type="dxa"/>
              <w:bottom w:w="80" w:type="dxa"/>
              <w:right w:w="80" w:type="dxa"/>
            </w:tcMar>
            <w:vAlign w:val="center"/>
          </w:tcPr>
          <w:p w14:paraId="0B690D67">
            <w:pPr>
              <w:spacing w:before="0" w:after="0" w:line="240" w:lineRule="auto"/>
              <w:jc w:val="left"/>
            </w:pPr>
            <w:r>
              <w:rPr>
                <w:rFonts w:ascii="Times New Roman" w:hAnsi="Times New Roman" w:eastAsia="Times New Roman"/>
                <w:color w:val="000000"/>
                <w:sz w:val="18"/>
              </w:rPr>
              <w:t>Restricted; not public; retained for confidential audit where ethics approval permits</w:t>
            </w:r>
          </w:p>
        </w:tc>
      </w:tr>
      <w:tr w14:paraId="5C4A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10965859">
            <w:pPr>
              <w:spacing w:before="0" w:after="0" w:line="240" w:lineRule="auto"/>
              <w:jc w:val="left"/>
            </w:pPr>
            <w:r>
              <w:rPr>
                <w:rFonts w:ascii="Times New Roman" w:hAnsi="Times New Roman" w:eastAsia="Times New Roman"/>
                <w:color w:val="000000"/>
                <w:sz w:val="18"/>
              </w:rPr>
              <w:t>Student evaluation and supervisor records</w:t>
            </w:r>
          </w:p>
        </w:tc>
        <w:tc>
          <w:tcPr>
            <w:tcW w:w="6700" w:type="dxa"/>
            <w:tcBorders>
              <w:top w:val="nil"/>
              <w:left w:val="nil"/>
              <w:bottom w:val="nil"/>
              <w:right w:val="nil"/>
            </w:tcBorders>
            <w:tcMar>
              <w:top w:w="80" w:type="dxa"/>
              <w:left w:w="80" w:type="dxa"/>
              <w:bottom w:w="80" w:type="dxa"/>
              <w:right w:w="80" w:type="dxa"/>
            </w:tcMar>
            <w:vAlign w:val="center"/>
          </w:tcPr>
          <w:p w14:paraId="1CBCA7B3">
            <w:pPr>
              <w:spacing w:before="0" w:after="0" w:line="240" w:lineRule="auto"/>
              <w:jc w:val="left"/>
            </w:pPr>
            <w:r>
              <w:rPr>
                <w:rFonts w:ascii="Times New Roman" w:hAnsi="Times New Roman" w:eastAsia="Times New Roman"/>
                <w:color w:val="000000"/>
                <w:sz w:val="18"/>
              </w:rPr>
              <w:t>Course-level aggregated student and peer/supervisor indicators</w:t>
            </w:r>
          </w:p>
        </w:tc>
        <w:tc>
          <w:tcPr>
            <w:tcW w:w="4100" w:type="dxa"/>
            <w:tcBorders>
              <w:top w:val="nil"/>
              <w:left w:val="nil"/>
              <w:bottom w:val="nil"/>
              <w:right w:val="nil"/>
            </w:tcBorders>
            <w:tcMar>
              <w:top w:w="80" w:type="dxa"/>
              <w:left w:w="80" w:type="dxa"/>
              <w:bottom w:w="80" w:type="dxa"/>
              <w:right w:w="80" w:type="dxa"/>
            </w:tcMar>
            <w:vAlign w:val="center"/>
          </w:tcPr>
          <w:p w14:paraId="7BC11FE7">
            <w:pPr>
              <w:spacing w:before="0" w:after="0" w:line="240" w:lineRule="auto"/>
              <w:jc w:val="left"/>
            </w:pPr>
            <w:r>
              <w:rPr>
                <w:rFonts w:ascii="Times New Roman" w:hAnsi="Times New Roman" w:eastAsia="Times New Roman"/>
                <w:color w:val="000000"/>
                <w:sz w:val="18"/>
              </w:rPr>
              <w:t>Restricted; report only aggregate summaries in article/supplement</w:t>
            </w:r>
          </w:p>
        </w:tc>
      </w:tr>
      <w:tr w14:paraId="1FA1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686CFB06">
            <w:pPr>
              <w:spacing w:before="0" w:after="0" w:line="240" w:lineRule="auto"/>
              <w:jc w:val="left"/>
            </w:pPr>
            <w:r>
              <w:rPr>
                <w:rFonts w:ascii="Times New Roman" w:hAnsi="Times New Roman" w:eastAsia="Times New Roman"/>
                <w:color w:val="000000"/>
                <w:sz w:val="18"/>
              </w:rPr>
              <w:t>Analysis syntax and logs</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472B4272">
            <w:pPr>
              <w:spacing w:before="0" w:after="0" w:line="240" w:lineRule="auto"/>
              <w:jc w:val="left"/>
            </w:pPr>
            <w:r>
              <w:rPr>
                <w:rFonts w:ascii="Times New Roman" w:hAnsi="Times New Roman" w:eastAsia="Times New Roman"/>
                <w:color w:val="000000"/>
                <w:sz w:val="18"/>
              </w:rPr>
              <w:t>CFA, SEM, mediation, moderation, robustness, and fuzzy-membership scripts and output</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0516B780">
            <w:pPr>
              <w:spacing w:before="0" w:after="0" w:line="240" w:lineRule="auto"/>
              <w:jc w:val="left"/>
            </w:pPr>
            <w:r>
              <w:rPr>
                <w:rFonts w:ascii="Times New Roman" w:hAnsi="Times New Roman" w:eastAsia="Times New Roman"/>
                <w:color w:val="000000"/>
                <w:sz w:val="18"/>
              </w:rPr>
              <w:t>Retain in restricted reproducibility archive; share only where institutional data-use rules permit</w:t>
            </w:r>
          </w:p>
        </w:tc>
      </w:tr>
    </w:tbl>
    <w:p w14:paraId="71F33C96">
      <w:pPr>
        <w:spacing w:before="0" w:after="0" w:line="360" w:lineRule="auto"/>
        <w:jc w:val="both"/>
      </w:pPr>
      <w:r>
        <w:rPr>
          <w:rFonts w:ascii="Times New Roman" w:hAnsi="Times New Roman" w:eastAsia="Times New Roman"/>
          <w:i/>
          <w:color w:val="000000"/>
          <w:sz w:val="20"/>
        </w:rPr>
        <w:t>Note. The supplement does not include identifiable records. Journals that require open data receive a restricted-data explanation and, where possible, de-identified aggregate documentation.</w:t>
      </w:r>
    </w:p>
    <w:p w14:paraId="43BA3906">
      <w:pPr>
        <w:pStyle w:val="3"/>
        <w:spacing w:before="0" w:after="0" w:line="360" w:lineRule="auto"/>
        <w:jc w:val="both"/>
      </w:pPr>
      <w:r>
        <w:rPr>
          <w:rFonts w:ascii="Times New Roman" w:hAnsi="Times New Roman" w:eastAsia="Times New Roman"/>
          <w:b/>
          <w:color w:val="000000"/>
          <w:sz w:val="32"/>
        </w:rPr>
        <w:t>Supplement B. Survey Instrument and Measurement Structure</w:t>
      </w:r>
    </w:p>
    <w:p w14:paraId="308A924C">
      <w:pPr>
        <w:spacing w:before="0" w:after="0" w:line="360" w:lineRule="auto"/>
        <w:jc w:val="both"/>
      </w:pPr>
      <w:r>
        <w:rPr>
          <w:rFonts w:ascii="Times New Roman" w:hAnsi="Times New Roman" w:eastAsia="Times New Roman"/>
          <w:color w:val="000000"/>
          <w:sz w:val="24"/>
        </w:rPr>
        <w:t>All teacher survey items use a seven-point Likert scale unless otherwise stated: 1 = strongly disagree, 7 = strongly agree. Items are administered in Chinese; the English wording below documents construct intent for review and replication.</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0"/>
        <w:gridCol w:w="4100"/>
        <w:gridCol w:w="2700"/>
        <w:gridCol w:w="4500"/>
      </w:tblGrid>
      <w:tr w14:paraId="7871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3F3EBCCA">
            <w:pPr>
              <w:spacing w:before="0" w:after="0" w:line="240" w:lineRule="auto"/>
              <w:jc w:val="left"/>
            </w:pPr>
            <w:r>
              <w:rPr>
                <w:rFonts w:ascii="Times New Roman" w:hAnsi="Times New Roman" w:eastAsia="Times New Roman"/>
                <w:b/>
                <w:color w:val="000000"/>
                <w:sz w:val="18"/>
              </w:rPr>
              <w:t>Construct</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133A5689">
            <w:pPr>
              <w:spacing w:before="0" w:after="0" w:line="240" w:lineRule="auto"/>
              <w:jc w:val="left"/>
            </w:pPr>
            <w:r>
              <w:rPr>
                <w:rFonts w:ascii="Times New Roman" w:hAnsi="Times New Roman" w:eastAsia="Times New Roman"/>
                <w:b/>
                <w:color w:val="000000"/>
                <w:sz w:val="18"/>
              </w:rPr>
              <w:t>Code</w:t>
            </w:r>
          </w:p>
        </w:tc>
        <w:tc>
          <w:tcPr>
            <w:tcW w:w="2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7D2269CA">
            <w:pPr>
              <w:spacing w:before="0" w:after="0" w:line="240" w:lineRule="auto"/>
              <w:jc w:val="left"/>
            </w:pPr>
            <w:r>
              <w:rPr>
                <w:rFonts w:ascii="Times New Roman" w:hAnsi="Times New Roman" w:eastAsia="Times New Roman"/>
                <w:b/>
                <w:color w:val="000000"/>
                <w:sz w:val="18"/>
              </w:rPr>
              <w:t>Item wording</w:t>
            </w:r>
          </w:p>
        </w:tc>
        <w:tc>
          <w:tcPr>
            <w:tcW w:w="4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C1BAE47">
            <w:pPr>
              <w:spacing w:before="0" w:after="0" w:line="240" w:lineRule="auto"/>
              <w:jc w:val="left"/>
            </w:pPr>
            <w:r>
              <w:rPr>
                <w:rFonts w:ascii="Times New Roman" w:hAnsi="Times New Roman" w:eastAsia="Times New Roman"/>
                <w:b/>
                <w:color w:val="000000"/>
                <w:sz w:val="18"/>
              </w:rPr>
              <w:t>Timing</w:t>
            </w:r>
          </w:p>
        </w:tc>
      </w:tr>
      <w:tr w14:paraId="67CF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6A781AFC">
            <w:pPr>
              <w:spacing w:before="0" w:after="0" w:line="240" w:lineRule="auto"/>
              <w:jc w:val="left"/>
            </w:pPr>
            <w:r>
              <w:rPr>
                <w:rFonts w:ascii="Times New Roman" w:hAnsi="Times New Roman" w:eastAsia="Times New Roman"/>
                <w:color w:val="000000"/>
                <w:sz w:val="18"/>
              </w:rPr>
              <w:t>Procedural fairness</w:t>
            </w:r>
          </w:p>
        </w:tc>
        <w:tc>
          <w:tcPr>
            <w:tcW w:w="4100" w:type="dxa"/>
            <w:tcBorders>
              <w:top w:val="nil"/>
              <w:left w:val="nil"/>
              <w:bottom w:val="nil"/>
              <w:right w:val="nil"/>
            </w:tcBorders>
            <w:tcMar>
              <w:top w:w="80" w:type="dxa"/>
              <w:left w:w="80" w:type="dxa"/>
              <w:bottom w:w="80" w:type="dxa"/>
              <w:right w:w="80" w:type="dxa"/>
            </w:tcMar>
            <w:vAlign w:val="center"/>
          </w:tcPr>
          <w:p w14:paraId="767F0F16">
            <w:pPr>
              <w:spacing w:before="0" w:after="0" w:line="240" w:lineRule="auto"/>
              <w:jc w:val="left"/>
            </w:pPr>
            <w:r>
              <w:rPr>
                <w:rFonts w:ascii="Times New Roman" w:hAnsi="Times New Roman" w:eastAsia="Times New Roman"/>
                <w:color w:val="000000"/>
                <w:sz w:val="18"/>
              </w:rPr>
              <w:t>PF1</w:t>
            </w:r>
          </w:p>
        </w:tc>
        <w:tc>
          <w:tcPr>
            <w:tcW w:w="2700" w:type="dxa"/>
            <w:tcBorders>
              <w:top w:val="nil"/>
              <w:left w:val="nil"/>
              <w:bottom w:val="nil"/>
              <w:right w:val="nil"/>
            </w:tcBorders>
            <w:tcMar>
              <w:top w:w="80" w:type="dxa"/>
              <w:left w:w="80" w:type="dxa"/>
              <w:bottom w:w="80" w:type="dxa"/>
              <w:right w:w="80" w:type="dxa"/>
            </w:tcMar>
            <w:vAlign w:val="center"/>
          </w:tcPr>
          <w:p w14:paraId="072F058C">
            <w:pPr>
              <w:spacing w:before="0" w:after="0" w:line="240" w:lineRule="auto"/>
              <w:jc w:val="left"/>
            </w:pPr>
            <w:r>
              <w:rPr>
                <w:rFonts w:ascii="Times New Roman" w:hAnsi="Times New Roman" w:eastAsia="Times New Roman"/>
                <w:color w:val="000000"/>
                <w:sz w:val="18"/>
              </w:rPr>
              <w:t>The feedback process made the evaluation criteria clear.</w:t>
            </w:r>
          </w:p>
        </w:tc>
        <w:tc>
          <w:tcPr>
            <w:tcW w:w="4500" w:type="dxa"/>
            <w:tcBorders>
              <w:top w:val="nil"/>
              <w:left w:val="nil"/>
              <w:bottom w:val="nil"/>
              <w:right w:val="nil"/>
            </w:tcBorders>
            <w:tcMar>
              <w:top w:w="80" w:type="dxa"/>
              <w:left w:w="80" w:type="dxa"/>
              <w:bottom w:w="80" w:type="dxa"/>
              <w:right w:w="80" w:type="dxa"/>
            </w:tcMar>
            <w:vAlign w:val="center"/>
          </w:tcPr>
          <w:p w14:paraId="15EDF748">
            <w:pPr>
              <w:spacing w:before="0" w:after="0" w:line="240" w:lineRule="auto"/>
              <w:jc w:val="left"/>
            </w:pPr>
            <w:r>
              <w:rPr>
                <w:rFonts w:ascii="Times New Roman" w:hAnsi="Times New Roman" w:eastAsia="Times New Roman"/>
                <w:color w:val="000000"/>
                <w:sz w:val="18"/>
              </w:rPr>
              <w:t>T2</w:t>
            </w:r>
          </w:p>
        </w:tc>
      </w:tr>
      <w:tr w14:paraId="2541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5F5544F1">
            <w:pPr>
              <w:spacing w:before="0" w:after="0" w:line="240" w:lineRule="auto"/>
              <w:jc w:val="left"/>
            </w:pPr>
            <w:r>
              <w:rPr>
                <w:rFonts w:ascii="Times New Roman" w:hAnsi="Times New Roman" w:eastAsia="Times New Roman"/>
                <w:color w:val="000000"/>
                <w:sz w:val="18"/>
              </w:rPr>
              <w:t>Procedural fairness</w:t>
            </w:r>
          </w:p>
        </w:tc>
        <w:tc>
          <w:tcPr>
            <w:tcW w:w="4100" w:type="dxa"/>
            <w:tcBorders>
              <w:top w:val="nil"/>
              <w:left w:val="nil"/>
              <w:bottom w:val="nil"/>
              <w:right w:val="nil"/>
            </w:tcBorders>
            <w:tcMar>
              <w:top w:w="80" w:type="dxa"/>
              <w:left w:w="80" w:type="dxa"/>
              <w:bottom w:w="80" w:type="dxa"/>
              <w:right w:w="80" w:type="dxa"/>
            </w:tcMar>
            <w:vAlign w:val="center"/>
          </w:tcPr>
          <w:p w14:paraId="637EACC1">
            <w:pPr>
              <w:spacing w:before="0" w:after="0" w:line="240" w:lineRule="auto"/>
              <w:jc w:val="left"/>
            </w:pPr>
            <w:r>
              <w:rPr>
                <w:rFonts w:ascii="Times New Roman" w:hAnsi="Times New Roman" w:eastAsia="Times New Roman"/>
                <w:color w:val="000000"/>
                <w:sz w:val="18"/>
              </w:rPr>
              <w:t>PF2</w:t>
            </w:r>
          </w:p>
        </w:tc>
        <w:tc>
          <w:tcPr>
            <w:tcW w:w="2700" w:type="dxa"/>
            <w:tcBorders>
              <w:top w:val="nil"/>
              <w:left w:val="nil"/>
              <w:bottom w:val="nil"/>
              <w:right w:val="nil"/>
            </w:tcBorders>
            <w:tcMar>
              <w:top w:w="80" w:type="dxa"/>
              <w:left w:w="80" w:type="dxa"/>
              <w:bottom w:w="80" w:type="dxa"/>
              <w:right w:w="80" w:type="dxa"/>
            </w:tcMar>
            <w:vAlign w:val="center"/>
          </w:tcPr>
          <w:p w14:paraId="230E963F">
            <w:pPr>
              <w:spacing w:before="0" w:after="0" w:line="240" w:lineRule="auto"/>
              <w:jc w:val="left"/>
            </w:pPr>
            <w:r>
              <w:rPr>
                <w:rFonts w:ascii="Times New Roman" w:hAnsi="Times New Roman" w:eastAsia="Times New Roman"/>
                <w:color w:val="000000"/>
                <w:sz w:val="18"/>
              </w:rPr>
              <w:t>The evaluation process used evidence in a consistent and rule-governed way.</w:t>
            </w:r>
          </w:p>
        </w:tc>
        <w:tc>
          <w:tcPr>
            <w:tcW w:w="4500" w:type="dxa"/>
            <w:tcBorders>
              <w:top w:val="nil"/>
              <w:left w:val="nil"/>
              <w:bottom w:val="nil"/>
              <w:right w:val="nil"/>
            </w:tcBorders>
            <w:tcMar>
              <w:top w:w="80" w:type="dxa"/>
              <w:left w:w="80" w:type="dxa"/>
              <w:bottom w:w="80" w:type="dxa"/>
              <w:right w:w="80" w:type="dxa"/>
            </w:tcMar>
            <w:vAlign w:val="center"/>
          </w:tcPr>
          <w:p w14:paraId="2A3041E2">
            <w:pPr>
              <w:spacing w:before="0" w:after="0" w:line="240" w:lineRule="auto"/>
              <w:jc w:val="left"/>
            </w:pPr>
            <w:r>
              <w:rPr>
                <w:rFonts w:ascii="Times New Roman" w:hAnsi="Times New Roman" w:eastAsia="Times New Roman"/>
                <w:color w:val="000000"/>
                <w:sz w:val="18"/>
              </w:rPr>
              <w:t>T2</w:t>
            </w:r>
          </w:p>
        </w:tc>
      </w:tr>
      <w:tr w14:paraId="2F316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772141FC">
            <w:pPr>
              <w:spacing w:before="0" w:after="0" w:line="240" w:lineRule="auto"/>
              <w:jc w:val="left"/>
            </w:pPr>
            <w:r>
              <w:rPr>
                <w:rFonts w:ascii="Times New Roman" w:hAnsi="Times New Roman" w:eastAsia="Times New Roman"/>
                <w:color w:val="000000"/>
                <w:sz w:val="18"/>
              </w:rPr>
              <w:t>Procedural fairness</w:t>
            </w:r>
          </w:p>
        </w:tc>
        <w:tc>
          <w:tcPr>
            <w:tcW w:w="4100" w:type="dxa"/>
            <w:tcBorders>
              <w:top w:val="nil"/>
              <w:left w:val="nil"/>
              <w:bottom w:val="nil"/>
              <w:right w:val="nil"/>
            </w:tcBorders>
            <w:tcMar>
              <w:top w:w="80" w:type="dxa"/>
              <w:left w:w="80" w:type="dxa"/>
              <w:bottom w:w="80" w:type="dxa"/>
              <w:right w:w="80" w:type="dxa"/>
            </w:tcMar>
            <w:vAlign w:val="center"/>
          </w:tcPr>
          <w:p w14:paraId="59C57E3B">
            <w:pPr>
              <w:spacing w:before="0" w:after="0" w:line="240" w:lineRule="auto"/>
              <w:jc w:val="left"/>
            </w:pPr>
            <w:r>
              <w:rPr>
                <w:rFonts w:ascii="Times New Roman" w:hAnsi="Times New Roman" w:eastAsia="Times New Roman"/>
                <w:color w:val="000000"/>
                <w:sz w:val="18"/>
              </w:rPr>
              <w:t>PF3</w:t>
            </w:r>
          </w:p>
        </w:tc>
        <w:tc>
          <w:tcPr>
            <w:tcW w:w="2700" w:type="dxa"/>
            <w:tcBorders>
              <w:top w:val="nil"/>
              <w:left w:val="nil"/>
              <w:bottom w:val="nil"/>
              <w:right w:val="nil"/>
            </w:tcBorders>
            <w:tcMar>
              <w:top w:w="80" w:type="dxa"/>
              <w:left w:w="80" w:type="dxa"/>
              <w:bottom w:w="80" w:type="dxa"/>
              <w:right w:w="80" w:type="dxa"/>
            </w:tcMar>
            <w:vAlign w:val="center"/>
          </w:tcPr>
          <w:p w14:paraId="253B0DB5">
            <w:pPr>
              <w:spacing w:before="0" w:after="0" w:line="240" w:lineRule="auto"/>
              <w:jc w:val="left"/>
            </w:pPr>
            <w:r>
              <w:rPr>
                <w:rFonts w:ascii="Times New Roman" w:hAnsi="Times New Roman" w:eastAsia="Times New Roman"/>
                <w:color w:val="000000"/>
                <w:sz w:val="18"/>
              </w:rPr>
              <w:t>I could understand why the report reached its judgement about my course.</w:t>
            </w:r>
          </w:p>
        </w:tc>
        <w:tc>
          <w:tcPr>
            <w:tcW w:w="4500" w:type="dxa"/>
            <w:tcBorders>
              <w:top w:val="nil"/>
              <w:left w:val="nil"/>
              <w:bottom w:val="nil"/>
              <w:right w:val="nil"/>
            </w:tcBorders>
            <w:tcMar>
              <w:top w:w="80" w:type="dxa"/>
              <w:left w:w="80" w:type="dxa"/>
              <w:bottom w:w="80" w:type="dxa"/>
              <w:right w:w="80" w:type="dxa"/>
            </w:tcMar>
            <w:vAlign w:val="center"/>
          </w:tcPr>
          <w:p w14:paraId="63EBE9AF">
            <w:pPr>
              <w:spacing w:before="0" w:after="0" w:line="240" w:lineRule="auto"/>
              <w:jc w:val="left"/>
            </w:pPr>
            <w:r>
              <w:rPr>
                <w:rFonts w:ascii="Times New Roman" w:hAnsi="Times New Roman" w:eastAsia="Times New Roman"/>
                <w:color w:val="000000"/>
                <w:sz w:val="18"/>
              </w:rPr>
              <w:t>T2</w:t>
            </w:r>
          </w:p>
        </w:tc>
      </w:tr>
      <w:tr w14:paraId="215D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256A3967">
            <w:pPr>
              <w:spacing w:before="0" w:after="0" w:line="240" w:lineRule="auto"/>
              <w:jc w:val="left"/>
            </w:pPr>
            <w:r>
              <w:rPr>
                <w:rFonts w:ascii="Times New Roman" w:hAnsi="Times New Roman" w:eastAsia="Times New Roman"/>
                <w:color w:val="000000"/>
                <w:sz w:val="18"/>
              </w:rPr>
              <w:t>Procedural fairness</w:t>
            </w:r>
          </w:p>
        </w:tc>
        <w:tc>
          <w:tcPr>
            <w:tcW w:w="4100" w:type="dxa"/>
            <w:tcBorders>
              <w:top w:val="nil"/>
              <w:left w:val="nil"/>
              <w:bottom w:val="nil"/>
              <w:right w:val="nil"/>
            </w:tcBorders>
            <w:tcMar>
              <w:top w:w="80" w:type="dxa"/>
              <w:left w:w="80" w:type="dxa"/>
              <w:bottom w:w="80" w:type="dxa"/>
              <w:right w:w="80" w:type="dxa"/>
            </w:tcMar>
            <w:vAlign w:val="center"/>
          </w:tcPr>
          <w:p w14:paraId="36BB8D65">
            <w:pPr>
              <w:spacing w:before="0" w:after="0" w:line="240" w:lineRule="auto"/>
              <w:jc w:val="left"/>
            </w:pPr>
            <w:r>
              <w:rPr>
                <w:rFonts w:ascii="Times New Roman" w:hAnsi="Times New Roman" w:eastAsia="Times New Roman"/>
                <w:color w:val="000000"/>
                <w:sz w:val="18"/>
              </w:rPr>
              <w:t>PF4</w:t>
            </w:r>
          </w:p>
        </w:tc>
        <w:tc>
          <w:tcPr>
            <w:tcW w:w="2700" w:type="dxa"/>
            <w:tcBorders>
              <w:top w:val="nil"/>
              <w:left w:val="nil"/>
              <w:bottom w:val="nil"/>
              <w:right w:val="nil"/>
            </w:tcBorders>
            <w:tcMar>
              <w:top w:w="80" w:type="dxa"/>
              <w:left w:w="80" w:type="dxa"/>
              <w:bottom w:w="80" w:type="dxa"/>
              <w:right w:w="80" w:type="dxa"/>
            </w:tcMar>
            <w:vAlign w:val="center"/>
          </w:tcPr>
          <w:p w14:paraId="0719B42B">
            <w:pPr>
              <w:spacing w:before="0" w:after="0" w:line="240" w:lineRule="auto"/>
              <w:jc w:val="left"/>
            </w:pPr>
            <w:r>
              <w:rPr>
                <w:rFonts w:ascii="Times New Roman" w:hAnsi="Times New Roman" w:eastAsia="Times New Roman"/>
                <w:color w:val="000000"/>
                <w:sz w:val="18"/>
              </w:rPr>
              <w:t>The feedback process allowed reasonable interpretation of borderline results.</w:t>
            </w:r>
          </w:p>
        </w:tc>
        <w:tc>
          <w:tcPr>
            <w:tcW w:w="4500" w:type="dxa"/>
            <w:tcBorders>
              <w:top w:val="nil"/>
              <w:left w:val="nil"/>
              <w:bottom w:val="nil"/>
              <w:right w:val="nil"/>
            </w:tcBorders>
            <w:tcMar>
              <w:top w:w="80" w:type="dxa"/>
              <w:left w:w="80" w:type="dxa"/>
              <w:bottom w:w="80" w:type="dxa"/>
              <w:right w:w="80" w:type="dxa"/>
            </w:tcMar>
            <w:vAlign w:val="center"/>
          </w:tcPr>
          <w:p w14:paraId="5626690F">
            <w:pPr>
              <w:spacing w:before="0" w:after="0" w:line="240" w:lineRule="auto"/>
              <w:jc w:val="left"/>
            </w:pPr>
            <w:r>
              <w:rPr>
                <w:rFonts w:ascii="Times New Roman" w:hAnsi="Times New Roman" w:eastAsia="Times New Roman"/>
                <w:color w:val="000000"/>
                <w:sz w:val="18"/>
              </w:rPr>
              <w:t>T2</w:t>
            </w:r>
          </w:p>
        </w:tc>
      </w:tr>
      <w:tr w14:paraId="6F8E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557201EE">
            <w:pPr>
              <w:spacing w:before="0" w:after="0" w:line="240" w:lineRule="auto"/>
              <w:jc w:val="left"/>
            </w:pPr>
            <w:r>
              <w:rPr>
                <w:rFonts w:ascii="Times New Roman" w:hAnsi="Times New Roman" w:eastAsia="Times New Roman"/>
                <w:color w:val="000000"/>
                <w:sz w:val="18"/>
              </w:rPr>
              <w:t>Calibrated trust</w:t>
            </w:r>
          </w:p>
        </w:tc>
        <w:tc>
          <w:tcPr>
            <w:tcW w:w="4100" w:type="dxa"/>
            <w:tcBorders>
              <w:top w:val="nil"/>
              <w:left w:val="nil"/>
              <w:bottom w:val="nil"/>
              <w:right w:val="nil"/>
            </w:tcBorders>
            <w:tcMar>
              <w:top w:w="80" w:type="dxa"/>
              <w:left w:w="80" w:type="dxa"/>
              <w:bottom w:w="80" w:type="dxa"/>
              <w:right w:w="80" w:type="dxa"/>
            </w:tcMar>
            <w:vAlign w:val="center"/>
          </w:tcPr>
          <w:p w14:paraId="5926069B">
            <w:pPr>
              <w:spacing w:before="0" w:after="0" w:line="240" w:lineRule="auto"/>
              <w:jc w:val="left"/>
            </w:pPr>
            <w:r>
              <w:rPr>
                <w:rFonts w:ascii="Times New Roman" w:hAnsi="Times New Roman" w:eastAsia="Times New Roman"/>
                <w:color w:val="000000"/>
                <w:sz w:val="18"/>
              </w:rPr>
              <w:t>CT1</w:t>
            </w:r>
          </w:p>
        </w:tc>
        <w:tc>
          <w:tcPr>
            <w:tcW w:w="2700" w:type="dxa"/>
            <w:tcBorders>
              <w:top w:val="nil"/>
              <w:left w:val="nil"/>
              <w:bottom w:val="nil"/>
              <w:right w:val="nil"/>
            </w:tcBorders>
            <w:tcMar>
              <w:top w:w="80" w:type="dxa"/>
              <w:left w:w="80" w:type="dxa"/>
              <w:bottom w:w="80" w:type="dxa"/>
              <w:right w:w="80" w:type="dxa"/>
            </w:tcMar>
            <w:vAlign w:val="center"/>
          </w:tcPr>
          <w:p w14:paraId="0D29CB00">
            <w:pPr>
              <w:spacing w:before="0" w:after="0" w:line="240" w:lineRule="auto"/>
              <w:jc w:val="left"/>
            </w:pPr>
            <w:r>
              <w:rPr>
                <w:rFonts w:ascii="Times New Roman" w:hAnsi="Times New Roman" w:eastAsia="Times New Roman"/>
                <w:color w:val="000000"/>
                <w:sz w:val="18"/>
              </w:rPr>
              <w:t>I trusted the feedback where the evidence was strong.</w:t>
            </w:r>
          </w:p>
        </w:tc>
        <w:tc>
          <w:tcPr>
            <w:tcW w:w="4500" w:type="dxa"/>
            <w:tcBorders>
              <w:top w:val="nil"/>
              <w:left w:val="nil"/>
              <w:bottom w:val="nil"/>
              <w:right w:val="nil"/>
            </w:tcBorders>
            <w:tcMar>
              <w:top w:w="80" w:type="dxa"/>
              <w:left w:w="80" w:type="dxa"/>
              <w:bottom w:w="80" w:type="dxa"/>
              <w:right w:w="80" w:type="dxa"/>
            </w:tcMar>
            <w:vAlign w:val="center"/>
          </w:tcPr>
          <w:p w14:paraId="05F936F9">
            <w:pPr>
              <w:spacing w:before="0" w:after="0" w:line="240" w:lineRule="auto"/>
              <w:jc w:val="left"/>
            </w:pPr>
            <w:r>
              <w:rPr>
                <w:rFonts w:ascii="Times New Roman" w:hAnsi="Times New Roman" w:eastAsia="Times New Roman"/>
                <w:color w:val="000000"/>
                <w:sz w:val="18"/>
              </w:rPr>
              <w:t>T2</w:t>
            </w:r>
          </w:p>
        </w:tc>
      </w:tr>
      <w:tr w14:paraId="6AA3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73200D74">
            <w:pPr>
              <w:spacing w:before="0" w:after="0" w:line="240" w:lineRule="auto"/>
              <w:jc w:val="left"/>
            </w:pPr>
            <w:r>
              <w:rPr>
                <w:rFonts w:ascii="Times New Roman" w:hAnsi="Times New Roman" w:eastAsia="Times New Roman"/>
                <w:color w:val="000000"/>
                <w:sz w:val="18"/>
              </w:rPr>
              <w:t>Calibrated trust</w:t>
            </w:r>
          </w:p>
        </w:tc>
        <w:tc>
          <w:tcPr>
            <w:tcW w:w="4100" w:type="dxa"/>
            <w:tcBorders>
              <w:top w:val="nil"/>
              <w:left w:val="nil"/>
              <w:bottom w:val="nil"/>
              <w:right w:val="nil"/>
            </w:tcBorders>
            <w:tcMar>
              <w:top w:w="80" w:type="dxa"/>
              <w:left w:w="80" w:type="dxa"/>
              <w:bottom w:w="80" w:type="dxa"/>
              <w:right w:w="80" w:type="dxa"/>
            </w:tcMar>
            <w:vAlign w:val="center"/>
          </w:tcPr>
          <w:p w14:paraId="2475B1E9">
            <w:pPr>
              <w:spacing w:before="0" w:after="0" w:line="240" w:lineRule="auto"/>
              <w:jc w:val="left"/>
            </w:pPr>
            <w:r>
              <w:rPr>
                <w:rFonts w:ascii="Times New Roman" w:hAnsi="Times New Roman" w:eastAsia="Times New Roman"/>
                <w:color w:val="000000"/>
                <w:sz w:val="18"/>
              </w:rPr>
              <w:t>CT2</w:t>
            </w:r>
          </w:p>
        </w:tc>
        <w:tc>
          <w:tcPr>
            <w:tcW w:w="2700" w:type="dxa"/>
            <w:tcBorders>
              <w:top w:val="nil"/>
              <w:left w:val="nil"/>
              <w:bottom w:val="nil"/>
              <w:right w:val="nil"/>
            </w:tcBorders>
            <w:tcMar>
              <w:top w:w="80" w:type="dxa"/>
              <w:left w:w="80" w:type="dxa"/>
              <w:bottom w:w="80" w:type="dxa"/>
              <w:right w:w="80" w:type="dxa"/>
            </w:tcMar>
            <w:vAlign w:val="center"/>
          </w:tcPr>
          <w:p w14:paraId="65567AFB">
            <w:pPr>
              <w:spacing w:before="0" w:after="0" w:line="240" w:lineRule="auto"/>
              <w:jc w:val="left"/>
            </w:pPr>
            <w:r>
              <w:rPr>
                <w:rFonts w:ascii="Times New Roman" w:hAnsi="Times New Roman" w:eastAsia="Times New Roman"/>
                <w:color w:val="000000"/>
                <w:sz w:val="18"/>
              </w:rPr>
              <w:t>I could identify which recommendations required human judgement.</w:t>
            </w:r>
          </w:p>
        </w:tc>
        <w:tc>
          <w:tcPr>
            <w:tcW w:w="4500" w:type="dxa"/>
            <w:tcBorders>
              <w:top w:val="nil"/>
              <w:left w:val="nil"/>
              <w:bottom w:val="nil"/>
              <w:right w:val="nil"/>
            </w:tcBorders>
            <w:tcMar>
              <w:top w:w="80" w:type="dxa"/>
              <w:left w:w="80" w:type="dxa"/>
              <w:bottom w:w="80" w:type="dxa"/>
              <w:right w:w="80" w:type="dxa"/>
            </w:tcMar>
            <w:vAlign w:val="center"/>
          </w:tcPr>
          <w:p w14:paraId="19DA401C">
            <w:pPr>
              <w:spacing w:before="0" w:after="0" w:line="240" w:lineRule="auto"/>
              <w:jc w:val="left"/>
            </w:pPr>
            <w:r>
              <w:rPr>
                <w:rFonts w:ascii="Times New Roman" w:hAnsi="Times New Roman" w:eastAsia="Times New Roman"/>
                <w:color w:val="000000"/>
                <w:sz w:val="18"/>
              </w:rPr>
              <w:t>T2</w:t>
            </w:r>
          </w:p>
        </w:tc>
      </w:tr>
      <w:tr w14:paraId="5DF1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755191FA">
            <w:pPr>
              <w:spacing w:before="0" w:after="0" w:line="240" w:lineRule="auto"/>
              <w:jc w:val="left"/>
            </w:pPr>
            <w:r>
              <w:rPr>
                <w:rFonts w:ascii="Times New Roman" w:hAnsi="Times New Roman" w:eastAsia="Times New Roman"/>
                <w:color w:val="000000"/>
                <w:sz w:val="18"/>
              </w:rPr>
              <w:t>Calibrated trust</w:t>
            </w:r>
          </w:p>
        </w:tc>
        <w:tc>
          <w:tcPr>
            <w:tcW w:w="4100" w:type="dxa"/>
            <w:tcBorders>
              <w:top w:val="nil"/>
              <w:left w:val="nil"/>
              <w:bottom w:val="nil"/>
              <w:right w:val="nil"/>
            </w:tcBorders>
            <w:tcMar>
              <w:top w:w="80" w:type="dxa"/>
              <w:left w:w="80" w:type="dxa"/>
              <w:bottom w:w="80" w:type="dxa"/>
              <w:right w:w="80" w:type="dxa"/>
            </w:tcMar>
            <w:vAlign w:val="center"/>
          </w:tcPr>
          <w:p w14:paraId="675FDD1D">
            <w:pPr>
              <w:spacing w:before="0" w:after="0" w:line="240" w:lineRule="auto"/>
              <w:jc w:val="left"/>
            </w:pPr>
            <w:r>
              <w:rPr>
                <w:rFonts w:ascii="Times New Roman" w:hAnsi="Times New Roman" w:eastAsia="Times New Roman"/>
                <w:color w:val="000000"/>
                <w:sz w:val="18"/>
              </w:rPr>
              <w:t>CT3</w:t>
            </w:r>
          </w:p>
        </w:tc>
        <w:tc>
          <w:tcPr>
            <w:tcW w:w="2700" w:type="dxa"/>
            <w:tcBorders>
              <w:top w:val="nil"/>
              <w:left w:val="nil"/>
              <w:bottom w:val="nil"/>
              <w:right w:val="nil"/>
            </w:tcBorders>
            <w:tcMar>
              <w:top w:w="80" w:type="dxa"/>
              <w:left w:w="80" w:type="dxa"/>
              <w:bottom w:w="80" w:type="dxa"/>
              <w:right w:w="80" w:type="dxa"/>
            </w:tcMar>
            <w:vAlign w:val="center"/>
          </w:tcPr>
          <w:p w14:paraId="55207A98">
            <w:pPr>
              <w:spacing w:before="0" w:after="0" w:line="240" w:lineRule="auto"/>
              <w:jc w:val="left"/>
            </w:pPr>
            <w:r>
              <w:rPr>
                <w:rFonts w:ascii="Times New Roman" w:hAnsi="Times New Roman" w:eastAsia="Times New Roman"/>
                <w:color w:val="000000"/>
                <w:sz w:val="18"/>
              </w:rPr>
              <w:t>I did not treat the algorithmic feedback as automatically correct.</w:t>
            </w:r>
          </w:p>
        </w:tc>
        <w:tc>
          <w:tcPr>
            <w:tcW w:w="4500" w:type="dxa"/>
            <w:tcBorders>
              <w:top w:val="nil"/>
              <w:left w:val="nil"/>
              <w:bottom w:val="nil"/>
              <w:right w:val="nil"/>
            </w:tcBorders>
            <w:tcMar>
              <w:top w:w="80" w:type="dxa"/>
              <w:left w:w="80" w:type="dxa"/>
              <w:bottom w:w="80" w:type="dxa"/>
              <w:right w:w="80" w:type="dxa"/>
            </w:tcMar>
            <w:vAlign w:val="center"/>
          </w:tcPr>
          <w:p w14:paraId="4BBF8886">
            <w:pPr>
              <w:spacing w:before="0" w:after="0" w:line="240" w:lineRule="auto"/>
              <w:jc w:val="left"/>
            </w:pPr>
            <w:r>
              <w:rPr>
                <w:rFonts w:ascii="Times New Roman" w:hAnsi="Times New Roman" w:eastAsia="Times New Roman"/>
                <w:color w:val="000000"/>
                <w:sz w:val="18"/>
              </w:rPr>
              <w:t>T2</w:t>
            </w:r>
          </w:p>
        </w:tc>
      </w:tr>
      <w:tr w14:paraId="1414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11EC4B9F">
            <w:pPr>
              <w:spacing w:before="0" w:after="0" w:line="240" w:lineRule="auto"/>
              <w:jc w:val="left"/>
            </w:pPr>
            <w:r>
              <w:rPr>
                <w:rFonts w:ascii="Times New Roman" w:hAnsi="Times New Roman" w:eastAsia="Times New Roman"/>
                <w:color w:val="000000"/>
                <w:sz w:val="18"/>
              </w:rPr>
              <w:t>Calibrated trust</w:t>
            </w:r>
          </w:p>
        </w:tc>
        <w:tc>
          <w:tcPr>
            <w:tcW w:w="4100" w:type="dxa"/>
            <w:tcBorders>
              <w:top w:val="nil"/>
              <w:left w:val="nil"/>
              <w:bottom w:val="nil"/>
              <w:right w:val="nil"/>
            </w:tcBorders>
            <w:tcMar>
              <w:top w:w="80" w:type="dxa"/>
              <w:left w:w="80" w:type="dxa"/>
              <w:bottom w:w="80" w:type="dxa"/>
              <w:right w:w="80" w:type="dxa"/>
            </w:tcMar>
            <w:vAlign w:val="center"/>
          </w:tcPr>
          <w:p w14:paraId="605B9575">
            <w:pPr>
              <w:spacing w:before="0" w:after="0" w:line="240" w:lineRule="auto"/>
              <w:jc w:val="left"/>
            </w:pPr>
            <w:r>
              <w:rPr>
                <w:rFonts w:ascii="Times New Roman" w:hAnsi="Times New Roman" w:eastAsia="Times New Roman"/>
                <w:color w:val="000000"/>
                <w:sz w:val="18"/>
              </w:rPr>
              <w:t>CT4</w:t>
            </w:r>
          </w:p>
        </w:tc>
        <w:tc>
          <w:tcPr>
            <w:tcW w:w="2700" w:type="dxa"/>
            <w:tcBorders>
              <w:top w:val="nil"/>
              <w:left w:val="nil"/>
              <w:bottom w:val="nil"/>
              <w:right w:val="nil"/>
            </w:tcBorders>
            <w:tcMar>
              <w:top w:w="80" w:type="dxa"/>
              <w:left w:w="80" w:type="dxa"/>
              <w:bottom w:w="80" w:type="dxa"/>
              <w:right w:w="80" w:type="dxa"/>
            </w:tcMar>
            <w:vAlign w:val="center"/>
          </w:tcPr>
          <w:p w14:paraId="76FC2F8C">
            <w:pPr>
              <w:spacing w:before="0" w:after="0" w:line="240" w:lineRule="auto"/>
              <w:jc w:val="left"/>
            </w:pPr>
            <w:r>
              <w:rPr>
                <w:rFonts w:ascii="Times New Roman" w:hAnsi="Times New Roman" w:eastAsia="Times New Roman"/>
                <w:color w:val="000000"/>
                <w:sz w:val="18"/>
              </w:rPr>
              <w:t>The explanation helped me judge when the feedback was reliable.</w:t>
            </w:r>
          </w:p>
        </w:tc>
        <w:tc>
          <w:tcPr>
            <w:tcW w:w="4500" w:type="dxa"/>
            <w:tcBorders>
              <w:top w:val="nil"/>
              <w:left w:val="nil"/>
              <w:bottom w:val="nil"/>
              <w:right w:val="nil"/>
            </w:tcBorders>
            <w:tcMar>
              <w:top w:w="80" w:type="dxa"/>
              <w:left w:w="80" w:type="dxa"/>
              <w:bottom w:w="80" w:type="dxa"/>
              <w:right w:w="80" w:type="dxa"/>
            </w:tcMar>
            <w:vAlign w:val="center"/>
          </w:tcPr>
          <w:p w14:paraId="570789A9">
            <w:pPr>
              <w:spacing w:before="0" w:after="0" w:line="240" w:lineRule="auto"/>
              <w:jc w:val="left"/>
            </w:pPr>
            <w:r>
              <w:rPr>
                <w:rFonts w:ascii="Times New Roman" w:hAnsi="Times New Roman" w:eastAsia="Times New Roman"/>
                <w:color w:val="000000"/>
                <w:sz w:val="18"/>
              </w:rPr>
              <w:t>T2</w:t>
            </w:r>
          </w:p>
        </w:tc>
      </w:tr>
      <w:tr w14:paraId="3822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1872FD94">
            <w:pPr>
              <w:spacing w:before="0" w:after="0" w:line="240" w:lineRule="auto"/>
              <w:jc w:val="left"/>
            </w:pPr>
            <w:r>
              <w:rPr>
                <w:rFonts w:ascii="Times New Roman" w:hAnsi="Times New Roman" w:eastAsia="Times New Roman"/>
                <w:color w:val="000000"/>
                <w:sz w:val="18"/>
              </w:rPr>
              <w:t>Feedback uptake</w:t>
            </w:r>
          </w:p>
        </w:tc>
        <w:tc>
          <w:tcPr>
            <w:tcW w:w="4100" w:type="dxa"/>
            <w:tcBorders>
              <w:top w:val="nil"/>
              <w:left w:val="nil"/>
              <w:bottom w:val="nil"/>
              <w:right w:val="nil"/>
            </w:tcBorders>
            <w:tcMar>
              <w:top w:w="80" w:type="dxa"/>
              <w:left w:w="80" w:type="dxa"/>
              <w:bottom w:w="80" w:type="dxa"/>
              <w:right w:w="80" w:type="dxa"/>
            </w:tcMar>
            <w:vAlign w:val="center"/>
          </w:tcPr>
          <w:p w14:paraId="3C23E5EF">
            <w:pPr>
              <w:spacing w:before="0" w:after="0" w:line="240" w:lineRule="auto"/>
              <w:jc w:val="left"/>
            </w:pPr>
            <w:r>
              <w:rPr>
                <w:rFonts w:ascii="Times New Roman" w:hAnsi="Times New Roman" w:eastAsia="Times New Roman"/>
                <w:color w:val="000000"/>
                <w:sz w:val="18"/>
              </w:rPr>
              <w:t>FU1</w:t>
            </w:r>
          </w:p>
        </w:tc>
        <w:tc>
          <w:tcPr>
            <w:tcW w:w="2700" w:type="dxa"/>
            <w:tcBorders>
              <w:top w:val="nil"/>
              <w:left w:val="nil"/>
              <w:bottom w:val="nil"/>
              <w:right w:val="nil"/>
            </w:tcBorders>
            <w:tcMar>
              <w:top w:w="80" w:type="dxa"/>
              <w:left w:w="80" w:type="dxa"/>
              <w:bottom w:w="80" w:type="dxa"/>
              <w:right w:w="80" w:type="dxa"/>
            </w:tcMar>
            <w:vAlign w:val="center"/>
          </w:tcPr>
          <w:p w14:paraId="228C8A24">
            <w:pPr>
              <w:spacing w:before="0" w:after="0" w:line="240" w:lineRule="auto"/>
              <w:jc w:val="left"/>
            </w:pPr>
            <w:r>
              <w:rPr>
                <w:rFonts w:ascii="Times New Roman" w:hAnsi="Times New Roman" w:eastAsia="Times New Roman"/>
                <w:color w:val="000000"/>
                <w:sz w:val="18"/>
              </w:rPr>
              <w:t>I identified concrete teaching changes based on the feedback.</w:t>
            </w:r>
          </w:p>
        </w:tc>
        <w:tc>
          <w:tcPr>
            <w:tcW w:w="4500" w:type="dxa"/>
            <w:tcBorders>
              <w:top w:val="nil"/>
              <w:left w:val="nil"/>
              <w:bottom w:val="nil"/>
              <w:right w:val="nil"/>
            </w:tcBorders>
            <w:tcMar>
              <w:top w:w="80" w:type="dxa"/>
              <w:left w:w="80" w:type="dxa"/>
              <w:bottom w:w="80" w:type="dxa"/>
              <w:right w:w="80" w:type="dxa"/>
            </w:tcMar>
            <w:vAlign w:val="center"/>
          </w:tcPr>
          <w:p w14:paraId="3310099C">
            <w:pPr>
              <w:spacing w:before="0" w:after="0" w:line="240" w:lineRule="auto"/>
              <w:jc w:val="left"/>
            </w:pPr>
            <w:r>
              <w:rPr>
                <w:rFonts w:ascii="Times New Roman" w:hAnsi="Times New Roman" w:eastAsia="Times New Roman"/>
                <w:color w:val="000000"/>
                <w:sz w:val="18"/>
              </w:rPr>
              <w:t>T3</w:t>
            </w:r>
          </w:p>
        </w:tc>
      </w:tr>
      <w:tr w14:paraId="2463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58FFC281">
            <w:pPr>
              <w:spacing w:before="0" w:after="0" w:line="240" w:lineRule="auto"/>
              <w:jc w:val="left"/>
            </w:pPr>
            <w:r>
              <w:rPr>
                <w:rFonts w:ascii="Times New Roman" w:hAnsi="Times New Roman" w:eastAsia="Times New Roman"/>
                <w:color w:val="000000"/>
                <w:sz w:val="18"/>
              </w:rPr>
              <w:t>Feedback uptake</w:t>
            </w:r>
          </w:p>
        </w:tc>
        <w:tc>
          <w:tcPr>
            <w:tcW w:w="4100" w:type="dxa"/>
            <w:tcBorders>
              <w:top w:val="nil"/>
              <w:left w:val="nil"/>
              <w:bottom w:val="nil"/>
              <w:right w:val="nil"/>
            </w:tcBorders>
            <w:tcMar>
              <w:top w:w="80" w:type="dxa"/>
              <w:left w:w="80" w:type="dxa"/>
              <w:bottom w:w="80" w:type="dxa"/>
              <w:right w:w="80" w:type="dxa"/>
            </w:tcMar>
            <w:vAlign w:val="center"/>
          </w:tcPr>
          <w:p w14:paraId="32D80F8E">
            <w:pPr>
              <w:spacing w:before="0" w:after="0" w:line="240" w:lineRule="auto"/>
              <w:jc w:val="left"/>
            </w:pPr>
            <w:r>
              <w:rPr>
                <w:rFonts w:ascii="Times New Roman" w:hAnsi="Times New Roman" w:eastAsia="Times New Roman"/>
                <w:color w:val="000000"/>
                <w:sz w:val="18"/>
              </w:rPr>
              <w:t>FU2</w:t>
            </w:r>
          </w:p>
        </w:tc>
        <w:tc>
          <w:tcPr>
            <w:tcW w:w="2700" w:type="dxa"/>
            <w:tcBorders>
              <w:top w:val="nil"/>
              <w:left w:val="nil"/>
              <w:bottom w:val="nil"/>
              <w:right w:val="nil"/>
            </w:tcBorders>
            <w:tcMar>
              <w:top w:w="80" w:type="dxa"/>
              <w:left w:w="80" w:type="dxa"/>
              <w:bottom w:w="80" w:type="dxa"/>
              <w:right w:w="80" w:type="dxa"/>
            </w:tcMar>
            <w:vAlign w:val="center"/>
          </w:tcPr>
          <w:p w14:paraId="01B52D10">
            <w:pPr>
              <w:spacing w:before="0" w:after="0" w:line="240" w:lineRule="auto"/>
              <w:jc w:val="left"/>
            </w:pPr>
            <w:r>
              <w:rPr>
                <w:rFonts w:ascii="Times New Roman" w:hAnsi="Times New Roman" w:eastAsia="Times New Roman"/>
                <w:color w:val="000000"/>
                <w:sz w:val="18"/>
              </w:rPr>
              <w:t>I discussed the feedback with colleagues, mentors, or teaching-support staff.</w:t>
            </w:r>
          </w:p>
        </w:tc>
        <w:tc>
          <w:tcPr>
            <w:tcW w:w="4500" w:type="dxa"/>
            <w:tcBorders>
              <w:top w:val="nil"/>
              <w:left w:val="nil"/>
              <w:bottom w:val="nil"/>
              <w:right w:val="nil"/>
            </w:tcBorders>
            <w:tcMar>
              <w:top w:w="80" w:type="dxa"/>
              <w:left w:w="80" w:type="dxa"/>
              <w:bottom w:w="80" w:type="dxa"/>
              <w:right w:w="80" w:type="dxa"/>
            </w:tcMar>
            <w:vAlign w:val="center"/>
          </w:tcPr>
          <w:p w14:paraId="7A396593">
            <w:pPr>
              <w:spacing w:before="0" w:after="0" w:line="240" w:lineRule="auto"/>
              <w:jc w:val="left"/>
            </w:pPr>
            <w:r>
              <w:rPr>
                <w:rFonts w:ascii="Times New Roman" w:hAnsi="Times New Roman" w:eastAsia="Times New Roman"/>
                <w:color w:val="000000"/>
                <w:sz w:val="18"/>
              </w:rPr>
              <w:t>T3</w:t>
            </w:r>
          </w:p>
        </w:tc>
      </w:tr>
      <w:tr w14:paraId="02A2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4F58308A">
            <w:pPr>
              <w:spacing w:before="0" w:after="0" w:line="240" w:lineRule="auto"/>
              <w:jc w:val="left"/>
            </w:pPr>
            <w:r>
              <w:rPr>
                <w:rFonts w:ascii="Times New Roman" w:hAnsi="Times New Roman" w:eastAsia="Times New Roman"/>
                <w:color w:val="000000"/>
                <w:sz w:val="18"/>
              </w:rPr>
              <w:t>Feedback uptake</w:t>
            </w:r>
          </w:p>
        </w:tc>
        <w:tc>
          <w:tcPr>
            <w:tcW w:w="4100" w:type="dxa"/>
            <w:tcBorders>
              <w:top w:val="nil"/>
              <w:left w:val="nil"/>
              <w:bottom w:val="nil"/>
              <w:right w:val="nil"/>
            </w:tcBorders>
            <w:tcMar>
              <w:top w:w="80" w:type="dxa"/>
              <w:left w:w="80" w:type="dxa"/>
              <w:bottom w:w="80" w:type="dxa"/>
              <w:right w:w="80" w:type="dxa"/>
            </w:tcMar>
            <w:vAlign w:val="center"/>
          </w:tcPr>
          <w:p w14:paraId="096FE0E2">
            <w:pPr>
              <w:spacing w:before="0" w:after="0" w:line="240" w:lineRule="auto"/>
              <w:jc w:val="left"/>
            </w:pPr>
            <w:r>
              <w:rPr>
                <w:rFonts w:ascii="Times New Roman" w:hAnsi="Times New Roman" w:eastAsia="Times New Roman"/>
                <w:color w:val="000000"/>
                <w:sz w:val="18"/>
              </w:rPr>
              <w:t>FU3</w:t>
            </w:r>
          </w:p>
        </w:tc>
        <w:tc>
          <w:tcPr>
            <w:tcW w:w="2700" w:type="dxa"/>
            <w:tcBorders>
              <w:top w:val="nil"/>
              <w:left w:val="nil"/>
              <w:bottom w:val="nil"/>
              <w:right w:val="nil"/>
            </w:tcBorders>
            <w:tcMar>
              <w:top w:w="80" w:type="dxa"/>
              <w:left w:w="80" w:type="dxa"/>
              <w:bottom w:w="80" w:type="dxa"/>
              <w:right w:w="80" w:type="dxa"/>
            </w:tcMar>
            <w:vAlign w:val="center"/>
          </w:tcPr>
          <w:p w14:paraId="5B06A43A">
            <w:pPr>
              <w:spacing w:before="0" w:after="0" w:line="240" w:lineRule="auto"/>
              <w:jc w:val="left"/>
            </w:pPr>
            <w:r>
              <w:rPr>
                <w:rFonts w:ascii="Times New Roman" w:hAnsi="Times New Roman" w:eastAsia="Times New Roman"/>
                <w:color w:val="000000"/>
                <w:sz w:val="18"/>
              </w:rPr>
              <w:t>I revised at least one teaching activity, assessment, or resource after receiving the feedback.</w:t>
            </w:r>
          </w:p>
        </w:tc>
        <w:tc>
          <w:tcPr>
            <w:tcW w:w="4500" w:type="dxa"/>
            <w:tcBorders>
              <w:top w:val="nil"/>
              <w:left w:val="nil"/>
              <w:bottom w:val="nil"/>
              <w:right w:val="nil"/>
            </w:tcBorders>
            <w:tcMar>
              <w:top w:w="80" w:type="dxa"/>
              <w:left w:w="80" w:type="dxa"/>
              <w:bottom w:w="80" w:type="dxa"/>
              <w:right w:w="80" w:type="dxa"/>
            </w:tcMar>
            <w:vAlign w:val="center"/>
          </w:tcPr>
          <w:p w14:paraId="5B0CB3BA">
            <w:pPr>
              <w:spacing w:before="0" w:after="0" w:line="240" w:lineRule="auto"/>
              <w:jc w:val="left"/>
            </w:pPr>
            <w:r>
              <w:rPr>
                <w:rFonts w:ascii="Times New Roman" w:hAnsi="Times New Roman" w:eastAsia="Times New Roman"/>
                <w:color w:val="000000"/>
                <w:sz w:val="18"/>
              </w:rPr>
              <w:t>T3</w:t>
            </w:r>
          </w:p>
        </w:tc>
      </w:tr>
      <w:tr w14:paraId="1D03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13B021E4">
            <w:pPr>
              <w:spacing w:before="0" w:after="0" w:line="240" w:lineRule="auto"/>
              <w:jc w:val="left"/>
            </w:pPr>
            <w:r>
              <w:rPr>
                <w:rFonts w:ascii="Times New Roman" w:hAnsi="Times New Roman" w:eastAsia="Times New Roman"/>
                <w:color w:val="000000"/>
                <w:sz w:val="18"/>
              </w:rPr>
              <w:t>Feedback uptake</w:t>
            </w:r>
          </w:p>
        </w:tc>
        <w:tc>
          <w:tcPr>
            <w:tcW w:w="4100" w:type="dxa"/>
            <w:tcBorders>
              <w:top w:val="nil"/>
              <w:left w:val="nil"/>
              <w:bottom w:val="nil"/>
              <w:right w:val="nil"/>
            </w:tcBorders>
            <w:tcMar>
              <w:top w:w="80" w:type="dxa"/>
              <w:left w:w="80" w:type="dxa"/>
              <w:bottom w:w="80" w:type="dxa"/>
              <w:right w:w="80" w:type="dxa"/>
            </w:tcMar>
            <w:vAlign w:val="center"/>
          </w:tcPr>
          <w:p w14:paraId="5DC16EAA">
            <w:pPr>
              <w:spacing w:before="0" w:after="0" w:line="240" w:lineRule="auto"/>
              <w:jc w:val="left"/>
            </w:pPr>
            <w:r>
              <w:rPr>
                <w:rFonts w:ascii="Times New Roman" w:hAnsi="Times New Roman" w:eastAsia="Times New Roman"/>
                <w:color w:val="000000"/>
                <w:sz w:val="18"/>
              </w:rPr>
              <w:t>FU4</w:t>
            </w:r>
          </w:p>
        </w:tc>
        <w:tc>
          <w:tcPr>
            <w:tcW w:w="2700" w:type="dxa"/>
            <w:tcBorders>
              <w:top w:val="nil"/>
              <w:left w:val="nil"/>
              <w:bottom w:val="nil"/>
              <w:right w:val="nil"/>
            </w:tcBorders>
            <w:tcMar>
              <w:top w:w="80" w:type="dxa"/>
              <w:left w:w="80" w:type="dxa"/>
              <w:bottom w:w="80" w:type="dxa"/>
              <w:right w:w="80" w:type="dxa"/>
            </w:tcMar>
            <w:vAlign w:val="center"/>
          </w:tcPr>
          <w:p w14:paraId="4CAB3E30">
            <w:pPr>
              <w:spacing w:before="0" w:after="0" w:line="240" w:lineRule="auto"/>
              <w:jc w:val="left"/>
            </w:pPr>
            <w:r>
              <w:rPr>
                <w:rFonts w:ascii="Times New Roman" w:hAnsi="Times New Roman" w:eastAsia="Times New Roman"/>
                <w:color w:val="000000"/>
                <w:sz w:val="18"/>
              </w:rPr>
              <w:t>I used the feedback to prioritize improvement actions.</w:t>
            </w:r>
          </w:p>
        </w:tc>
        <w:tc>
          <w:tcPr>
            <w:tcW w:w="4500" w:type="dxa"/>
            <w:tcBorders>
              <w:top w:val="nil"/>
              <w:left w:val="nil"/>
              <w:bottom w:val="nil"/>
              <w:right w:val="nil"/>
            </w:tcBorders>
            <w:tcMar>
              <w:top w:w="80" w:type="dxa"/>
              <w:left w:w="80" w:type="dxa"/>
              <w:bottom w:w="80" w:type="dxa"/>
              <w:right w:w="80" w:type="dxa"/>
            </w:tcMar>
            <w:vAlign w:val="center"/>
          </w:tcPr>
          <w:p w14:paraId="12C16301">
            <w:pPr>
              <w:spacing w:before="0" w:after="0" w:line="240" w:lineRule="auto"/>
              <w:jc w:val="left"/>
            </w:pPr>
            <w:r>
              <w:rPr>
                <w:rFonts w:ascii="Times New Roman" w:hAnsi="Times New Roman" w:eastAsia="Times New Roman"/>
                <w:color w:val="000000"/>
                <w:sz w:val="18"/>
              </w:rPr>
              <w:t>T3</w:t>
            </w:r>
          </w:p>
        </w:tc>
      </w:tr>
      <w:tr w14:paraId="5C3E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41C2619A">
            <w:pPr>
              <w:spacing w:before="0" w:after="0" w:line="240" w:lineRule="auto"/>
              <w:jc w:val="left"/>
            </w:pPr>
            <w:r>
              <w:rPr>
                <w:rFonts w:ascii="Times New Roman" w:hAnsi="Times New Roman" w:eastAsia="Times New Roman"/>
                <w:color w:val="000000"/>
                <w:sz w:val="18"/>
              </w:rPr>
              <w:t>Instructional improvement</w:t>
            </w:r>
          </w:p>
        </w:tc>
        <w:tc>
          <w:tcPr>
            <w:tcW w:w="4100" w:type="dxa"/>
            <w:tcBorders>
              <w:top w:val="nil"/>
              <w:left w:val="nil"/>
              <w:bottom w:val="nil"/>
              <w:right w:val="nil"/>
            </w:tcBorders>
            <w:tcMar>
              <w:top w:w="80" w:type="dxa"/>
              <w:left w:w="80" w:type="dxa"/>
              <w:bottom w:w="80" w:type="dxa"/>
              <w:right w:w="80" w:type="dxa"/>
            </w:tcMar>
            <w:vAlign w:val="center"/>
          </w:tcPr>
          <w:p w14:paraId="72EC1FB2">
            <w:pPr>
              <w:spacing w:before="0" w:after="0" w:line="240" w:lineRule="auto"/>
              <w:jc w:val="left"/>
            </w:pPr>
            <w:r>
              <w:rPr>
                <w:rFonts w:ascii="Times New Roman" w:hAnsi="Times New Roman" w:eastAsia="Times New Roman"/>
                <w:color w:val="000000"/>
                <w:sz w:val="18"/>
              </w:rPr>
              <w:t>II1</w:t>
            </w:r>
          </w:p>
        </w:tc>
        <w:tc>
          <w:tcPr>
            <w:tcW w:w="2700" w:type="dxa"/>
            <w:tcBorders>
              <w:top w:val="nil"/>
              <w:left w:val="nil"/>
              <w:bottom w:val="nil"/>
              <w:right w:val="nil"/>
            </w:tcBorders>
            <w:tcMar>
              <w:top w:w="80" w:type="dxa"/>
              <w:left w:w="80" w:type="dxa"/>
              <w:bottom w:w="80" w:type="dxa"/>
              <w:right w:w="80" w:type="dxa"/>
            </w:tcMar>
            <w:vAlign w:val="center"/>
          </w:tcPr>
          <w:p w14:paraId="6EBFEAE2">
            <w:pPr>
              <w:spacing w:before="0" w:after="0" w:line="240" w:lineRule="auto"/>
              <w:jc w:val="left"/>
            </w:pPr>
            <w:r>
              <w:rPr>
                <w:rFonts w:ascii="Times New Roman" w:hAnsi="Times New Roman" w:eastAsia="Times New Roman"/>
                <w:color w:val="000000"/>
                <w:sz w:val="18"/>
              </w:rPr>
              <w:t>The course showed clearer alignment among objectives, activities, and assessment.</w:t>
            </w:r>
          </w:p>
        </w:tc>
        <w:tc>
          <w:tcPr>
            <w:tcW w:w="4500" w:type="dxa"/>
            <w:tcBorders>
              <w:top w:val="nil"/>
              <w:left w:val="nil"/>
              <w:bottom w:val="nil"/>
              <w:right w:val="nil"/>
            </w:tcBorders>
            <w:tcMar>
              <w:top w:w="80" w:type="dxa"/>
              <w:left w:w="80" w:type="dxa"/>
              <w:bottom w:w="80" w:type="dxa"/>
              <w:right w:w="80" w:type="dxa"/>
            </w:tcMar>
            <w:vAlign w:val="center"/>
          </w:tcPr>
          <w:p w14:paraId="36F5ED49">
            <w:pPr>
              <w:spacing w:before="0" w:after="0" w:line="240" w:lineRule="auto"/>
              <w:jc w:val="left"/>
            </w:pPr>
            <w:r>
              <w:rPr>
                <w:rFonts w:ascii="Times New Roman" w:hAnsi="Times New Roman" w:eastAsia="Times New Roman"/>
                <w:color w:val="000000"/>
                <w:sz w:val="18"/>
              </w:rPr>
              <w:t>T3</w:t>
            </w:r>
          </w:p>
        </w:tc>
      </w:tr>
      <w:tr w14:paraId="09CC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1B1FEDA5">
            <w:pPr>
              <w:spacing w:before="0" w:after="0" w:line="240" w:lineRule="auto"/>
              <w:jc w:val="left"/>
            </w:pPr>
            <w:r>
              <w:rPr>
                <w:rFonts w:ascii="Times New Roman" w:hAnsi="Times New Roman" w:eastAsia="Times New Roman"/>
                <w:color w:val="000000"/>
                <w:sz w:val="18"/>
              </w:rPr>
              <w:t>Instructional improvement</w:t>
            </w:r>
          </w:p>
        </w:tc>
        <w:tc>
          <w:tcPr>
            <w:tcW w:w="4100" w:type="dxa"/>
            <w:tcBorders>
              <w:top w:val="nil"/>
              <w:left w:val="nil"/>
              <w:bottom w:val="nil"/>
              <w:right w:val="nil"/>
            </w:tcBorders>
            <w:tcMar>
              <w:top w:w="80" w:type="dxa"/>
              <w:left w:w="80" w:type="dxa"/>
              <w:bottom w:w="80" w:type="dxa"/>
              <w:right w:w="80" w:type="dxa"/>
            </w:tcMar>
            <w:vAlign w:val="center"/>
          </w:tcPr>
          <w:p w14:paraId="6D6F13C2">
            <w:pPr>
              <w:spacing w:before="0" w:after="0" w:line="240" w:lineRule="auto"/>
              <w:jc w:val="left"/>
            </w:pPr>
            <w:r>
              <w:rPr>
                <w:rFonts w:ascii="Times New Roman" w:hAnsi="Times New Roman" w:eastAsia="Times New Roman"/>
                <w:color w:val="000000"/>
                <w:sz w:val="18"/>
              </w:rPr>
              <w:t>II2</w:t>
            </w:r>
          </w:p>
        </w:tc>
        <w:tc>
          <w:tcPr>
            <w:tcW w:w="2700" w:type="dxa"/>
            <w:tcBorders>
              <w:top w:val="nil"/>
              <w:left w:val="nil"/>
              <w:bottom w:val="nil"/>
              <w:right w:val="nil"/>
            </w:tcBorders>
            <w:tcMar>
              <w:top w:w="80" w:type="dxa"/>
              <w:left w:w="80" w:type="dxa"/>
              <w:bottom w:w="80" w:type="dxa"/>
              <w:right w:w="80" w:type="dxa"/>
            </w:tcMar>
            <w:vAlign w:val="center"/>
          </w:tcPr>
          <w:p w14:paraId="1A7B9087">
            <w:pPr>
              <w:spacing w:before="0" w:after="0" w:line="240" w:lineRule="auto"/>
              <w:jc w:val="left"/>
            </w:pPr>
            <w:r>
              <w:rPr>
                <w:rFonts w:ascii="Times New Roman" w:hAnsi="Times New Roman" w:eastAsia="Times New Roman"/>
                <w:color w:val="000000"/>
                <w:sz w:val="18"/>
              </w:rPr>
              <w:t>Classroom interaction or learning support improved after the feedback.</w:t>
            </w:r>
          </w:p>
        </w:tc>
        <w:tc>
          <w:tcPr>
            <w:tcW w:w="4500" w:type="dxa"/>
            <w:tcBorders>
              <w:top w:val="nil"/>
              <w:left w:val="nil"/>
              <w:bottom w:val="nil"/>
              <w:right w:val="nil"/>
            </w:tcBorders>
            <w:tcMar>
              <w:top w:w="80" w:type="dxa"/>
              <w:left w:w="80" w:type="dxa"/>
              <w:bottom w:w="80" w:type="dxa"/>
              <w:right w:w="80" w:type="dxa"/>
            </w:tcMar>
            <w:vAlign w:val="center"/>
          </w:tcPr>
          <w:p w14:paraId="2AF2E9BD">
            <w:pPr>
              <w:spacing w:before="0" w:after="0" w:line="240" w:lineRule="auto"/>
              <w:jc w:val="left"/>
            </w:pPr>
            <w:r>
              <w:rPr>
                <w:rFonts w:ascii="Times New Roman" w:hAnsi="Times New Roman" w:eastAsia="Times New Roman"/>
                <w:color w:val="000000"/>
                <w:sz w:val="18"/>
              </w:rPr>
              <w:t>T3</w:t>
            </w:r>
          </w:p>
        </w:tc>
      </w:tr>
      <w:tr w14:paraId="6157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616A370D">
            <w:pPr>
              <w:spacing w:before="0" w:after="0" w:line="240" w:lineRule="auto"/>
              <w:jc w:val="left"/>
            </w:pPr>
            <w:r>
              <w:rPr>
                <w:rFonts w:ascii="Times New Roman" w:hAnsi="Times New Roman" w:eastAsia="Times New Roman"/>
                <w:color w:val="000000"/>
                <w:sz w:val="18"/>
              </w:rPr>
              <w:t>Instructional improvement</w:t>
            </w:r>
          </w:p>
        </w:tc>
        <w:tc>
          <w:tcPr>
            <w:tcW w:w="4100" w:type="dxa"/>
            <w:tcBorders>
              <w:top w:val="nil"/>
              <w:left w:val="nil"/>
              <w:bottom w:val="nil"/>
              <w:right w:val="nil"/>
            </w:tcBorders>
            <w:tcMar>
              <w:top w:w="80" w:type="dxa"/>
              <w:left w:w="80" w:type="dxa"/>
              <w:bottom w:w="80" w:type="dxa"/>
              <w:right w:w="80" w:type="dxa"/>
            </w:tcMar>
            <w:vAlign w:val="center"/>
          </w:tcPr>
          <w:p w14:paraId="4FB0384D">
            <w:pPr>
              <w:spacing w:before="0" w:after="0" w:line="240" w:lineRule="auto"/>
              <w:jc w:val="left"/>
            </w:pPr>
            <w:r>
              <w:rPr>
                <w:rFonts w:ascii="Times New Roman" w:hAnsi="Times New Roman" w:eastAsia="Times New Roman"/>
                <w:color w:val="000000"/>
                <w:sz w:val="18"/>
              </w:rPr>
              <w:t>II3</w:t>
            </w:r>
          </w:p>
        </w:tc>
        <w:tc>
          <w:tcPr>
            <w:tcW w:w="2700" w:type="dxa"/>
            <w:tcBorders>
              <w:top w:val="nil"/>
              <w:left w:val="nil"/>
              <w:bottom w:val="nil"/>
              <w:right w:val="nil"/>
            </w:tcBorders>
            <w:tcMar>
              <w:top w:w="80" w:type="dxa"/>
              <w:left w:w="80" w:type="dxa"/>
              <w:bottom w:w="80" w:type="dxa"/>
              <w:right w:w="80" w:type="dxa"/>
            </w:tcMar>
            <w:vAlign w:val="center"/>
          </w:tcPr>
          <w:p w14:paraId="11941325">
            <w:pPr>
              <w:spacing w:before="0" w:after="0" w:line="240" w:lineRule="auto"/>
              <w:jc w:val="left"/>
            </w:pPr>
            <w:r>
              <w:rPr>
                <w:rFonts w:ascii="Times New Roman" w:hAnsi="Times New Roman" w:eastAsia="Times New Roman"/>
                <w:color w:val="000000"/>
                <w:sz w:val="18"/>
              </w:rPr>
              <w:t>Course documents or learning resources were revised in response to feedback.</w:t>
            </w:r>
          </w:p>
        </w:tc>
        <w:tc>
          <w:tcPr>
            <w:tcW w:w="4500" w:type="dxa"/>
            <w:tcBorders>
              <w:top w:val="nil"/>
              <w:left w:val="nil"/>
              <w:bottom w:val="nil"/>
              <w:right w:val="nil"/>
            </w:tcBorders>
            <w:tcMar>
              <w:top w:w="80" w:type="dxa"/>
              <w:left w:w="80" w:type="dxa"/>
              <w:bottom w:w="80" w:type="dxa"/>
              <w:right w:w="80" w:type="dxa"/>
            </w:tcMar>
            <w:vAlign w:val="center"/>
          </w:tcPr>
          <w:p w14:paraId="35416926">
            <w:pPr>
              <w:spacing w:before="0" w:after="0" w:line="240" w:lineRule="auto"/>
              <w:jc w:val="left"/>
            </w:pPr>
            <w:r>
              <w:rPr>
                <w:rFonts w:ascii="Times New Roman" w:hAnsi="Times New Roman" w:eastAsia="Times New Roman"/>
                <w:color w:val="000000"/>
                <w:sz w:val="18"/>
              </w:rPr>
              <w:t>T3</w:t>
            </w:r>
          </w:p>
        </w:tc>
      </w:tr>
      <w:tr w14:paraId="3604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1C35FEA4">
            <w:pPr>
              <w:spacing w:before="0" w:after="0" w:line="240" w:lineRule="auto"/>
              <w:jc w:val="left"/>
            </w:pPr>
            <w:r>
              <w:rPr>
                <w:rFonts w:ascii="Times New Roman" w:hAnsi="Times New Roman" w:eastAsia="Times New Roman"/>
                <w:color w:val="000000"/>
                <w:sz w:val="18"/>
              </w:rPr>
              <w:t>Evaluation pressure</w:t>
            </w:r>
          </w:p>
        </w:tc>
        <w:tc>
          <w:tcPr>
            <w:tcW w:w="4100" w:type="dxa"/>
            <w:tcBorders>
              <w:top w:val="nil"/>
              <w:left w:val="nil"/>
              <w:bottom w:val="nil"/>
              <w:right w:val="nil"/>
            </w:tcBorders>
            <w:tcMar>
              <w:top w:w="80" w:type="dxa"/>
              <w:left w:w="80" w:type="dxa"/>
              <w:bottom w:w="80" w:type="dxa"/>
              <w:right w:w="80" w:type="dxa"/>
            </w:tcMar>
            <w:vAlign w:val="center"/>
          </w:tcPr>
          <w:p w14:paraId="71937576">
            <w:pPr>
              <w:spacing w:before="0" w:after="0" w:line="240" w:lineRule="auto"/>
              <w:jc w:val="left"/>
            </w:pPr>
            <w:r>
              <w:rPr>
                <w:rFonts w:ascii="Times New Roman" w:hAnsi="Times New Roman" w:eastAsia="Times New Roman"/>
                <w:color w:val="000000"/>
                <w:sz w:val="18"/>
              </w:rPr>
              <w:t>EP1</w:t>
            </w:r>
          </w:p>
        </w:tc>
        <w:tc>
          <w:tcPr>
            <w:tcW w:w="2700" w:type="dxa"/>
            <w:tcBorders>
              <w:top w:val="nil"/>
              <w:left w:val="nil"/>
              <w:bottom w:val="nil"/>
              <w:right w:val="nil"/>
            </w:tcBorders>
            <w:tcMar>
              <w:top w:w="80" w:type="dxa"/>
              <w:left w:w="80" w:type="dxa"/>
              <w:bottom w:w="80" w:type="dxa"/>
              <w:right w:w="80" w:type="dxa"/>
            </w:tcMar>
            <w:vAlign w:val="center"/>
          </w:tcPr>
          <w:p w14:paraId="4CDBCDEF">
            <w:pPr>
              <w:spacing w:before="0" w:after="0" w:line="240" w:lineRule="auto"/>
              <w:jc w:val="left"/>
            </w:pPr>
            <w:r>
              <w:rPr>
                <w:rFonts w:ascii="Times New Roman" w:hAnsi="Times New Roman" w:eastAsia="Times New Roman"/>
                <w:color w:val="000000"/>
                <w:sz w:val="18"/>
              </w:rPr>
              <w:t>Teaching evaluation results may affect my professional reputation.</w:t>
            </w:r>
          </w:p>
        </w:tc>
        <w:tc>
          <w:tcPr>
            <w:tcW w:w="4500" w:type="dxa"/>
            <w:tcBorders>
              <w:top w:val="nil"/>
              <w:left w:val="nil"/>
              <w:bottom w:val="nil"/>
              <w:right w:val="nil"/>
            </w:tcBorders>
            <w:tcMar>
              <w:top w:w="80" w:type="dxa"/>
              <w:left w:w="80" w:type="dxa"/>
              <w:bottom w:w="80" w:type="dxa"/>
              <w:right w:w="80" w:type="dxa"/>
            </w:tcMar>
            <w:vAlign w:val="center"/>
          </w:tcPr>
          <w:p w14:paraId="22A9B824">
            <w:pPr>
              <w:spacing w:before="0" w:after="0" w:line="240" w:lineRule="auto"/>
              <w:jc w:val="left"/>
            </w:pPr>
            <w:r>
              <w:rPr>
                <w:rFonts w:ascii="Times New Roman" w:hAnsi="Times New Roman" w:eastAsia="Times New Roman"/>
                <w:color w:val="000000"/>
                <w:sz w:val="18"/>
              </w:rPr>
              <w:t>T1</w:t>
            </w:r>
          </w:p>
        </w:tc>
      </w:tr>
      <w:tr w14:paraId="241D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2DD352F5">
            <w:pPr>
              <w:spacing w:before="0" w:after="0" w:line="240" w:lineRule="auto"/>
              <w:jc w:val="left"/>
            </w:pPr>
            <w:r>
              <w:rPr>
                <w:rFonts w:ascii="Times New Roman" w:hAnsi="Times New Roman" w:eastAsia="Times New Roman"/>
                <w:color w:val="000000"/>
                <w:sz w:val="18"/>
              </w:rPr>
              <w:t>Evaluation pressure</w:t>
            </w:r>
          </w:p>
        </w:tc>
        <w:tc>
          <w:tcPr>
            <w:tcW w:w="4100" w:type="dxa"/>
            <w:tcBorders>
              <w:top w:val="nil"/>
              <w:left w:val="nil"/>
              <w:bottom w:val="nil"/>
              <w:right w:val="nil"/>
            </w:tcBorders>
            <w:tcMar>
              <w:top w:w="80" w:type="dxa"/>
              <w:left w:w="80" w:type="dxa"/>
              <w:bottom w:w="80" w:type="dxa"/>
              <w:right w:w="80" w:type="dxa"/>
            </w:tcMar>
            <w:vAlign w:val="center"/>
          </w:tcPr>
          <w:p w14:paraId="6AAE9AAD">
            <w:pPr>
              <w:spacing w:before="0" w:after="0" w:line="240" w:lineRule="auto"/>
              <w:jc w:val="left"/>
            </w:pPr>
            <w:r>
              <w:rPr>
                <w:rFonts w:ascii="Times New Roman" w:hAnsi="Times New Roman" w:eastAsia="Times New Roman"/>
                <w:color w:val="000000"/>
                <w:sz w:val="18"/>
              </w:rPr>
              <w:t>EP2</w:t>
            </w:r>
          </w:p>
        </w:tc>
        <w:tc>
          <w:tcPr>
            <w:tcW w:w="2700" w:type="dxa"/>
            <w:tcBorders>
              <w:top w:val="nil"/>
              <w:left w:val="nil"/>
              <w:bottom w:val="nil"/>
              <w:right w:val="nil"/>
            </w:tcBorders>
            <w:tcMar>
              <w:top w:w="80" w:type="dxa"/>
              <w:left w:w="80" w:type="dxa"/>
              <w:bottom w:w="80" w:type="dxa"/>
              <w:right w:w="80" w:type="dxa"/>
            </w:tcMar>
            <w:vAlign w:val="center"/>
          </w:tcPr>
          <w:p w14:paraId="5E8F3CE8">
            <w:pPr>
              <w:spacing w:before="0" w:after="0" w:line="240" w:lineRule="auto"/>
              <w:jc w:val="left"/>
            </w:pPr>
            <w:r>
              <w:rPr>
                <w:rFonts w:ascii="Times New Roman" w:hAnsi="Times New Roman" w:eastAsia="Times New Roman"/>
                <w:color w:val="000000"/>
                <w:sz w:val="18"/>
              </w:rPr>
              <w:t>Teaching evaluation results may affect promotion, workload, or institutional recognition.</w:t>
            </w:r>
          </w:p>
        </w:tc>
        <w:tc>
          <w:tcPr>
            <w:tcW w:w="4500" w:type="dxa"/>
            <w:tcBorders>
              <w:top w:val="nil"/>
              <w:left w:val="nil"/>
              <w:bottom w:val="nil"/>
              <w:right w:val="nil"/>
            </w:tcBorders>
            <w:tcMar>
              <w:top w:w="80" w:type="dxa"/>
              <w:left w:w="80" w:type="dxa"/>
              <w:bottom w:w="80" w:type="dxa"/>
              <w:right w:w="80" w:type="dxa"/>
            </w:tcMar>
            <w:vAlign w:val="center"/>
          </w:tcPr>
          <w:p w14:paraId="0B5C9ADA">
            <w:pPr>
              <w:spacing w:before="0" w:after="0" w:line="240" w:lineRule="auto"/>
              <w:jc w:val="left"/>
            </w:pPr>
            <w:r>
              <w:rPr>
                <w:rFonts w:ascii="Times New Roman" w:hAnsi="Times New Roman" w:eastAsia="Times New Roman"/>
                <w:color w:val="000000"/>
                <w:sz w:val="18"/>
              </w:rPr>
              <w:t>T1</w:t>
            </w:r>
          </w:p>
        </w:tc>
      </w:tr>
      <w:tr w14:paraId="368D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7B8CE335">
            <w:pPr>
              <w:spacing w:before="0" w:after="0" w:line="240" w:lineRule="auto"/>
              <w:jc w:val="left"/>
            </w:pPr>
            <w:r>
              <w:rPr>
                <w:rFonts w:ascii="Times New Roman" w:hAnsi="Times New Roman" w:eastAsia="Times New Roman"/>
                <w:color w:val="000000"/>
                <w:sz w:val="18"/>
              </w:rPr>
              <w:t>AI literacy</w:t>
            </w:r>
          </w:p>
        </w:tc>
        <w:tc>
          <w:tcPr>
            <w:tcW w:w="4100" w:type="dxa"/>
            <w:tcBorders>
              <w:top w:val="nil"/>
              <w:left w:val="nil"/>
              <w:bottom w:val="nil"/>
              <w:right w:val="nil"/>
            </w:tcBorders>
            <w:tcMar>
              <w:top w:w="80" w:type="dxa"/>
              <w:left w:w="80" w:type="dxa"/>
              <w:bottom w:w="80" w:type="dxa"/>
              <w:right w:w="80" w:type="dxa"/>
            </w:tcMar>
            <w:vAlign w:val="center"/>
          </w:tcPr>
          <w:p w14:paraId="5F954544">
            <w:pPr>
              <w:spacing w:before="0" w:after="0" w:line="240" w:lineRule="auto"/>
              <w:jc w:val="left"/>
            </w:pPr>
            <w:r>
              <w:rPr>
                <w:rFonts w:ascii="Times New Roman" w:hAnsi="Times New Roman" w:eastAsia="Times New Roman"/>
                <w:color w:val="000000"/>
                <w:sz w:val="18"/>
              </w:rPr>
              <w:t>AIL1</w:t>
            </w:r>
          </w:p>
        </w:tc>
        <w:tc>
          <w:tcPr>
            <w:tcW w:w="2700" w:type="dxa"/>
            <w:tcBorders>
              <w:top w:val="nil"/>
              <w:left w:val="nil"/>
              <w:bottom w:val="nil"/>
              <w:right w:val="nil"/>
            </w:tcBorders>
            <w:tcMar>
              <w:top w:w="80" w:type="dxa"/>
              <w:left w:w="80" w:type="dxa"/>
              <w:bottom w:w="80" w:type="dxa"/>
              <w:right w:w="80" w:type="dxa"/>
            </w:tcMar>
            <w:vAlign w:val="center"/>
          </w:tcPr>
          <w:p w14:paraId="07F3A3C1">
            <w:pPr>
              <w:spacing w:before="0" w:after="0" w:line="240" w:lineRule="auto"/>
              <w:jc w:val="left"/>
            </w:pPr>
            <w:r>
              <w:rPr>
                <w:rFonts w:ascii="Times New Roman" w:hAnsi="Times New Roman" w:eastAsia="Times New Roman"/>
                <w:color w:val="000000"/>
                <w:sz w:val="18"/>
              </w:rPr>
              <w:t>I understand that AI systems can make useful but imperfect recommendations.</w:t>
            </w:r>
          </w:p>
        </w:tc>
        <w:tc>
          <w:tcPr>
            <w:tcW w:w="4500" w:type="dxa"/>
            <w:tcBorders>
              <w:top w:val="nil"/>
              <w:left w:val="nil"/>
              <w:bottom w:val="nil"/>
              <w:right w:val="nil"/>
            </w:tcBorders>
            <w:tcMar>
              <w:top w:w="80" w:type="dxa"/>
              <w:left w:w="80" w:type="dxa"/>
              <w:bottom w:w="80" w:type="dxa"/>
              <w:right w:w="80" w:type="dxa"/>
            </w:tcMar>
            <w:vAlign w:val="center"/>
          </w:tcPr>
          <w:p w14:paraId="274617A5">
            <w:pPr>
              <w:spacing w:before="0" w:after="0" w:line="240" w:lineRule="auto"/>
              <w:jc w:val="left"/>
            </w:pPr>
            <w:r>
              <w:rPr>
                <w:rFonts w:ascii="Times New Roman" w:hAnsi="Times New Roman" w:eastAsia="Times New Roman"/>
                <w:color w:val="000000"/>
                <w:sz w:val="18"/>
              </w:rPr>
              <w:t>T1</w:t>
            </w:r>
          </w:p>
        </w:tc>
      </w:tr>
      <w:tr w14:paraId="1CC7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5DE5880A">
            <w:pPr>
              <w:spacing w:before="0" w:after="0" w:line="240" w:lineRule="auto"/>
              <w:jc w:val="left"/>
            </w:pPr>
            <w:r>
              <w:rPr>
                <w:rFonts w:ascii="Times New Roman" w:hAnsi="Times New Roman" w:eastAsia="Times New Roman"/>
                <w:color w:val="000000"/>
                <w:sz w:val="18"/>
              </w:rPr>
              <w:t>AI literacy</w:t>
            </w:r>
          </w:p>
        </w:tc>
        <w:tc>
          <w:tcPr>
            <w:tcW w:w="4100" w:type="dxa"/>
            <w:tcBorders>
              <w:top w:val="nil"/>
              <w:left w:val="nil"/>
              <w:bottom w:val="nil"/>
              <w:right w:val="nil"/>
            </w:tcBorders>
            <w:tcMar>
              <w:top w:w="80" w:type="dxa"/>
              <w:left w:w="80" w:type="dxa"/>
              <w:bottom w:w="80" w:type="dxa"/>
              <w:right w:w="80" w:type="dxa"/>
            </w:tcMar>
            <w:vAlign w:val="center"/>
          </w:tcPr>
          <w:p w14:paraId="6FD0EFF7">
            <w:pPr>
              <w:spacing w:before="0" w:after="0" w:line="240" w:lineRule="auto"/>
              <w:jc w:val="left"/>
            </w:pPr>
            <w:r>
              <w:rPr>
                <w:rFonts w:ascii="Times New Roman" w:hAnsi="Times New Roman" w:eastAsia="Times New Roman"/>
                <w:color w:val="000000"/>
                <w:sz w:val="18"/>
              </w:rPr>
              <w:t>AIL2</w:t>
            </w:r>
          </w:p>
        </w:tc>
        <w:tc>
          <w:tcPr>
            <w:tcW w:w="2700" w:type="dxa"/>
            <w:tcBorders>
              <w:top w:val="nil"/>
              <w:left w:val="nil"/>
              <w:bottom w:val="nil"/>
              <w:right w:val="nil"/>
            </w:tcBorders>
            <w:tcMar>
              <w:top w:w="80" w:type="dxa"/>
              <w:left w:w="80" w:type="dxa"/>
              <w:bottom w:w="80" w:type="dxa"/>
              <w:right w:w="80" w:type="dxa"/>
            </w:tcMar>
            <w:vAlign w:val="center"/>
          </w:tcPr>
          <w:p w14:paraId="5C747B00">
            <w:pPr>
              <w:spacing w:before="0" w:after="0" w:line="240" w:lineRule="auto"/>
              <w:jc w:val="left"/>
            </w:pPr>
            <w:r>
              <w:rPr>
                <w:rFonts w:ascii="Times New Roman" w:hAnsi="Times New Roman" w:eastAsia="Times New Roman"/>
                <w:color w:val="000000"/>
                <w:sz w:val="18"/>
              </w:rPr>
              <w:t>I can interpret basic information about algorithmic evidence, weights, and uncertainty.</w:t>
            </w:r>
          </w:p>
        </w:tc>
        <w:tc>
          <w:tcPr>
            <w:tcW w:w="4500" w:type="dxa"/>
            <w:tcBorders>
              <w:top w:val="nil"/>
              <w:left w:val="nil"/>
              <w:bottom w:val="nil"/>
              <w:right w:val="nil"/>
            </w:tcBorders>
            <w:tcMar>
              <w:top w:w="80" w:type="dxa"/>
              <w:left w:w="80" w:type="dxa"/>
              <w:bottom w:w="80" w:type="dxa"/>
              <w:right w:w="80" w:type="dxa"/>
            </w:tcMar>
            <w:vAlign w:val="center"/>
          </w:tcPr>
          <w:p w14:paraId="45ACD384">
            <w:pPr>
              <w:spacing w:before="0" w:after="0" w:line="240" w:lineRule="auto"/>
              <w:jc w:val="left"/>
            </w:pPr>
            <w:r>
              <w:rPr>
                <w:rFonts w:ascii="Times New Roman" w:hAnsi="Times New Roman" w:eastAsia="Times New Roman"/>
                <w:color w:val="000000"/>
                <w:sz w:val="18"/>
              </w:rPr>
              <w:t>T1</w:t>
            </w:r>
          </w:p>
        </w:tc>
      </w:tr>
      <w:tr w14:paraId="72CD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16992A16">
            <w:pPr>
              <w:spacing w:before="0" w:after="0" w:line="240" w:lineRule="auto"/>
              <w:jc w:val="left"/>
            </w:pPr>
            <w:r>
              <w:rPr>
                <w:rFonts w:ascii="Times New Roman" w:hAnsi="Times New Roman" w:eastAsia="Times New Roman"/>
                <w:color w:val="000000"/>
                <w:sz w:val="18"/>
              </w:rPr>
              <w:t>Explainability manipulation check</w:t>
            </w:r>
          </w:p>
        </w:tc>
        <w:tc>
          <w:tcPr>
            <w:tcW w:w="4100" w:type="dxa"/>
            <w:tcBorders>
              <w:top w:val="nil"/>
              <w:left w:val="nil"/>
              <w:bottom w:val="nil"/>
              <w:right w:val="nil"/>
            </w:tcBorders>
            <w:tcMar>
              <w:top w:w="80" w:type="dxa"/>
              <w:left w:w="80" w:type="dxa"/>
              <w:bottom w:w="80" w:type="dxa"/>
              <w:right w:w="80" w:type="dxa"/>
            </w:tcMar>
            <w:vAlign w:val="center"/>
          </w:tcPr>
          <w:p w14:paraId="6200A0E7">
            <w:pPr>
              <w:spacing w:before="0" w:after="0" w:line="240" w:lineRule="auto"/>
              <w:jc w:val="left"/>
            </w:pPr>
            <w:r>
              <w:rPr>
                <w:rFonts w:ascii="Times New Roman" w:hAnsi="Times New Roman" w:eastAsia="Times New Roman"/>
                <w:color w:val="000000"/>
                <w:sz w:val="18"/>
              </w:rPr>
              <w:t>EX1</w:t>
            </w:r>
          </w:p>
        </w:tc>
        <w:tc>
          <w:tcPr>
            <w:tcW w:w="2700" w:type="dxa"/>
            <w:tcBorders>
              <w:top w:val="nil"/>
              <w:left w:val="nil"/>
              <w:bottom w:val="nil"/>
              <w:right w:val="nil"/>
            </w:tcBorders>
            <w:tcMar>
              <w:top w:w="80" w:type="dxa"/>
              <w:left w:w="80" w:type="dxa"/>
              <w:bottom w:w="80" w:type="dxa"/>
              <w:right w:w="80" w:type="dxa"/>
            </w:tcMar>
            <w:vAlign w:val="center"/>
          </w:tcPr>
          <w:p w14:paraId="0E100431">
            <w:pPr>
              <w:spacing w:before="0" w:after="0" w:line="240" w:lineRule="auto"/>
              <w:jc w:val="left"/>
            </w:pPr>
            <w:r>
              <w:rPr>
                <w:rFonts w:ascii="Times New Roman" w:hAnsi="Times New Roman" w:eastAsia="Times New Roman"/>
                <w:color w:val="000000"/>
                <w:sz w:val="18"/>
              </w:rPr>
              <w:t>The report clearly showed which evidence sources were used.</w:t>
            </w:r>
          </w:p>
        </w:tc>
        <w:tc>
          <w:tcPr>
            <w:tcW w:w="4500" w:type="dxa"/>
            <w:tcBorders>
              <w:top w:val="nil"/>
              <w:left w:val="nil"/>
              <w:bottom w:val="nil"/>
              <w:right w:val="nil"/>
            </w:tcBorders>
            <w:tcMar>
              <w:top w:w="80" w:type="dxa"/>
              <w:left w:w="80" w:type="dxa"/>
              <w:bottom w:w="80" w:type="dxa"/>
              <w:right w:w="80" w:type="dxa"/>
            </w:tcMar>
            <w:vAlign w:val="center"/>
          </w:tcPr>
          <w:p w14:paraId="6B51C7C3">
            <w:pPr>
              <w:spacing w:before="0" w:after="0" w:line="240" w:lineRule="auto"/>
              <w:jc w:val="left"/>
            </w:pPr>
            <w:r>
              <w:rPr>
                <w:rFonts w:ascii="Times New Roman" w:hAnsi="Times New Roman" w:eastAsia="Times New Roman"/>
                <w:color w:val="000000"/>
                <w:sz w:val="18"/>
              </w:rPr>
              <w:t>T2</w:t>
            </w:r>
          </w:p>
        </w:tc>
      </w:tr>
      <w:tr w14:paraId="4A2B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0613D105">
            <w:pPr>
              <w:spacing w:before="0" w:after="0" w:line="240" w:lineRule="auto"/>
              <w:jc w:val="left"/>
            </w:pPr>
            <w:r>
              <w:rPr>
                <w:rFonts w:ascii="Times New Roman" w:hAnsi="Times New Roman" w:eastAsia="Times New Roman"/>
                <w:color w:val="000000"/>
                <w:sz w:val="18"/>
              </w:rPr>
              <w:t>Explainability manipulation check</w:t>
            </w:r>
          </w:p>
        </w:tc>
        <w:tc>
          <w:tcPr>
            <w:tcW w:w="4100" w:type="dxa"/>
            <w:tcBorders>
              <w:top w:val="nil"/>
              <w:left w:val="nil"/>
              <w:bottom w:val="nil"/>
              <w:right w:val="nil"/>
            </w:tcBorders>
            <w:tcMar>
              <w:top w:w="80" w:type="dxa"/>
              <w:left w:w="80" w:type="dxa"/>
              <w:bottom w:w="80" w:type="dxa"/>
              <w:right w:w="80" w:type="dxa"/>
            </w:tcMar>
            <w:vAlign w:val="center"/>
          </w:tcPr>
          <w:p w14:paraId="64B4DEAF">
            <w:pPr>
              <w:spacing w:before="0" w:after="0" w:line="240" w:lineRule="auto"/>
              <w:jc w:val="left"/>
            </w:pPr>
            <w:r>
              <w:rPr>
                <w:rFonts w:ascii="Times New Roman" w:hAnsi="Times New Roman" w:eastAsia="Times New Roman"/>
                <w:color w:val="000000"/>
                <w:sz w:val="18"/>
              </w:rPr>
              <w:t>EX2</w:t>
            </w:r>
          </w:p>
        </w:tc>
        <w:tc>
          <w:tcPr>
            <w:tcW w:w="2700" w:type="dxa"/>
            <w:tcBorders>
              <w:top w:val="nil"/>
              <w:left w:val="nil"/>
              <w:bottom w:val="nil"/>
              <w:right w:val="nil"/>
            </w:tcBorders>
            <w:tcMar>
              <w:top w:w="80" w:type="dxa"/>
              <w:left w:w="80" w:type="dxa"/>
              <w:bottom w:w="80" w:type="dxa"/>
              <w:right w:w="80" w:type="dxa"/>
            </w:tcMar>
            <w:vAlign w:val="center"/>
          </w:tcPr>
          <w:p w14:paraId="121BDE64">
            <w:pPr>
              <w:spacing w:before="0" w:after="0" w:line="240" w:lineRule="auto"/>
              <w:jc w:val="left"/>
            </w:pPr>
            <w:r>
              <w:rPr>
                <w:rFonts w:ascii="Times New Roman" w:hAnsi="Times New Roman" w:eastAsia="Times New Roman"/>
                <w:color w:val="000000"/>
                <w:sz w:val="18"/>
              </w:rPr>
              <w:t>The report explained how uncertainty or borderline cases were handled.</w:t>
            </w:r>
          </w:p>
        </w:tc>
        <w:tc>
          <w:tcPr>
            <w:tcW w:w="4500" w:type="dxa"/>
            <w:tcBorders>
              <w:top w:val="nil"/>
              <w:left w:val="nil"/>
              <w:bottom w:val="nil"/>
              <w:right w:val="nil"/>
            </w:tcBorders>
            <w:tcMar>
              <w:top w:w="80" w:type="dxa"/>
              <w:left w:w="80" w:type="dxa"/>
              <w:bottom w:w="80" w:type="dxa"/>
              <w:right w:w="80" w:type="dxa"/>
            </w:tcMar>
            <w:vAlign w:val="center"/>
          </w:tcPr>
          <w:p w14:paraId="58A88CED">
            <w:pPr>
              <w:spacing w:before="0" w:after="0" w:line="240" w:lineRule="auto"/>
              <w:jc w:val="left"/>
            </w:pPr>
            <w:r>
              <w:rPr>
                <w:rFonts w:ascii="Times New Roman" w:hAnsi="Times New Roman" w:eastAsia="Times New Roman"/>
                <w:color w:val="000000"/>
                <w:sz w:val="18"/>
              </w:rPr>
              <w:t>T2</w:t>
            </w:r>
          </w:p>
        </w:tc>
      </w:tr>
      <w:tr w14:paraId="6A67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5D183D28">
            <w:pPr>
              <w:spacing w:before="0" w:after="0" w:line="240" w:lineRule="auto"/>
              <w:jc w:val="left"/>
            </w:pPr>
            <w:r>
              <w:rPr>
                <w:rFonts w:ascii="Times New Roman" w:hAnsi="Times New Roman" w:eastAsia="Times New Roman"/>
                <w:color w:val="000000"/>
                <w:sz w:val="18"/>
              </w:rPr>
              <w:t>Evaluation anxiety</w:t>
            </w:r>
          </w:p>
        </w:tc>
        <w:tc>
          <w:tcPr>
            <w:tcW w:w="4100" w:type="dxa"/>
            <w:tcBorders>
              <w:top w:val="nil"/>
              <w:left w:val="nil"/>
              <w:bottom w:val="nil"/>
              <w:right w:val="nil"/>
            </w:tcBorders>
            <w:tcMar>
              <w:top w:w="80" w:type="dxa"/>
              <w:left w:w="80" w:type="dxa"/>
              <w:bottom w:w="80" w:type="dxa"/>
              <w:right w:w="80" w:type="dxa"/>
            </w:tcMar>
            <w:vAlign w:val="center"/>
          </w:tcPr>
          <w:p w14:paraId="71A56FB2">
            <w:pPr>
              <w:spacing w:before="0" w:after="0" w:line="240" w:lineRule="auto"/>
              <w:jc w:val="left"/>
            </w:pPr>
            <w:r>
              <w:rPr>
                <w:rFonts w:ascii="Times New Roman" w:hAnsi="Times New Roman" w:eastAsia="Times New Roman"/>
                <w:color w:val="000000"/>
                <w:sz w:val="18"/>
              </w:rPr>
              <w:t>EA1</w:t>
            </w:r>
          </w:p>
        </w:tc>
        <w:tc>
          <w:tcPr>
            <w:tcW w:w="2700" w:type="dxa"/>
            <w:tcBorders>
              <w:top w:val="nil"/>
              <w:left w:val="nil"/>
              <w:bottom w:val="nil"/>
              <w:right w:val="nil"/>
            </w:tcBorders>
            <w:tcMar>
              <w:top w:w="80" w:type="dxa"/>
              <w:left w:w="80" w:type="dxa"/>
              <w:bottom w:w="80" w:type="dxa"/>
              <w:right w:w="80" w:type="dxa"/>
            </w:tcMar>
            <w:vAlign w:val="center"/>
          </w:tcPr>
          <w:p w14:paraId="613AC26F">
            <w:pPr>
              <w:spacing w:before="0" w:after="0" w:line="240" w:lineRule="auto"/>
              <w:jc w:val="left"/>
            </w:pPr>
            <w:r>
              <w:rPr>
                <w:rFonts w:ascii="Times New Roman" w:hAnsi="Times New Roman" w:eastAsia="Times New Roman"/>
                <w:color w:val="000000"/>
                <w:sz w:val="18"/>
              </w:rPr>
              <w:t>The feedback made me worry about being judged unfairly.</w:t>
            </w:r>
          </w:p>
        </w:tc>
        <w:tc>
          <w:tcPr>
            <w:tcW w:w="4500" w:type="dxa"/>
            <w:tcBorders>
              <w:top w:val="nil"/>
              <w:left w:val="nil"/>
              <w:bottom w:val="nil"/>
              <w:right w:val="nil"/>
            </w:tcBorders>
            <w:tcMar>
              <w:top w:w="80" w:type="dxa"/>
              <w:left w:w="80" w:type="dxa"/>
              <w:bottom w:w="80" w:type="dxa"/>
              <w:right w:w="80" w:type="dxa"/>
            </w:tcMar>
            <w:vAlign w:val="center"/>
          </w:tcPr>
          <w:p w14:paraId="72B4E95D">
            <w:pPr>
              <w:spacing w:before="0" w:after="0" w:line="240" w:lineRule="auto"/>
              <w:jc w:val="left"/>
            </w:pPr>
            <w:r>
              <w:rPr>
                <w:rFonts w:ascii="Times New Roman" w:hAnsi="Times New Roman" w:eastAsia="Times New Roman"/>
                <w:color w:val="000000"/>
                <w:sz w:val="18"/>
              </w:rPr>
              <w:t>T2</w:t>
            </w:r>
          </w:p>
        </w:tc>
      </w:tr>
      <w:tr w14:paraId="4BF1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single" w:color="000000" w:sz="12" w:space="0"/>
              <w:right w:val="nil"/>
            </w:tcBorders>
            <w:tcMar>
              <w:top w:w="80" w:type="dxa"/>
              <w:left w:w="80" w:type="dxa"/>
              <w:bottom w:w="80" w:type="dxa"/>
              <w:right w:w="80" w:type="dxa"/>
            </w:tcMar>
            <w:vAlign w:val="center"/>
          </w:tcPr>
          <w:p w14:paraId="1DE524EC">
            <w:pPr>
              <w:spacing w:before="0" w:after="0" w:line="240" w:lineRule="auto"/>
              <w:jc w:val="left"/>
            </w:pPr>
            <w:r>
              <w:rPr>
                <w:rFonts w:ascii="Times New Roman" w:hAnsi="Times New Roman" w:eastAsia="Times New Roman"/>
                <w:color w:val="000000"/>
                <w:sz w:val="18"/>
              </w:rPr>
              <w:t>Perceived usefulness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6D7155D7">
            <w:pPr>
              <w:spacing w:before="0" w:after="0" w:line="240" w:lineRule="auto"/>
              <w:jc w:val="left"/>
            </w:pPr>
            <w:r>
              <w:rPr>
                <w:rFonts w:ascii="Times New Roman" w:hAnsi="Times New Roman" w:eastAsia="Times New Roman"/>
                <w:color w:val="000000"/>
                <w:sz w:val="18"/>
              </w:rPr>
              <w:t>PU1</w:t>
            </w:r>
          </w:p>
        </w:tc>
        <w:tc>
          <w:tcPr>
            <w:tcW w:w="2700" w:type="dxa"/>
            <w:tcBorders>
              <w:top w:val="nil"/>
              <w:left w:val="nil"/>
              <w:bottom w:val="single" w:color="000000" w:sz="12" w:space="0"/>
              <w:right w:val="nil"/>
            </w:tcBorders>
            <w:tcMar>
              <w:top w:w="80" w:type="dxa"/>
              <w:left w:w="80" w:type="dxa"/>
              <w:bottom w:w="80" w:type="dxa"/>
              <w:right w:w="80" w:type="dxa"/>
            </w:tcMar>
            <w:vAlign w:val="center"/>
          </w:tcPr>
          <w:p w14:paraId="67758CEC">
            <w:pPr>
              <w:spacing w:before="0" w:after="0" w:line="240" w:lineRule="auto"/>
              <w:jc w:val="left"/>
            </w:pPr>
            <w:r>
              <w:rPr>
                <w:rFonts w:ascii="Times New Roman" w:hAnsi="Times New Roman" w:eastAsia="Times New Roman"/>
                <w:color w:val="000000"/>
                <w:sz w:val="18"/>
              </w:rPr>
              <w:t>The feedback was useful for improving my teaching.</w:t>
            </w:r>
          </w:p>
        </w:tc>
        <w:tc>
          <w:tcPr>
            <w:tcW w:w="4500" w:type="dxa"/>
            <w:tcBorders>
              <w:top w:val="nil"/>
              <w:left w:val="nil"/>
              <w:bottom w:val="single" w:color="000000" w:sz="12" w:space="0"/>
              <w:right w:val="nil"/>
            </w:tcBorders>
            <w:tcMar>
              <w:top w:w="80" w:type="dxa"/>
              <w:left w:w="80" w:type="dxa"/>
              <w:bottom w:w="80" w:type="dxa"/>
              <w:right w:w="80" w:type="dxa"/>
            </w:tcMar>
            <w:vAlign w:val="center"/>
          </w:tcPr>
          <w:p w14:paraId="3DDBBE83">
            <w:pPr>
              <w:spacing w:before="0" w:after="0" w:line="240" w:lineRule="auto"/>
              <w:jc w:val="left"/>
            </w:pPr>
            <w:r>
              <w:rPr>
                <w:rFonts w:ascii="Times New Roman" w:hAnsi="Times New Roman" w:eastAsia="Times New Roman"/>
                <w:color w:val="000000"/>
                <w:sz w:val="18"/>
              </w:rPr>
              <w:t>T2</w:t>
            </w:r>
          </w:p>
        </w:tc>
      </w:tr>
    </w:tbl>
    <w:p w14:paraId="407D37F2">
      <w:pPr>
        <w:spacing w:before="0" w:after="0" w:line="360" w:lineRule="auto"/>
        <w:jc w:val="both"/>
      </w:pPr>
      <w:r>
        <w:rPr>
          <w:rFonts w:ascii="Times New Roman" w:hAnsi="Times New Roman" w:eastAsia="Times New Roman"/>
          <w:i/>
          <w:color w:val="000000"/>
          <w:sz w:val="20"/>
        </w:rPr>
        <w:t>Note. Procedural fairness items are adapted to teaching evaluation from procedural justice research; trust items reflect calibrated rather than blind trust; uptake items follow feedback recipience and feedback literacy perspectives.</w:t>
      </w:r>
    </w:p>
    <w:p w14:paraId="16074F8F">
      <w:pPr>
        <w:pStyle w:val="3"/>
        <w:spacing w:before="0" w:after="0" w:line="360" w:lineRule="auto"/>
        <w:jc w:val="both"/>
      </w:pPr>
      <w:r>
        <w:rPr>
          <w:rFonts w:ascii="Times New Roman" w:hAnsi="Times New Roman" w:eastAsia="Times New Roman"/>
          <w:b/>
          <w:color w:val="000000"/>
          <w:sz w:val="32"/>
        </w:rPr>
        <w:t>Supplement C. Intervention Report Templates</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3623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6C924692">
            <w:pPr>
              <w:spacing w:before="0" w:after="0" w:line="240" w:lineRule="auto"/>
              <w:jc w:val="left"/>
            </w:pPr>
            <w:r>
              <w:rPr>
                <w:rFonts w:ascii="Times New Roman" w:hAnsi="Times New Roman" w:eastAsia="Times New Roman"/>
                <w:b/>
                <w:color w:val="000000"/>
                <w:sz w:val="18"/>
              </w:rPr>
              <w:t>Condition</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6A262196">
            <w:pPr>
              <w:spacing w:before="0" w:after="0" w:line="240" w:lineRule="auto"/>
              <w:jc w:val="left"/>
            </w:pPr>
            <w:r>
              <w:rPr>
                <w:rFonts w:ascii="Times New Roman" w:hAnsi="Times New Roman" w:eastAsia="Times New Roman"/>
                <w:b/>
                <w:color w:val="000000"/>
                <w:sz w:val="18"/>
              </w:rPr>
              <w:t>Report modules</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675D8A43">
            <w:pPr>
              <w:spacing w:before="0" w:after="0" w:line="240" w:lineRule="auto"/>
              <w:jc w:val="left"/>
            </w:pPr>
            <w:r>
              <w:rPr>
                <w:rFonts w:ascii="Times New Roman" w:hAnsi="Times New Roman" w:eastAsia="Times New Roman"/>
                <w:b/>
                <w:color w:val="000000"/>
                <w:sz w:val="18"/>
              </w:rPr>
              <w:t>Information intentionally withheld or shown</w:t>
            </w:r>
          </w:p>
        </w:tc>
      </w:tr>
      <w:tr w14:paraId="4A84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5A13CB84">
            <w:pPr>
              <w:spacing w:before="0" w:after="0" w:line="240" w:lineRule="auto"/>
              <w:jc w:val="left"/>
            </w:pPr>
            <w:r>
              <w:rPr>
                <w:rFonts w:ascii="Times New Roman" w:hAnsi="Times New Roman" w:eastAsia="Times New Roman"/>
                <w:color w:val="000000"/>
                <w:sz w:val="18"/>
              </w:rPr>
              <w:t>Traditional feedback</w:t>
            </w:r>
          </w:p>
        </w:tc>
        <w:tc>
          <w:tcPr>
            <w:tcW w:w="6700" w:type="dxa"/>
            <w:tcBorders>
              <w:top w:val="nil"/>
              <w:left w:val="nil"/>
              <w:bottom w:val="nil"/>
              <w:right w:val="nil"/>
            </w:tcBorders>
            <w:tcMar>
              <w:top w:w="80" w:type="dxa"/>
              <w:left w:w="80" w:type="dxa"/>
              <w:bottom w:w="80" w:type="dxa"/>
              <w:right w:w="80" w:type="dxa"/>
            </w:tcMar>
            <w:vAlign w:val="center"/>
          </w:tcPr>
          <w:p w14:paraId="2E4FD858">
            <w:pPr>
              <w:spacing w:before="0" w:after="0" w:line="240" w:lineRule="auto"/>
              <w:jc w:val="left"/>
            </w:pPr>
            <w:r>
              <w:rPr>
                <w:rFonts w:ascii="Times New Roman" w:hAnsi="Times New Roman" w:eastAsia="Times New Roman"/>
                <w:color w:val="000000"/>
                <w:sz w:val="18"/>
              </w:rPr>
              <w:t>Student evaluation scores; selected student comments; generic teaching-development advice</w:t>
            </w:r>
          </w:p>
        </w:tc>
        <w:tc>
          <w:tcPr>
            <w:tcW w:w="4100" w:type="dxa"/>
            <w:tcBorders>
              <w:top w:val="nil"/>
              <w:left w:val="nil"/>
              <w:bottom w:val="nil"/>
              <w:right w:val="nil"/>
            </w:tcBorders>
            <w:tcMar>
              <w:top w:w="80" w:type="dxa"/>
              <w:left w:w="80" w:type="dxa"/>
              <w:bottom w:w="80" w:type="dxa"/>
              <w:right w:w="80" w:type="dxa"/>
            </w:tcMar>
            <w:vAlign w:val="center"/>
          </w:tcPr>
          <w:p w14:paraId="64885600">
            <w:pPr>
              <w:spacing w:before="0" w:after="0" w:line="240" w:lineRule="auto"/>
              <w:jc w:val="left"/>
            </w:pPr>
            <w:r>
              <w:rPr>
                <w:rFonts w:ascii="Times New Roman" w:hAnsi="Times New Roman" w:eastAsia="Times New Roman"/>
                <w:color w:val="000000"/>
                <w:sz w:val="18"/>
              </w:rPr>
              <w:t>No AI synthesis, no weighting logic, no fuzzy membership profile, and no uncertainty explanation</w:t>
            </w:r>
          </w:p>
        </w:tc>
      </w:tr>
      <w:tr w14:paraId="1CDC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D52EB29">
            <w:pPr>
              <w:spacing w:before="0" w:after="0" w:line="240" w:lineRule="auto"/>
              <w:jc w:val="left"/>
            </w:pPr>
            <w:r>
              <w:rPr>
                <w:rFonts w:ascii="Times New Roman" w:hAnsi="Times New Roman" w:eastAsia="Times New Roman"/>
                <w:color w:val="000000"/>
                <w:sz w:val="18"/>
              </w:rPr>
              <w:t>Black-box AI feedback</w:t>
            </w:r>
          </w:p>
        </w:tc>
        <w:tc>
          <w:tcPr>
            <w:tcW w:w="6700" w:type="dxa"/>
            <w:tcBorders>
              <w:top w:val="nil"/>
              <w:left w:val="nil"/>
              <w:bottom w:val="nil"/>
              <w:right w:val="nil"/>
            </w:tcBorders>
            <w:tcMar>
              <w:top w:w="80" w:type="dxa"/>
              <w:left w:w="80" w:type="dxa"/>
              <w:bottom w:w="80" w:type="dxa"/>
              <w:right w:w="80" w:type="dxa"/>
            </w:tcMar>
            <w:vAlign w:val="center"/>
          </w:tcPr>
          <w:p w14:paraId="30A6A01E">
            <w:pPr>
              <w:spacing w:before="0" w:after="0" w:line="240" w:lineRule="auto"/>
              <w:jc w:val="left"/>
            </w:pPr>
            <w:r>
              <w:rPr>
                <w:rFonts w:ascii="Times New Roman" w:hAnsi="Times New Roman" w:eastAsia="Times New Roman"/>
                <w:color w:val="000000"/>
                <w:sz w:val="18"/>
              </w:rPr>
              <w:t>AI-generated strengths, concerns, and recommendations in natural language</w:t>
            </w:r>
          </w:p>
        </w:tc>
        <w:tc>
          <w:tcPr>
            <w:tcW w:w="4100" w:type="dxa"/>
            <w:tcBorders>
              <w:top w:val="nil"/>
              <w:left w:val="nil"/>
              <w:bottom w:val="nil"/>
              <w:right w:val="nil"/>
            </w:tcBorders>
            <w:tcMar>
              <w:top w:w="80" w:type="dxa"/>
              <w:left w:w="80" w:type="dxa"/>
              <w:bottom w:w="80" w:type="dxa"/>
              <w:right w:w="80" w:type="dxa"/>
            </w:tcMar>
            <w:vAlign w:val="center"/>
          </w:tcPr>
          <w:p w14:paraId="500159E3">
            <w:pPr>
              <w:spacing w:before="0" w:after="0" w:line="240" w:lineRule="auto"/>
              <w:jc w:val="left"/>
            </w:pPr>
            <w:r>
              <w:rPr>
                <w:rFonts w:ascii="Times New Roman" w:hAnsi="Times New Roman" w:eastAsia="Times New Roman"/>
                <w:color w:val="000000"/>
                <w:sz w:val="18"/>
              </w:rPr>
              <w:t>No evidence weights, no membership degrees, no confidence/boundary explanation, and no traceable recommendation rationale</w:t>
            </w:r>
          </w:p>
        </w:tc>
      </w:tr>
      <w:tr w14:paraId="525D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5EB1DEC4">
            <w:pPr>
              <w:spacing w:before="0" w:after="0" w:line="240" w:lineRule="auto"/>
              <w:jc w:val="left"/>
            </w:pPr>
            <w:r>
              <w:rPr>
                <w:rFonts w:ascii="Times New Roman" w:hAnsi="Times New Roman" w:eastAsia="Times New Roman"/>
                <w:color w:val="000000"/>
                <w:sz w:val="18"/>
              </w:rPr>
              <w:t>Explainable fuzzy AI feedback</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30E14876">
            <w:pPr>
              <w:spacing w:before="0" w:after="0" w:line="240" w:lineRule="auto"/>
              <w:jc w:val="left"/>
            </w:pPr>
            <w:r>
              <w:rPr>
                <w:rFonts w:ascii="Times New Roman" w:hAnsi="Times New Roman" w:eastAsia="Times New Roman"/>
                <w:color w:val="000000"/>
                <w:sz w:val="18"/>
              </w:rPr>
              <w:t>Evidence inventory; indicator weights; fuzzy membership profile; uncertainty/boundary notes; prioritized developmental actions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02FC0ADB">
            <w:pPr>
              <w:spacing w:before="0" w:after="0" w:line="240" w:lineRule="auto"/>
              <w:jc w:val="left"/>
            </w:pPr>
            <w:r>
              <w:rPr>
                <w:rFonts w:ascii="Times New Roman" w:hAnsi="Times New Roman" w:eastAsia="Times New Roman"/>
                <w:color w:val="000000"/>
                <w:sz w:val="18"/>
              </w:rPr>
              <w:t>Shows the basis of the report without exposing identifiable student comments or raw institutional records</w:t>
            </w:r>
          </w:p>
        </w:tc>
      </w:tr>
    </w:tbl>
    <w:p w14:paraId="5F46D0E5">
      <w:pPr>
        <w:spacing w:before="0" w:after="0" w:line="360" w:lineRule="auto"/>
        <w:jc w:val="both"/>
      </w:pPr>
      <w:r>
        <w:rPr>
          <w:rFonts w:ascii="Times New Roman" w:hAnsi="Times New Roman" w:eastAsia="Times New Roman"/>
          <w:color w:val="000000"/>
          <w:sz w:val="24"/>
        </w:rPr>
        <w:t>The explainable fuzzy AI report uses developmental language. It avoids punitive labels and frames recommendations as action priorities rather than administrative commands. A typical panel sequence is: evidence inventory, indicator-level profile, category-level profile, uncertainty note, and improvement actions.</w:t>
      </w:r>
    </w:p>
    <w:p w14:paraId="317D1747">
      <w:pPr>
        <w:pStyle w:val="3"/>
        <w:spacing w:before="0" w:after="0" w:line="360" w:lineRule="auto"/>
        <w:jc w:val="both"/>
      </w:pPr>
      <w:r>
        <w:rPr>
          <w:rFonts w:ascii="Times New Roman" w:hAnsi="Times New Roman" w:eastAsia="Times New Roman"/>
          <w:b/>
          <w:color w:val="000000"/>
          <w:sz w:val="32"/>
        </w:rPr>
        <w:t>Supplement D. Data Dictionary and Merge Structure</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0"/>
        <w:gridCol w:w="4100"/>
        <w:gridCol w:w="2700"/>
        <w:gridCol w:w="4500"/>
      </w:tblGrid>
      <w:tr w14:paraId="1022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2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70F57FAF">
            <w:pPr>
              <w:spacing w:before="0" w:after="0" w:line="240" w:lineRule="auto"/>
              <w:jc w:val="left"/>
            </w:pPr>
            <w:r>
              <w:rPr>
                <w:rFonts w:ascii="Times New Roman" w:hAnsi="Times New Roman" w:eastAsia="Times New Roman"/>
                <w:b/>
                <w:color w:val="000000"/>
                <w:sz w:val="18"/>
              </w:rPr>
              <w:t>Dataset</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61A5DDEA">
            <w:pPr>
              <w:spacing w:before="0" w:after="0" w:line="240" w:lineRule="auto"/>
              <w:jc w:val="left"/>
            </w:pPr>
            <w:r>
              <w:rPr>
                <w:rFonts w:ascii="Times New Roman" w:hAnsi="Times New Roman" w:eastAsia="Times New Roman"/>
                <w:b/>
                <w:color w:val="000000"/>
                <w:sz w:val="18"/>
              </w:rPr>
              <w:t>Unit</w:t>
            </w:r>
          </w:p>
        </w:tc>
        <w:tc>
          <w:tcPr>
            <w:tcW w:w="2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842B760">
            <w:pPr>
              <w:spacing w:before="0" w:after="0" w:line="240" w:lineRule="auto"/>
              <w:jc w:val="left"/>
            </w:pPr>
            <w:r>
              <w:rPr>
                <w:rFonts w:ascii="Times New Roman" w:hAnsi="Times New Roman" w:eastAsia="Times New Roman"/>
                <w:b/>
                <w:color w:val="000000"/>
                <w:sz w:val="18"/>
              </w:rPr>
              <w:t>Key variables</w:t>
            </w:r>
          </w:p>
        </w:tc>
        <w:tc>
          <w:tcPr>
            <w:tcW w:w="4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415E4A3">
            <w:pPr>
              <w:spacing w:before="0" w:after="0" w:line="240" w:lineRule="auto"/>
              <w:jc w:val="left"/>
            </w:pPr>
            <w:r>
              <w:rPr>
                <w:rFonts w:ascii="Times New Roman" w:hAnsi="Times New Roman" w:eastAsia="Times New Roman"/>
                <w:b/>
                <w:color w:val="000000"/>
                <w:sz w:val="18"/>
              </w:rPr>
              <w:t>Use in manuscript</w:t>
            </w:r>
          </w:p>
        </w:tc>
      </w:tr>
      <w:tr w14:paraId="58E7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0B210A8F">
            <w:pPr>
              <w:jc w:val="center"/>
            </w:pPr>
            <w:r>
              <w:rPr>
                <w:rFonts w:ascii="Times New Roman" w:hAnsi="Times New Roman" w:eastAsia="Times New Roman"/>
                <w:b w:val="0"/>
                <w:sz w:val="18"/>
              </w:rPr>
              <w:t>Restricted T1 teacher survey record</w:t>
            </w:r>
          </w:p>
        </w:tc>
        <w:tc>
          <w:tcPr>
            <w:tcW w:w="4100" w:type="dxa"/>
            <w:tcBorders>
              <w:top w:val="nil"/>
              <w:left w:val="nil"/>
              <w:bottom w:val="nil"/>
              <w:right w:val="nil"/>
            </w:tcBorders>
            <w:tcMar>
              <w:top w:w="80" w:type="dxa"/>
              <w:left w:w="80" w:type="dxa"/>
              <w:bottom w:w="80" w:type="dxa"/>
              <w:right w:w="80" w:type="dxa"/>
            </w:tcMar>
            <w:vAlign w:val="center"/>
          </w:tcPr>
          <w:p w14:paraId="7A765DBE">
            <w:pPr>
              <w:spacing w:before="0" w:after="0" w:line="240" w:lineRule="auto"/>
              <w:jc w:val="left"/>
            </w:pPr>
            <w:r>
              <w:rPr>
                <w:rFonts w:ascii="Times New Roman" w:hAnsi="Times New Roman" w:eastAsia="Times New Roman"/>
                <w:color w:val="000000"/>
                <w:sz w:val="18"/>
              </w:rPr>
              <w:t>Teacher-course</w:t>
            </w:r>
          </w:p>
        </w:tc>
        <w:tc>
          <w:tcPr>
            <w:tcW w:w="2700" w:type="dxa"/>
            <w:tcBorders>
              <w:top w:val="nil"/>
              <w:left w:val="nil"/>
              <w:bottom w:val="nil"/>
              <w:right w:val="nil"/>
            </w:tcBorders>
            <w:tcMar>
              <w:top w:w="80" w:type="dxa"/>
              <w:left w:w="80" w:type="dxa"/>
              <w:bottom w:w="80" w:type="dxa"/>
              <w:right w:w="80" w:type="dxa"/>
            </w:tcMar>
            <w:vAlign w:val="center"/>
          </w:tcPr>
          <w:p w14:paraId="47551214">
            <w:pPr>
              <w:spacing w:before="0" w:after="0" w:line="240" w:lineRule="auto"/>
              <w:jc w:val="left"/>
            </w:pPr>
            <w:r>
              <w:rPr>
                <w:rFonts w:ascii="Times New Roman" w:hAnsi="Times New Roman" w:eastAsia="Times New Roman"/>
                <w:color w:val="000000"/>
                <w:sz w:val="18"/>
              </w:rPr>
              <w:t>teacher_id_hash, university_id_hash, course_id_hash, AI literacy, evaluation pressure, baseline trust, prior evaluation experience</w:t>
            </w:r>
          </w:p>
        </w:tc>
        <w:tc>
          <w:tcPr>
            <w:tcW w:w="4500" w:type="dxa"/>
            <w:tcBorders>
              <w:top w:val="nil"/>
              <w:left w:val="nil"/>
              <w:bottom w:val="nil"/>
              <w:right w:val="nil"/>
            </w:tcBorders>
            <w:tcMar>
              <w:top w:w="80" w:type="dxa"/>
              <w:left w:w="80" w:type="dxa"/>
              <w:bottom w:w="80" w:type="dxa"/>
              <w:right w:w="80" w:type="dxa"/>
            </w:tcMar>
            <w:vAlign w:val="center"/>
          </w:tcPr>
          <w:p w14:paraId="3E2B744F">
            <w:pPr>
              <w:spacing w:before="0" w:after="0" w:line="240" w:lineRule="auto"/>
              <w:jc w:val="left"/>
            </w:pPr>
            <w:r>
              <w:rPr>
                <w:rFonts w:ascii="Times New Roman" w:hAnsi="Times New Roman" w:eastAsia="Times New Roman"/>
                <w:color w:val="000000"/>
                <w:sz w:val="18"/>
              </w:rPr>
              <w:t>Baseline covariates, moderators, and randomization checks</w:t>
            </w:r>
          </w:p>
        </w:tc>
      </w:tr>
      <w:tr w14:paraId="792F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66EC40C1">
            <w:pPr>
              <w:jc w:val="center"/>
            </w:pPr>
            <w:r>
              <w:rPr>
                <w:rFonts w:ascii="Times New Roman" w:hAnsi="Times New Roman" w:eastAsia="Times New Roman"/>
                <w:b w:val="0"/>
                <w:sz w:val="18"/>
              </w:rPr>
              <w:t>Restricted assignment record</w:t>
            </w:r>
          </w:p>
        </w:tc>
        <w:tc>
          <w:tcPr>
            <w:tcW w:w="4100" w:type="dxa"/>
            <w:tcBorders>
              <w:top w:val="nil"/>
              <w:left w:val="nil"/>
              <w:bottom w:val="nil"/>
              <w:right w:val="nil"/>
            </w:tcBorders>
            <w:tcMar>
              <w:top w:w="80" w:type="dxa"/>
              <w:left w:w="80" w:type="dxa"/>
              <w:bottom w:w="80" w:type="dxa"/>
              <w:right w:w="80" w:type="dxa"/>
            </w:tcMar>
            <w:vAlign w:val="center"/>
          </w:tcPr>
          <w:p w14:paraId="0C53C47E">
            <w:pPr>
              <w:spacing w:before="0" w:after="0" w:line="240" w:lineRule="auto"/>
              <w:jc w:val="left"/>
            </w:pPr>
            <w:r>
              <w:rPr>
                <w:rFonts w:ascii="Times New Roman" w:hAnsi="Times New Roman" w:eastAsia="Times New Roman"/>
                <w:color w:val="000000"/>
                <w:sz w:val="18"/>
              </w:rPr>
              <w:t>Teacher-course</w:t>
            </w:r>
          </w:p>
        </w:tc>
        <w:tc>
          <w:tcPr>
            <w:tcW w:w="2700" w:type="dxa"/>
            <w:tcBorders>
              <w:top w:val="nil"/>
              <w:left w:val="nil"/>
              <w:bottom w:val="nil"/>
              <w:right w:val="nil"/>
            </w:tcBorders>
            <w:tcMar>
              <w:top w:w="80" w:type="dxa"/>
              <w:left w:w="80" w:type="dxa"/>
              <w:bottom w:w="80" w:type="dxa"/>
              <w:right w:w="80" w:type="dxa"/>
            </w:tcMar>
            <w:vAlign w:val="center"/>
          </w:tcPr>
          <w:p w14:paraId="20DF226A">
            <w:pPr>
              <w:spacing w:before="0" w:after="0" w:line="240" w:lineRule="auto"/>
              <w:jc w:val="left"/>
            </w:pPr>
            <w:r>
              <w:rPr>
                <w:rFonts w:ascii="Times New Roman" w:hAnsi="Times New Roman" w:eastAsia="Times New Roman"/>
                <w:color w:val="000000"/>
                <w:sz w:val="18"/>
              </w:rPr>
              <w:t>teacher_id_hash, block_id, random_seed, assigned_condition, delivery_timestamp, deviations</w:t>
            </w:r>
          </w:p>
        </w:tc>
        <w:tc>
          <w:tcPr>
            <w:tcW w:w="4500" w:type="dxa"/>
            <w:tcBorders>
              <w:top w:val="nil"/>
              <w:left w:val="nil"/>
              <w:bottom w:val="nil"/>
              <w:right w:val="nil"/>
            </w:tcBorders>
            <w:tcMar>
              <w:top w:w="80" w:type="dxa"/>
              <w:left w:w="80" w:type="dxa"/>
              <w:bottom w:w="80" w:type="dxa"/>
              <w:right w:w="80" w:type="dxa"/>
            </w:tcMar>
            <w:vAlign w:val="center"/>
          </w:tcPr>
          <w:p w14:paraId="3381C476">
            <w:pPr>
              <w:spacing w:before="0" w:after="0" w:line="240" w:lineRule="auto"/>
              <w:jc w:val="left"/>
            </w:pPr>
            <w:r>
              <w:rPr>
                <w:rFonts w:ascii="Times New Roman" w:hAnsi="Times New Roman" w:eastAsia="Times New Roman"/>
                <w:color w:val="000000"/>
                <w:sz w:val="18"/>
              </w:rPr>
              <w:t>Treatment assignment and intention-to-treat analyses</w:t>
            </w:r>
          </w:p>
        </w:tc>
      </w:tr>
      <w:tr w14:paraId="5E13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44921674">
            <w:pPr>
              <w:jc w:val="center"/>
            </w:pPr>
            <w:r>
              <w:rPr>
                <w:rFonts w:ascii="Times New Roman" w:hAnsi="Times New Roman" w:eastAsia="Times New Roman"/>
                <w:b w:val="0"/>
                <w:sz w:val="18"/>
              </w:rPr>
              <w:t>Restricted T2 teacher survey record</w:t>
            </w:r>
          </w:p>
        </w:tc>
        <w:tc>
          <w:tcPr>
            <w:tcW w:w="4100" w:type="dxa"/>
            <w:tcBorders>
              <w:top w:val="nil"/>
              <w:left w:val="nil"/>
              <w:bottom w:val="nil"/>
              <w:right w:val="nil"/>
            </w:tcBorders>
            <w:tcMar>
              <w:top w:w="80" w:type="dxa"/>
              <w:left w:w="80" w:type="dxa"/>
              <w:bottom w:w="80" w:type="dxa"/>
              <w:right w:w="80" w:type="dxa"/>
            </w:tcMar>
            <w:vAlign w:val="center"/>
          </w:tcPr>
          <w:p w14:paraId="1493071F">
            <w:pPr>
              <w:spacing w:before="0" w:after="0" w:line="240" w:lineRule="auto"/>
              <w:jc w:val="left"/>
            </w:pPr>
            <w:r>
              <w:rPr>
                <w:rFonts w:ascii="Times New Roman" w:hAnsi="Times New Roman" w:eastAsia="Times New Roman"/>
                <w:color w:val="000000"/>
                <w:sz w:val="18"/>
              </w:rPr>
              <w:t>Teacher-course</w:t>
            </w:r>
          </w:p>
        </w:tc>
        <w:tc>
          <w:tcPr>
            <w:tcW w:w="2700" w:type="dxa"/>
            <w:tcBorders>
              <w:top w:val="nil"/>
              <w:left w:val="nil"/>
              <w:bottom w:val="nil"/>
              <w:right w:val="nil"/>
            </w:tcBorders>
            <w:tcMar>
              <w:top w:w="80" w:type="dxa"/>
              <w:left w:w="80" w:type="dxa"/>
              <w:bottom w:w="80" w:type="dxa"/>
              <w:right w:w="80" w:type="dxa"/>
            </w:tcMar>
            <w:vAlign w:val="center"/>
          </w:tcPr>
          <w:p w14:paraId="0DF8722C">
            <w:pPr>
              <w:spacing w:before="0" w:after="0" w:line="240" w:lineRule="auto"/>
              <w:jc w:val="left"/>
            </w:pPr>
            <w:r>
              <w:rPr>
                <w:rFonts w:ascii="Times New Roman" w:hAnsi="Times New Roman" w:eastAsia="Times New Roman"/>
                <w:color w:val="000000"/>
                <w:sz w:val="18"/>
              </w:rPr>
              <w:t>procedural fairness, calibrated trust, evaluation anxiety, perceived usefulness, manipulation check</w:t>
            </w:r>
          </w:p>
        </w:tc>
        <w:tc>
          <w:tcPr>
            <w:tcW w:w="4500" w:type="dxa"/>
            <w:tcBorders>
              <w:top w:val="nil"/>
              <w:left w:val="nil"/>
              <w:bottom w:val="nil"/>
              <w:right w:val="nil"/>
            </w:tcBorders>
            <w:tcMar>
              <w:top w:w="80" w:type="dxa"/>
              <w:left w:w="80" w:type="dxa"/>
              <w:bottom w:w="80" w:type="dxa"/>
              <w:right w:w="80" w:type="dxa"/>
            </w:tcMar>
            <w:vAlign w:val="center"/>
          </w:tcPr>
          <w:p w14:paraId="43EB1C90">
            <w:pPr>
              <w:spacing w:before="0" w:after="0" w:line="240" w:lineRule="auto"/>
              <w:jc w:val="left"/>
            </w:pPr>
            <w:r>
              <w:rPr>
                <w:rFonts w:ascii="Times New Roman" w:hAnsi="Times New Roman" w:eastAsia="Times New Roman"/>
                <w:color w:val="000000"/>
                <w:sz w:val="18"/>
              </w:rPr>
              <w:t>Post-feedback psychological outcomes and mediator sequence</w:t>
            </w:r>
          </w:p>
        </w:tc>
      </w:tr>
      <w:tr w14:paraId="57AF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162C07A3">
            <w:pPr>
              <w:jc w:val="center"/>
            </w:pPr>
            <w:r>
              <w:rPr>
                <w:rFonts w:ascii="Times New Roman" w:hAnsi="Times New Roman" w:eastAsia="Times New Roman"/>
                <w:b w:val="0"/>
                <w:sz w:val="18"/>
              </w:rPr>
              <w:t>Restricted T3 teacher outcome record</w:t>
            </w:r>
          </w:p>
        </w:tc>
        <w:tc>
          <w:tcPr>
            <w:tcW w:w="4100" w:type="dxa"/>
            <w:tcBorders>
              <w:top w:val="nil"/>
              <w:left w:val="nil"/>
              <w:bottom w:val="nil"/>
              <w:right w:val="nil"/>
            </w:tcBorders>
            <w:tcMar>
              <w:top w:w="80" w:type="dxa"/>
              <w:left w:w="80" w:type="dxa"/>
              <w:bottom w:w="80" w:type="dxa"/>
              <w:right w:w="80" w:type="dxa"/>
            </w:tcMar>
            <w:vAlign w:val="center"/>
          </w:tcPr>
          <w:p w14:paraId="73302437">
            <w:pPr>
              <w:spacing w:before="0" w:after="0" w:line="240" w:lineRule="auto"/>
              <w:jc w:val="left"/>
            </w:pPr>
            <w:r>
              <w:rPr>
                <w:rFonts w:ascii="Times New Roman" w:hAnsi="Times New Roman" w:eastAsia="Times New Roman"/>
                <w:color w:val="000000"/>
                <w:sz w:val="18"/>
              </w:rPr>
              <w:t>Teacher-course</w:t>
            </w:r>
          </w:p>
        </w:tc>
        <w:tc>
          <w:tcPr>
            <w:tcW w:w="2700" w:type="dxa"/>
            <w:tcBorders>
              <w:top w:val="nil"/>
              <w:left w:val="nil"/>
              <w:bottom w:val="nil"/>
              <w:right w:val="nil"/>
            </w:tcBorders>
            <w:tcMar>
              <w:top w:w="80" w:type="dxa"/>
              <w:left w:w="80" w:type="dxa"/>
              <w:bottom w:w="80" w:type="dxa"/>
              <w:right w:w="80" w:type="dxa"/>
            </w:tcMar>
            <w:vAlign w:val="center"/>
          </w:tcPr>
          <w:p w14:paraId="64E4C5AD">
            <w:pPr>
              <w:spacing w:before="0" w:after="0" w:line="240" w:lineRule="auto"/>
              <w:jc w:val="left"/>
            </w:pPr>
            <w:r>
              <w:rPr>
                <w:rFonts w:ascii="Times New Roman" w:hAnsi="Times New Roman" w:eastAsia="Times New Roman"/>
                <w:color w:val="000000"/>
                <w:sz w:val="18"/>
              </w:rPr>
              <w:t>feedback uptake, self-reported improvement, implementation barriers</w:t>
            </w:r>
          </w:p>
        </w:tc>
        <w:tc>
          <w:tcPr>
            <w:tcW w:w="4500" w:type="dxa"/>
            <w:tcBorders>
              <w:top w:val="nil"/>
              <w:left w:val="nil"/>
              <w:bottom w:val="nil"/>
              <w:right w:val="nil"/>
            </w:tcBorders>
            <w:tcMar>
              <w:top w:w="80" w:type="dxa"/>
              <w:left w:w="80" w:type="dxa"/>
              <w:bottom w:w="80" w:type="dxa"/>
              <w:right w:w="80" w:type="dxa"/>
            </w:tcMar>
            <w:vAlign w:val="center"/>
          </w:tcPr>
          <w:p w14:paraId="16490748">
            <w:pPr>
              <w:spacing w:before="0" w:after="0" w:line="240" w:lineRule="auto"/>
              <w:jc w:val="left"/>
            </w:pPr>
            <w:r>
              <w:rPr>
                <w:rFonts w:ascii="Times New Roman" w:hAnsi="Times New Roman" w:eastAsia="Times New Roman"/>
                <w:color w:val="000000"/>
                <w:sz w:val="18"/>
              </w:rPr>
              <w:t>Behavioral uptake and end-of-semester outcomes</w:t>
            </w:r>
          </w:p>
        </w:tc>
      </w:tr>
      <w:tr w14:paraId="23B2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325438C2">
            <w:pPr>
              <w:jc w:val="center"/>
            </w:pPr>
            <w:r>
              <w:rPr>
                <w:rFonts w:ascii="Times New Roman" w:hAnsi="Times New Roman" w:eastAsia="Times New Roman"/>
                <w:b w:val="0"/>
                <w:sz w:val="18"/>
              </w:rPr>
              <w:t>Restricted course-level student-evaluation aggregate</w:t>
            </w:r>
          </w:p>
        </w:tc>
        <w:tc>
          <w:tcPr>
            <w:tcW w:w="4100" w:type="dxa"/>
            <w:tcBorders>
              <w:top w:val="nil"/>
              <w:left w:val="nil"/>
              <w:bottom w:val="nil"/>
              <w:right w:val="nil"/>
            </w:tcBorders>
            <w:tcMar>
              <w:top w:w="80" w:type="dxa"/>
              <w:left w:w="80" w:type="dxa"/>
              <w:bottom w:w="80" w:type="dxa"/>
              <w:right w:w="80" w:type="dxa"/>
            </w:tcMar>
            <w:vAlign w:val="center"/>
          </w:tcPr>
          <w:p w14:paraId="60FC594D">
            <w:pPr>
              <w:spacing w:before="0" w:after="0" w:line="240" w:lineRule="auto"/>
              <w:jc w:val="left"/>
            </w:pPr>
            <w:r>
              <w:rPr>
                <w:rFonts w:ascii="Times New Roman" w:hAnsi="Times New Roman" w:eastAsia="Times New Roman"/>
                <w:color w:val="000000"/>
                <w:sz w:val="18"/>
              </w:rPr>
              <w:t>Course</w:t>
            </w:r>
          </w:p>
        </w:tc>
        <w:tc>
          <w:tcPr>
            <w:tcW w:w="2700" w:type="dxa"/>
            <w:tcBorders>
              <w:top w:val="nil"/>
              <w:left w:val="nil"/>
              <w:bottom w:val="nil"/>
              <w:right w:val="nil"/>
            </w:tcBorders>
            <w:tcMar>
              <w:top w:w="80" w:type="dxa"/>
              <w:left w:w="80" w:type="dxa"/>
              <w:bottom w:w="80" w:type="dxa"/>
              <w:right w:w="80" w:type="dxa"/>
            </w:tcMar>
            <w:vAlign w:val="center"/>
          </w:tcPr>
          <w:p w14:paraId="5261B9BA">
            <w:pPr>
              <w:spacing w:before="0" w:after="0" w:line="240" w:lineRule="auto"/>
              <w:jc w:val="left"/>
            </w:pPr>
            <w:r>
              <w:rPr>
                <w:rFonts w:ascii="Times New Roman" w:hAnsi="Times New Roman" w:eastAsia="Times New Roman"/>
                <w:color w:val="000000"/>
                <w:sz w:val="18"/>
              </w:rPr>
              <w:t>course_id_hash, pre_feedback_score, follow_up_score, response_count, discipline_standardized_score</w:t>
            </w:r>
          </w:p>
        </w:tc>
        <w:tc>
          <w:tcPr>
            <w:tcW w:w="4500" w:type="dxa"/>
            <w:tcBorders>
              <w:top w:val="nil"/>
              <w:left w:val="nil"/>
              <w:bottom w:val="nil"/>
              <w:right w:val="nil"/>
            </w:tcBorders>
            <w:tcMar>
              <w:top w:w="80" w:type="dxa"/>
              <w:left w:w="80" w:type="dxa"/>
              <w:bottom w:w="80" w:type="dxa"/>
              <w:right w:w="80" w:type="dxa"/>
            </w:tcMar>
            <w:vAlign w:val="center"/>
          </w:tcPr>
          <w:p w14:paraId="4D18F729">
            <w:pPr>
              <w:spacing w:before="0" w:after="0" w:line="240" w:lineRule="auto"/>
              <w:jc w:val="left"/>
            </w:pPr>
            <w:r>
              <w:rPr>
                <w:rFonts w:ascii="Times New Roman" w:hAnsi="Times New Roman" w:eastAsia="Times New Roman"/>
                <w:color w:val="000000"/>
                <w:sz w:val="18"/>
              </w:rPr>
              <w:t>Objective/administrative outcome indicator</w:t>
            </w:r>
          </w:p>
        </w:tc>
      </w:tr>
      <w:tr w14:paraId="7E02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nil"/>
              <w:right w:val="nil"/>
            </w:tcBorders>
            <w:tcMar>
              <w:top w:w="80" w:type="dxa"/>
              <w:left w:w="80" w:type="dxa"/>
              <w:bottom w:w="80" w:type="dxa"/>
              <w:right w:w="80" w:type="dxa"/>
            </w:tcMar>
            <w:vAlign w:val="center"/>
          </w:tcPr>
          <w:p w14:paraId="6625A117">
            <w:pPr>
              <w:jc w:val="center"/>
            </w:pPr>
            <w:r>
              <w:rPr>
                <w:rFonts w:ascii="Times New Roman" w:hAnsi="Times New Roman" w:eastAsia="Times New Roman"/>
                <w:b w:val="0"/>
                <w:sz w:val="18"/>
              </w:rPr>
              <w:t>Restricted peer/supervisor rating aggregate</w:t>
            </w:r>
          </w:p>
        </w:tc>
        <w:tc>
          <w:tcPr>
            <w:tcW w:w="4100" w:type="dxa"/>
            <w:tcBorders>
              <w:top w:val="nil"/>
              <w:left w:val="nil"/>
              <w:bottom w:val="nil"/>
              <w:right w:val="nil"/>
            </w:tcBorders>
            <w:tcMar>
              <w:top w:w="80" w:type="dxa"/>
              <w:left w:w="80" w:type="dxa"/>
              <w:bottom w:w="80" w:type="dxa"/>
              <w:right w:w="80" w:type="dxa"/>
            </w:tcMar>
            <w:vAlign w:val="center"/>
          </w:tcPr>
          <w:p w14:paraId="7E14AF65">
            <w:pPr>
              <w:spacing w:before="0" w:after="0" w:line="240" w:lineRule="auto"/>
              <w:jc w:val="left"/>
            </w:pPr>
            <w:r>
              <w:rPr>
                <w:rFonts w:ascii="Times New Roman" w:hAnsi="Times New Roman" w:eastAsia="Times New Roman"/>
                <w:color w:val="000000"/>
                <w:sz w:val="18"/>
              </w:rPr>
              <w:t>Course</w:t>
            </w:r>
          </w:p>
        </w:tc>
        <w:tc>
          <w:tcPr>
            <w:tcW w:w="2700" w:type="dxa"/>
            <w:tcBorders>
              <w:top w:val="nil"/>
              <w:left w:val="nil"/>
              <w:bottom w:val="nil"/>
              <w:right w:val="nil"/>
            </w:tcBorders>
            <w:tcMar>
              <w:top w:w="80" w:type="dxa"/>
              <w:left w:w="80" w:type="dxa"/>
              <w:bottom w:w="80" w:type="dxa"/>
              <w:right w:w="80" w:type="dxa"/>
            </w:tcMar>
            <w:vAlign w:val="center"/>
          </w:tcPr>
          <w:p w14:paraId="3DD8CDD8">
            <w:pPr>
              <w:spacing w:before="0" w:after="0" w:line="240" w:lineRule="auto"/>
              <w:jc w:val="left"/>
            </w:pPr>
            <w:r>
              <w:rPr>
                <w:rFonts w:ascii="Times New Roman" w:hAnsi="Times New Roman" w:eastAsia="Times New Roman"/>
                <w:color w:val="000000"/>
                <w:sz w:val="18"/>
              </w:rPr>
              <w:t>course_id_hash, clarity, interaction, assessment alignment, student support</w:t>
            </w:r>
          </w:p>
        </w:tc>
        <w:tc>
          <w:tcPr>
            <w:tcW w:w="4500" w:type="dxa"/>
            <w:tcBorders>
              <w:top w:val="nil"/>
              <w:left w:val="nil"/>
              <w:bottom w:val="nil"/>
              <w:right w:val="nil"/>
            </w:tcBorders>
            <w:tcMar>
              <w:top w:w="80" w:type="dxa"/>
              <w:left w:w="80" w:type="dxa"/>
              <w:bottom w:w="80" w:type="dxa"/>
              <w:right w:w="80" w:type="dxa"/>
            </w:tcMar>
            <w:vAlign w:val="center"/>
          </w:tcPr>
          <w:p w14:paraId="7F4952C1">
            <w:pPr>
              <w:spacing w:before="0" w:after="0" w:line="240" w:lineRule="auto"/>
              <w:jc w:val="left"/>
            </w:pPr>
            <w:r>
              <w:rPr>
                <w:rFonts w:ascii="Times New Roman" w:hAnsi="Times New Roman" w:eastAsia="Times New Roman"/>
                <w:color w:val="000000"/>
                <w:sz w:val="18"/>
              </w:rPr>
              <w:t>External instructional-improvement indicator</w:t>
            </w:r>
          </w:p>
        </w:tc>
      </w:tr>
      <w:tr w14:paraId="49FF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500" w:type="dxa"/>
            <w:tcBorders>
              <w:top w:val="nil"/>
              <w:left w:val="nil"/>
              <w:bottom w:val="single" w:color="000000" w:sz="12" w:space="0"/>
              <w:right w:val="nil"/>
            </w:tcBorders>
            <w:tcMar>
              <w:top w:w="80" w:type="dxa"/>
              <w:left w:w="80" w:type="dxa"/>
              <w:bottom w:w="80" w:type="dxa"/>
              <w:right w:w="80" w:type="dxa"/>
            </w:tcMar>
            <w:vAlign w:val="center"/>
          </w:tcPr>
          <w:p w14:paraId="6ED17CF9">
            <w:pPr>
              <w:jc w:val="center"/>
            </w:pPr>
            <w:r>
              <w:rPr>
                <w:rFonts w:ascii="Times New Roman" w:hAnsi="Times New Roman" w:eastAsia="Times New Roman"/>
                <w:b w:val="0"/>
                <w:sz w:val="18"/>
              </w:rPr>
              <w:t>Restricted course-document coding record</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3A537886">
            <w:pPr>
              <w:spacing w:before="0" w:after="0" w:line="240" w:lineRule="auto"/>
              <w:jc w:val="left"/>
            </w:pPr>
            <w:r>
              <w:rPr>
                <w:rFonts w:ascii="Times New Roman" w:hAnsi="Times New Roman" w:eastAsia="Times New Roman"/>
                <w:color w:val="000000"/>
                <w:sz w:val="18"/>
              </w:rPr>
              <w:t>Course</w:t>
            </w:r>
          </w:p>
        </w:tc>
        <w:tc>
          <w:tcPr>
            <w:tcW w:w="2700" w:type="dxa"/>
            <w:tcBorders>
              <w:top w:val="nil"/>
              <w:left w:val="nil"/>
              <w:bottom w:val="single" w:color="000000" w:sz="12" w:space="0"/>
              <w:right w:val="nil"/>
            </w:tcBorders>
            <w:tcMar>
              <w:top w:w="80" w:type="dxa"/>
              <w:left w:w="80" w:type="dxa"/>
              <w:bottom w:w="80" w:type="dxa"/>
              <w:right w:w="80" w:type="dxa"/>
            </w:tcMar>
            <w:vAlign w:val="center"/>
          </w:tcPr>
          <w:p w14:paraId="4F07D176">
            <w:pPr>
              <w:spacing w:before="0" w:after="0" w:line="240" w:lineRule="auto"/>
              <w:jc w:val="left"/>
            </w:pPr>
            <w:r>
              <w:rPr>
                <w:rFonts w:ascii="Times New Roman" w:hAnsi="Times New Roman" w:eastAsia="Times New Roman"/>
                <w:color w:val="000000"/>
                <w:sz w:val="18"/>
              </w:rPr>
              <w:t>syllabus_revision, activity_revision, assessment_revision, resource_update, coder_id</w:t>
            </w:r>
          </w:p>
        </w:tc>
        <w:tc>
          <w:tcPr>
            <w:tcW w:w="4500" w:type="dxa"/>
            <w:tcBorders>
              <w:top w:val="nil"/>
              <w:left w:val="nil"/>
              <w:bottom w:val="single" w:color="000000" w:sz="12" w:space="0"/>
              <w:right w:val="nil"/>
            </w:tcBorders>
            <w:tcMar>
              <w:top w:w="80" w:type="dxa"/>
              <w:left w:w="80" w:type="dxa"/>
              <w:bottom w:w="80" w:type="dxa"/>
              <w:right w:w="80" w:type="dxa"/>
            </w:tcMar>
            <w:vAlign w:val="center"/>
          </w:tcPr>
          <w:p w14:paraId="0547BC4A">
            <w:pPr>
              <w:spacing w:before="0" w:after="0" w:line="240" w:lineRule="auto"/>
              <w:jc w:val="left"/>
            </w:pPr>
            <w:r>
              <w:rPr>
                <w:rFonts w:ascii="Times New Roman" w:hAnsi="Times New Roman" w:eastAsia="Times New Roman"/>
                <w:color w:val="000000"/>
                <w:sz w:val="18"/>
              </w:rPr>
              <w:t>Documented behavioral change indicator</w:t>
            </w:r>
          </w:p>
        </w:tc>
      </w:tr>
    </w:tbl>
    <w:p w14:paraId="50584A05">
      <w:pPr>
        <w:spacing w:before="0" w:after="0" w:line="360" w:lineRule="auto"/>
        <w:jc w:val="both"/>
      </w:pPr>
      <w:r>
        <w:rPr>
          <w:rFonts w:ascii="Times New Roman" w:hAnsi="Times New Roman" w:eastAsia="Times New Roman"/>
          <w:i/>
          <w:color w:val="000000"/>
          <w:sz w:val="20"/>
        </w:rPr>
        <w:t>Note. Hash keys remain stable across waves while preventing re-identification outside the authorized research team.</w:t>
      </w:r>
    </w:p>
    <w:p w14:paraId="1EDEFD1E">
      <w:pPr>
        <w:pStyle w:val="3"/>
        <w:spacing w:before="0" w:after="0" w:line="360" w:lineRule="auto"/>
        <w:jc w:val="both"/>
      </w:pPr>
      <w:r>
        <w:rPr>
          <w:rFonts w:ascii="Times New Roman" w:hAnsi="Times New Roman" w:eastAsia="Times New Roman"/>
          <w:b/>
          <w:color w:val="000000"/>
          <w:sz w:val="32"/>
        </w:rPr>
        <w:t>Supplement E. Fuzzy-Membership Calculation Protocol</w:t>
      </w:r>
    </w:p>
    <w:p w14:paraId="51DD014C">
      <w:pPr>
        <w:spacing w:before="0" w:after="0" w:line="360" w:lineRule="auto"/>
        <w:jc w:val="both"/>
      </w:pPr>
      <w:r>
        <w:rPr>
          <w:rFonts w:ascii="Times New Roman" w:hAnsi="Times New Roman" w:eastAsia="Times New Roman"/>
          <w:color w:val="000000"/>
          <w:sz w:val="24"/>
        </w:rPr>
        <w:t>The fuzzy profile represents teaching quality as graded membership in performance categories rather than as a single crisp label. The manuscript keeps formulas minimal; the reproducibility archive retains the executable syntax used to standardize indicators, estimate membership degrees, and produce the explanation panels.</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7128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0EA8ED2D">
            <w:pPr>
              <w:spacing w:before="0" w:after="0" w:line="240" w:lineRule="auto"/>
              <w:jc w:val="left"/>
            </w:pPr>
            <w:r>
              <w:rPr>
                <w:rFonts w:ascii="Times New Roman" w:hAnsi="Times New Roman" w:eastAsia="Times New Roman"/>
                <w:b/>
                <w:color w:val="000000"/>
                <w:sz w:val="18"/>
              </w:rPr>
              <w:t>Step</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4E4756E0">
            <w:pPr>
              <w:spacing w:before="0" w:after="0" w:line="240" w:lineRule="auto"/>
              <w:jc w:val="left"/>
            </w:pPr>
            <w:r>
              <w:rPr>
                <w:rFonts w:ascii="Times New Roman" w:hAnsi="Times New Roman" w:eastAsia="Times New Roman"/>
                <w:b/>
                <w:color w:val="000000"/>
                <w:sz w:val="18"/>
              </w:rPr>
              <w:t>Procedure</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15699476">
            <w:pPr>
              <w:spacing w:before="0" w:after="0" w:line="240" w:lineRule="auto"/>
              <w:jc w:val="left"/>
            </w:pPr>
            <w:r>
              <w:rPr>
                <w:rFonts w:ascii="Times New Roman" w:hAnsi="Times New Roman" w:eastAsia="Times New Roman"/>
                <w:b/>
                <w:color w:val="000000"/>
                <w:sz w:val="18"/>
              </w:rPr>
              <w:t>Output</w:t>
            </w:r>
          </w:p>
        </w:tc>
      </w:tr>
      <w:tr w14:paraId="5666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588EBC56">
            <w:pPr>
              <w:spacing w:before="0" w:after="0" w:line="240" w:lineRule="auto"/>
              <w:jc w:val="left"/>
            </w:pPr>
            <w:r>
              <w:rPr>
                <w:rFonts w:ascii="Times New Roman" w:hAnsi="Times New Roman" w:eastAsia="Times New Roman"/>
                <w:color w:val="000000"/>
                <w:sz w:val="18"/>
              </w:rPr>
              <w:t>Indicator standardization</w:t>
            </w:r>
          </w:p>
        </w:tc>
        <w:tc>
          <w:tcPr>
            <w:tcW w:w="6700" w:type="dxa"/>
            <w:tcBorders>
              <w:top w:val="nil"/>
              <w:left w:val="nil"/>
              <w:bottom w:val="nil"/>
              <w:right w:val="nil"/>
            </w:tcBorders>
            <w:tcMar>
              <w:top w:w="80" w:type="dxa"/>
              <w:left w:w="80" w:type="dxa"/>
              <w:bottom w:w="80" w:type="dxa"/>
              <w:right w:w="80" w:type="dxa"/>
            </w:tcMar>
            <w:vAlign w:val="center"/>
          </w:tcPr>
          <w:p w14:paraId="29F94F11">
            <w:pPr>
              <w:spacing w:before="0" w:after="0" w:line="240" w:lineRule="auto"/>
              <w:jc w:val="left"/>
            </w:pPr>
            <w:r>
              <w:rPr>
                <w:rFonts w:ascii="Times New Roman" w:hAnsi="Times New Roman" w:eastAsia="Times New Roman"/>
                <w:color w:val="000000"/>
                <w:sz w:val="18"/>
              </w:rPr>
              <w:t>Standardize student, peer/supervisor, document, and platform indicators by discipline/course type where appropriate</w:t>
            </w:r>
          </w:p>
        </w:tc>
        <w:tc>
          <w:tcPr>
            <w:tcW w:w="4100" w:type="dxa"/>
            <w:tcBorders>
              <w:top w:val="nil"/>
              <w:left w:val="nil"/>
              <w:bottom w:val="nil"/>
              <w:right w:val="nil"/>
            </w:tcBorders>
            <w:tcMar>
              <w:top w:w="80" w:type="dxa"/>
              <w:left w:w="80" w:type="dxa"/>
              <w:bottom w:w="80" w:type="dxa"/>
              <w:right w:w="80" w:type="dxa"/>
            </w:tcMar>
            <w:vAlign w:val="center"/>
          </w:tcPr>
          <w:p w14:paraId="3F5EE6C5">
            <w:pPr>
              <w:spacing w:before="0" w:after="0" w:line="240" w:lineRule="auto"/>
              <w:jc w:val="left"/>
            </w:pPr>
            <w:r>
              <w:rPr>
                <w:rFonts w:ascii="Times New Roman" w:hAnsi="Times New Roman" w:eastAsia="Times New Roman"/>
                <w:color w:val="000000"/>
                <w:sz w:val="18"/>
              </w:rPr>
              <w:t>z_ij or standardized indicator matrix</w:t>
            </w:r>
          </w:p>
        </w:tc>
      </w:tr>
      <w:tr w14:paraId="46D8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32F71EC">
            <w:pPr>
              <w:spacing w:before="0" w:after="0" w:line="240" w:lineRule="auto"/>
              <w:jc w:val="left"/>
            </w:pPr>
            <w:r>
              <w:rPr>
                <w:rFonts w:ascii="Times New Roman" w:hAnsi="Times New Roman" w:eastAsia="Times New Roman"/>
                <w:color w:val="000000"/>
                <w:sz w:val="18"/>
              </w:rPr>
              <w:t>Membership estimation</w:t>
            </w:r>
          </w:p>
        </w:tc>
        <w:tc>
          <w:tcPr>
            <w:tcW w:w="6700" w:type="dxa"/>
            <w:tcBorders>
              <w:top w:val="nil"/>
              <w:left w:val="nil"/>
              <w:bottom w:val="nil"/>
              <w:right w:val="nil"/>
            </w:tcBorders>
            <w:tcMar>
              <w:top w:w="80" w:type="dxa"/>
              <w:left w:w="80" w:type="dxa"/>
              <w:bottom w:w="80" w:type="dxa"/>
              <w:right w:w="80" w:type="dxa"/>
            </w:tcMar>
            <w:vAlign w:val="center"/>
          </w:tcPr>
          <w:p w14:paraId="1B78E4F2">
            <w:pPr>
              <w:spacing w:before="0" w:after="0" w:line="240" w:lineRule="auto"/>
              <w:jc w:val="left"/>
            </w:pPr>
            <w:r>
              <w:rPr>
                <w:rFonts w:ascii="Times New Roman" w:hAnsi="Times New Roman" w:eastAsia="Times New Roman"/>
                <w:color w:val="000000"/>
                <w:sz w:val="18"/>
              </w:rPr>
              <w:t>Estimate membership degree for each teacher-course i, indicator j, and profile k using the specified logistic membership function</w:t>
            </w:r>
          </w:p>
        </w:tc>
        <w:tc>
          <w:tcPr>
            <w:tcW w:w="4100" w:type="dxa"/>
            <w:tcBorders>
              <w:top w:val="nil"/>
              <w:left w:val="nil"/>
              <w:bottom w:val="nil"/>
              <w:right w:val="nil"/>
            </w:tcBorders>
            <w:tcMar>
              <w:top w:w="80" w:type="dxa"/>
              <w:left w:w="80" w:type="dxa"/>
              <w:bottom w:w="80" w:type="dxa"/>
              <w:right w:w="80" w:type="dxa"/>
            </w:tcMar>
            <w:vAlign w:val="center"/>
          </w:tcPr>
          <w:p w14:paraId="67AB7F8B">
            <w:pPr>
              <w:spacing w:before="0" w:after="0" w:line="240" w:lineRule="auto"/>
              <w:jc w:val="left"/>
            </w:pPr>
            <w:r>
              <w:rPr>
                <w:rFonts w:ascii="Times New Roman" w:hAnsi="Times New Roman" w:eastAsia="Times New Roman"/>
                <w:color w:val="000000"/>
                <w:sz w:val="18"/>
              </w:rPr>
              <w:t>mu_ijk in [0,1]</w:t>
            </w:r>
          </w:p>
        </w:tc>
      </w:tr>
      <w:tr w14:paraId="56C7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7CF858D6">
            <w:pPr>
              <w:spacing w:before="0" w:after="0" w:line="240" w:lineRule="auto"/>
              <w:jc w:val="left"/>
            </w:pPr>
            <w:r>
              <w:rPr>
                <w:rFonts w:ascii="Times New Roman" w:hAnsi="Times New Roman" w:eastAsia="Times New Roman"/>
                <w:color w:val="000000"/>
                <w:sz w:val="18"/>
              </w:rPr>
              <w:t>Profile aggregation</w:t>
            </w:r>
          </w:p>
        </w:tc>
        <w:tc>
          <w:tcPr>
            <w:tcW w:w="6700" w:type="dxa"/>
            <w:tcBorders>
              <w:top w:val="nil"/>
              <w:left w:val="nil"/>
              <w:bottom w:val="nil"/>
              <w:right w:val="nil"/>
            </w:tcBorders>
            <w:tcMar>
              <w:top w:w="80" w:type="dxa"/>
              <w:left w:w="80" w:type="dxa"/>
              <w:bottom w:w="80" w:type="dxa"/>
              <w:right w:w="80" w:type="dxa"/>
            </w:tcMar>
            <w:vAlign w:val="center"/>
          </w:tcPr>
          <w:p w14:paraId="37907887">
            <w:pPr>
              <w:spacing w:before="0" w:after="0" w:line="240" w:lineRule="auto"/>
              <w:jc w:val="left"/>
            </w:pPr>
            <w:r>
              <w:rPr>
                <w:rFonts w:ascii="Times New Roman" w:hAnsi="Times New Roman" w:eastAsia="Times New Roman"/>
                <w:color w:val="000000"/>
                <w:sz w:val="18"/>
              </w:rPr>
              <w:t>Combine indicator memberships using pre-specified weights that were not tuned on post-treatment outcomes</w:t>
            </w:r>
          </w:p>
        </w:tc>
        <w:tc>
          <w:tcPr>
            <w:tcW w:w="4100" w:type="dxa"/>
            <w:tcBorders>
              <w:top w:val="nil"/>
              <w:left w:val="nil"/>
              <w:bottom w:val="nil"/>
              <w:right w:val="nil"/>
            </w:tcBorders>
            <w:tcMar>
              <w:top w:w="80" w:type="dxa"/>
              <w:left w:w="80" w:type="dxa"/>
              <w:bottom w:w="80" w:type="dxa"/>
              <w:right w:w="80" w:type="dxa"/>
            </w:tcMar>
            <w:vAlign w:val="center"/>
          </w:tcPr>
          <w:p w14:paraId="274FE771">
            <w:pPr>
              <w:spacing w:before="0" w:after="0" w:line="240" w:lineRule="auto"/>
              <w:jc w:val="left"/>
            </w:pPr>
            <w:r>
              <w:rPr>
                <w:rFonts w:ascii="Times New Roman" w:hAnsi="Times New Roman" w:eastAsia="Times New Roman"/>
                <w:color w:val="000000"/>
                <w:sz w:val="18"/>
              </w:rPr>
              <w:t>F_ik profile membership score</w:t>
            </w:r>
          </w:p>
        </w:tc>
      </w:tr>
      <w:tr w14:paraId="428A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38B9EB27">
            <w:pPr>
              <w:spacing w:before="0" w:after="0" w:line="240" w:lineRule="auto"/>
              <w:jc w:val="left"/>
            </w:pPr>
            <w:r>
              <w:rPr>
                <w:rFonts w:ascii="Times New Roman" w:hAnsi="Times New Roman" w:eastAsia="Times New Roman"/>
                <w:color w:val="000000"/>
                <w:sz w:val="18"/>
              </w:rPr>
              <w:t>Explanation index</w:t>
            </w:r>
          </w:p>
        </w:tc>
        <w:tc>
          <w:tcPr>
            <w:tcW w:w="6700" w:type="dxa"/>
            <w:tcBorders>
              <w:top w:val="nil"/>
              <w:left w:val="nil"/>
              <w:bottom w:val="nil"/>
              <w:right w:val="nil"/>
            </w:tcBorders>
            <w:tcMar>
              <w:top w:w="80" w:type="dxa"/>
              <w:left w:w="80" w:type="dxa"/>
              <w:bottom w:w="80" w:type="dxa"/>
              <w:right w:w="80" w:type="dxa"/>
            </w:tcMar>
            <w:vAlign w:val="center"/>
          </w:tcPr>
          <w:p w14:paraId="7DFF7502">
            <w:pPr>
              <w:spacing w:before="0" w:after="0" w:line="240" w:lineRule="auto"/>
              <w:jc w:val="left"/>
            </w:pPr>
            <w:r>
              <w:rPr>
                <w:rFonts w:ascii="Times New Roman" w:hAnsi="Times New Roman" w:eastAsia="Times New Roman"/>
                <w:color w:val="000000"/>
                <w:sz w:val="18"/>
              </w:rPr>
              <w:t>Combine evidence-source visibility, weight visibility, uncertainty explanation, and actionability</w:t>
            </w:r>
          </w:p>
        </w:tc>
        <w:tc>
          <w:tcPr>
            <w:tcW w:w="4100" w:type="dxa"/>
            <w:tcBorders>
              <w:top w:val="nil"/>
              <w:left w:val="nil"/>
              <w:bottom w:val="nil"/>
              <w:right w:val="nil"/>
            </w:tcBorders>
            <w:tcMar>
              <w:top w:w="80" w:type="dxa"/>
              <w:left w:w="80" w:type="dxa"/>
              <w:bottom w:w="80" w:type="dxa"/>
              <w:right w:w="80" w:type="dxa"/>
            </w:tcMar>
            <w:vAlign w:val="center"/>
          </w:tcPr>
          <w:p w14:paraId="282C6753">
            <w:pPr>
              <w:spacing w:before="0" w:after="0" w:line="240" w:lineRule="auto"/>
              <w:jc w:val="left"/>
            </w:pPr>
            <w:r>
              <w:rPr>
                <w:rFonts w:ascii="Times New Roman" w:hAnsi="Times New Roman" w:eastAsia="Times New Roman"/>
                <w:color w:val="000000"/>
                <w:sz w:val="18"/>
              </w:rPr>
              <w:t>EFAI manipulation-check index</w:t>
            </w:r>
          </w:p>
        </w:tc>
      </w:tr>
      <w:tr w14:paraId="0179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74B101FE">
            <w:pPr>
              <w:spacing w:before="0" w:after="0" w:line="240" w:lineRule="auto"/>
              <w:jc w:val="left"/>
            </w:pPr>
            <w:r>
              <w:rPr>
                <w:rFonts w:ascii="Times New Roman" w:hAnsi="Times New Roman" w:eastAsia="Times New Roman"/>
                <w:color w:val="000000"/>
                <w:sz w:val="18"/>
              </w:rPr>
              <w:t>Robustness alternatives</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23310C5E">
            <w:pPr>
              <w:spacing w:before="0" w:after="0" w:line="240" w:lineRule="auto"/>
              <w:jc w:val="left"/>
            </w:pPr>
            <w:r>
              <w:rPr>
                <w:rFonts w:ascii="Times New Roman" w:hAnsi="Times New Roman" w:eastAsia="Times New Roman"/>
                <w:color w:val="000000"/>
                <w:sz w:val="18"/>
              </w:rPr>
              <w:t>Re-estimate with triangular/trapezoidal membership and equal-weight alternatives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12227FCA">
            <w:pPr>
              <w:spacing w:before="0" w:after="0" w:line="240" w:lineRule="auto"/>
              <w:jc w:val="left"/>
            </w:pPr>
            <w:r>
              <w:rPr>
                <w:rFonts w:ascii="Times New Roman" w:hAnsi="Times New Roman" w:eastAsia="Times New Roman"/>
                <w:color w:val="000000"/>
                <w:sz w:val="18"/>
              </w:rPr>
              <w:t>Sensitivity estimates reported in robustness table</w:t>
            </w:r>
          </w:p>
        </w:tc>
      </w:tr>
    </w:tbl>
    <w:p w14:paraId="66233376">
      <w:pPr>
        <w:spacing w:before="0" w:after="0" w:line="360" w:lineRule="auto"/>
        <w:jc w:val="both"/>
      </w:pPr>
      <w:r>
        <w:rPr>
          <w:rFonts w:ascii="Times New Roman" w:hAnsi="Times New Roman" w:eastAsia="Times New Roman"/>
          <w:color w:val="000000"/>
          <w:sz w:val="24"/>
        </w:rPr>
        <w:t>Core formula retained for audit: mu_ijk = 1 / (1 + exp[-alpha_jk (x_ij - tau_jk)]). The archive records alpha_jk, tau_jk, indicator weights, standardization rules, and any deviations from the pre-specified procedure.</w:t>
      </w:r>
    </w:p>
    <w:p w14:paraId="7806D455">
      <w:pPr>
        <w:pStyle w:val="3"/>
        <w:spacing w:before="0" w:after="0" w:line="360" w:lineRule="auto"/>
        <w:jc w:val="both"/>
      </w:pPr>
      <w:r>
        <w:rPr>
          <w:rFonts w:ascii="Times New Roman" w:hAnsi="Times New Roman" w:eastAsia="Times New Roman"/>
          <w:b/>
          <w:color w:val="000000"/>
          <w:sz w:val="32"/>
        </w:rPr>
        <w:t>Supplement F. Analysis Output Register</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0BDD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3536CCC2">
            <w:pPr>
              <w:spacing w:before="0" w:after="0" w:line="240" w:lineRule="auto"/>
              <w:jc w:val="left"/>
            </w:pPr>
            <w:r>
              <w:rPr>
                <w:rFonts w:ascii="Times New Roman" w:hAnsi="Times New Roman" w:eastAsia="Times New Roman"/>
                <w:b/>
                <w:color w:val="000000"/>
                <w:sz w:val="18"/>
              </w:rPr>
              <w:t>Manuscript claim/table</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5BD30C88">
            <w:pPr>
              <w:spacing w:before="0" w:after="0" w:line="240" w:lineRule="auto"/>
              <w:jc w:val="left"/>
            </w:pPr>
            <w:r>
              <w:rPr>
                <w:rFonts w:ascii="Times New Roman" w:hAnsi="Times New Roman" w:eastAsia="Times New Roman"/>
                <w:b/>
                <w:color w:val="000000"/>
                <w:sz w:val="18"/>
              </w:rPr>
              <w:t>Model/output needed</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1104A8DB">
            <w:pPr>
              <w:spacing w:before="0" w:after="0" w:line="240" w:lineRule="auto"/>
              <w:jc w:val="left"/>
            </w:pPr>
            <w:r>
              <w:rPr>
                <w:rFonts w:ascii="Times New Roman" w:hAnsi="Times New Roman" w:eastAsia="Times New Roman"/>
                <w:b/>
                <w:color w:val="000000"/>
                <w:sz w:val="18"/>
              </w:rPr>
              <w:t>Minimum audit content</w:t>
            </w:r>
          </w:p>
        </w:tc>
      </w:tr>
      <w:tr w14:paraId="22AE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0BC888CF">
            <w:pPr>
              <w:spacing w:before="0" w:after="0" w:line="240" w:lineRule="auto"/>
              <w:jc w:val="left"/>
            </w:pPr>
            <w:r>
              <w:rPr>
                <w:rFonts w:ascii="Times New Roman" w:hAnsi="Times New Roman" w:eastAsia="Times New Roman"/>
                <w:color w:val="000000"/>
                <w:sz w:val="18"/>
              </w:rPr>
              <w:t>Sample flow and attrition</w:t>
            </w:r>
          </w:p>
        </w:tc>
        <w:tc>
          <w:tcPr>
            <w:tcW w:w="6700" w:type="dxa"/>
            <w:tcBorders>
              <w:top w:val="nil"/>
              <w:left w:val="nil"/>
              <w:bottom w:val="nil"/>
              <w:right w:val="nil"/>
            </w:tcBorders>
            <w:tcMar>
              <w:top w:w="80" w:type="dxa"/>
              <w:left w:w="80" w:type="dxa"/>
              <w:bottom w:w="80" w:type="dxa"/>
              <w:right w:w="80" w:type="dxa"/>
            </w:tcMar>
            <w:vAlign w:val="center"/>
          </w:tcPr>
          <w:p w14:paraId="5FFC0DB7">
            <w:pPr>
              <w:jc w:val="center"/>
            </w:pPr>
            <w:r>
              <w:rPr>
                <w:rFonts w:ascii="Times New Roman" w:hAnsi="Times New Roman" w:eastAsia="Times New Roman"/>
                <w:b w:val="0"/>
                <w:sz w:val="18"/>
              </w:rPr>
              <w:t>Restricted attrition and sample-flow output</w:t>
            </w:r>
          </w:p>
        </w:tc>
        <w:tc>
          <w:tcPr>
            <w:tcW w:w="4100" w:type="dxa"/>
            <w:tcBorders>
              <w:top w:val="nil"/>
              <w:left w:val="nil"/>
              <w:bottom w:val="nil"/>
              <w:right w:val="nil"/>
            </w:tcBorders>
            <w:tcMar>
              <w:top w:w="80" w:type="dxa"/>
              <w:left w:w="80" w:type="dxa"/>
              <w:bottom w:w="80" w:type="dxa"/>
              <w:right w:w="80" w:type="dxa"/>
            </w:tcMar>
            <w:vAlign w:val="center"/>
          </w:tcPr>
          <w:p w14:paraId="56DADD98">
            <w:pPr>
              <w:spacing w:before="0" w:after="0" w:line="240" w:lineRule="auto"/>
              <w:jc w:val="left"/>
            </w:pPr>
            <w:r>
              <w:rPr>
                <w:rFonts w:ascii="Times New Roman" w:hAnsi="Times New Roman" w:eastAsia="Times New Roman"/>
                <w:color w:val="000000"/>
                <w:sz w:val="18"/>
              </w:rPr>
              <w:t>Invited, consented, randomized, T2 retained, T3 retained, matched analytic sample</w:t>
            </w:r>
          </w:p>
        </w:tc>
      </w:tr>
      <w:tr w14:paraId="4FB7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3F3FAEE4">
            <w:pPr>
              <w:spacing w:before="0" w:after="0" w:line="240" w:lineRule="auto"/>
              <w:jc w:val="left"/>
            </w:pPr>
            <w:r>
              <w:rPr>
                <w:rFonts w:ascii="Times New Roman" w:hAnsi="Times New Roman" w:eastAsia="Times New Roman"/>
                <w:color w:val="000000"/>
                <w:sz w:val="18"/>
              </w:rPr>
              <w:t>Randomization balance</w:t>
            </w:r>
          </w:p>
        </w:tc>
        <w:tc>
          <w:tcPr>
            <w:tcW w:w="6700" w:type="dxa"/>
            <w:tcBorders>
              <w:top w:val="nil"/>
              <w:left w:val="nil"/>
              <w:bottom w:val="nil"/>
              <w:right w:val="nil"/>
            </w:tcBorders>
            <w:tcMar>
              <w:top w:w="80" w:type="dxa"/>
              <w:left w:w="80" w:type="dxa"/>
              <w:bottom w:w="80" w:type="dxa"/>
              <w:right w:w="80" w:type="dxa"/>
            </w:tcMar>
            <w:vAlign w:val="center"/>
          </w:tcPr>
          <w:p w14:paraId="06009DFA">
            <w:pPr>
              <w:jc w:val="center"/>
            </w:pPr>
            <w:r>
              <w:rPr>
                <w:rFonts w:ascii="Times New Roman" w:hAnsi="Times New Roman" w:eastAsia="Times New Roman"/>
                <w:b w:val="0"/>
                <w:sz w:val="18"/>
              </w:rPr>
              <w:t>Restricted randomization-balance output</w:t>
            </w:r>
          </w:p>
        </w:tc>
        <w:tc>
          <w:tcPr>
            <w:tcW w:w="4100" w:type="dxa"/>
            <w:tcBorders>
              <w:top w:val="nil"/>
              <w:left w:val="nil"/>
              <w:bottom w:val="nil"/>
              <w:right w:val="nil"/>
            </w:tcBorders>
            <w:tcMar>
              <w:top w:w="80" w:type="dxa"/>
              <w:left w:w="80" w:type="dxa"/>
              <w:bottom w:w="80" w:type="dxa"/>
              <w:right w:w="80" w:type="dxa"/>
            </w:tcMar>
            <w:vAlign w:val="center"/>
          </w:tcPr>
          <w:p w14:paraId="19ACD5D9">
            <w:pPr>
              <w:spacing w:before="0" w:after="0" w:line="240" w:lineRule="auto"/>
              <w:jc w:val="left"/>
            </w:pPr>
            <w:r>
              <w:rPr>
                <w:rFonts w:ascii="Times New Roman" w:hAnsi="Times New Roman" w:eastAsia="Times New Roman"/>
                <w:color w:val="000000"/>
                <w:sz w:val="18"/>
              </w:rPr>
              <w:t>Baseline group means, p values, standardized mean differences</w:t>
            </w:r>
          </w:p>
        </w:tc>
      </w:tr>
      <w:tr w14:paraId="1C6B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02BA0889">
            <w:pPr>
              <w:spacing w:before="0" w:after="0" w:line="240" w:lineRule="auto"/>
              <w:jc w:val="left"/>
            </w:pPr>
            <w:r>
              <w:rPr>
                <w:rFonts w:ascii="Times New Roman" w:hAnsi="Times New Roman" w:eastAsia="Times New Roman"/>
                <w:color w:val="000000"/>
                <w:sz w:val="18"/>
              </w:rPr>
              <w:t>Measurement model</w:t>
            </w:r>
          </w:p>
        </w:tc>
        <w:tc>
          <w:tcPr>
            <w:tcW w:w="6700" w:type="dxa"/>
            <w:tcBorders>
              <w:top w:val="nil"/>
              <w:left w:val="nil"/>
              <w:bottom w:val="nil"/>
              <w:right w:val="nil"/>
            </w:tcBorders>
            <w:tcMar>
              <w:top w:w="80" w:type="dxa"/>
              <w:left w:w="80" w:type="dxa"/>
              <w:bottom w:w="80" w:type="dxa"/>
              <w:right w:w="80" w:type="dxa"/>
            </w:tcMar>
            <w:vAlign w:val="center"/>
          </w:tcPr>
          <w:p w14:paraId="1AEE9479">
            <w:pPr>
              <w:spacing w:before="0" w:after="0" w:line="240" w:lineRule="auto"/>
              <w:jc w:val="left"/>
            </w:pPr>
            <w:r>
              <w:rPr>
                <w:rFonts w:ascii="Times New Roman" w:hAnsi="Times New Roman" w:eastAsia="Times New Roman"/>
                <w:color w:val="000000"/>
                <w:sz w:val="18"/>
              </w:rPr>
              <w:t>restricted CFA output</w:t>
            </w:r>
          </w:p>
        </w:tc>
        <w:tc>
          <w:tcPr>
            <w:tcW w:w="4100" w:type="dxa"/>
            <w:tcBorders>
              <w:top w:val="nil"/>
              <w:left w:val="nil"/>
              <w:bottom w:val="nil"/>
              <w:right w:val="nil"/>
            </w:tcBorders>
            <w:tcMar>
              <w:top w:w="80" w:type="dxa"/>
              <w:left w:w="80" w:type="dxa"/>
              <w:bottom w:w="80" w:type="dxa"/>
              <w:right w:w="80" w:type="dxa"/>
            </w:tcMar>
            <w:vAlign w:val="center"/>
          </w:tcPr>
          <w:p w14:paraId="58EAB4B8">
            <w:pPr>
              <w:spacing w:before="0" w:after="0" w:line="240" w:lineRule="auto"/>
              <w:jc w:val="left"/>
            </w:pPr>
            <w:r>
              <w:rPr>
                <w:rFonts w:ascii="Times New Roman" w:hAnsi="Times New Roman" w:eastAsia="Times New Roman"/>
                <w:color w:val="000000"/>
                <w:sz w:val="18"/>
              </w:rPr>
              <w:t>Estimator, fit indices, standardized loadings, reliability, AVE, HTMT/discriminant validity</w:t>
            </w:r>
          </w:p>
        </w:tc>
      </w:tr>
      <w:tr w14:paraId="6E20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02F1EBAE">
            <w:pPr>
              <w:spacing w:before="0" w:after="0" w:line="240" w:lineRule="auto"/>
              <w:jc w:val="left"/>
            </w:pPr>
            <w:r>
              <w:rPr>
                <w:rFonts w:ascii="Times New Roman" w:hAnsi="Times New Roman" w:eastAsia="Times New Roman"/>
                <w:color w:val="000000"/>
                <w:sz w:val="18"/>
              </w:rPr>
              <w:t>Treatment effects</w:t>
            </w:r>
          </w:p>
        </w:tc>
        <w:tc>
          <w:tcPr>
            <w:tcW w:w="6700" w:type="dxa"/>
            <w:tcBorders>
              <w:top w:val="nil"/>
              <w:left w:val="nil"/>
              <w:bottom w:val="nil"/>
              <w:right w:val="nil"/>
            </w:tcBorders>
            <w:tcMar>
              <w:top w:w="80" w:type="dxa"/>
              <w:left w:w="80" w:type="dxa"/>
              <w:bottom w:w="80" w:type="dxa"/>
              <w:right w:w="80" w:type="dxa"/>
            </w:tcMar>
            <w:vAlign w:val="center"/>
          </w:tcPr>
          <w:p w14:paraId="1D1DFA4A">
            <w:pPr>
              <w:jc w:val="center"/>
            </w:pPr>
            <w:r>
              <w:rPr>
                <w:rFonts w:ascii="Times New Roman" w:hAnsi="Times New Roman" w:eastAsia="Times New Roman"/>
                <w:b w:val="0"/>
                <w:sz w:val="18"/>
              </w:rPr>
              <w:t>Restricted treatment-effect output</w:t>
            </w:r>
          </w:p>
        </w:tc>
        <w:tc>
          <w:tcPr>
            <w:tcW w:w="4100" w:type="dxa"/>
            <w:tcBorders>
              <w:top w:val="nil"/>
              <w:left w:val="nil"/>
              <w:bottom w:val="nil"/>
              <w:right w:val="nil"/>
            </w:tcBorders>
            <w:tcMar>
              <w:top w:w="80" w:type="dxa"/>
              <w:left w:w="80" w:type="dxa"/>
              <w:bottom w:w="80" w:type="dxa"/>
              <w:right w:w="80" w:type="dxa"/>
            </w:tcMar>
            <w:vAlign w:val="center"/>
          </w:tcPr>
          <w:p w14:paraId="6F0F7DB6">
            <w:pPr>
              <w:spacing w:before="0" w:after="0" w:line="240" w:lineRule="auto"/>
              <w:jc w:val="left"/>
            </w:pPr>
            <w:r>
              <w:rPr>
                <w:rFonts w:ascii="Times New Roman" w:hAnsi="Times New Roman" w:eastAsia="Times New Roman"/>
                <w:color w:val="000000"/>
                <w:sz w:val="18"/>
              </w:rPr>
              <w:t>Treatment coefficients, standard errors, confidence intervals, covariates, clustering decision</w:t>
            </w:r>
          </w:p>
        </w:tc>
      </w:tr>
      <w:tr w14:paraId="6074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5A492592">
            <w:pPr>
              <w:spacing w:before="0" w:after="0" w:line="240" w:lineRule="auto"/>
              <w:jc w:val="left"/>
            </w:pPr>
            <w:r>
              <w:rPr>
                <w:rFonts w:ascii="Times New Roman" w:hAnsi="Times New Roman" w:eastAsia="Times New Roman"/>
                <w:color w:val="000000"/>
                <w:sz w:val="18"/>
              </w:rPr>
              <w:t>Sequential mediation</w:t>
            </w:r>
          </w:p>
        </w:tc>
        <w:tc>
          <w:tcPr>
            <w:tcW w:w="6700" w:type="dxa"/>
            <w:tcBorders>
              <w:top w:val="nil"/>
              <w:left w:val="nil"/>
              <w:bottom w:val="nil"/>
              <w:right w:val="nil"/>
            </w:tcBorders>
            <w:tcMar>
              <w:top w:w="80" w:type="dxa"/>
              <w:left w:w="80" w:type="dxa"/>
              <w:bottom w:w="80" w:type="dxa"/>
              <w:right w:w="80" w:type="dxa"/>
            </w:tcMar>
            <w:vAlign w:val="center"/>
          </w:tcPr>
          <w:p w14:paraId="667D5453">
            <w:pPr>
              <w:spacing w:before="0" w:after="0" w:line="240" w:lineRule="auto"/>
              <w:jc w:val="left"/>
            </w:pPr>
            <w:r>
              <w:rPr>
                <w:rFonts w:ascii="Times New Roman" w:hAnsi="Times New Roman" w:eastAsia="Times New Roman"/>
                <w:color w:val="000000"/>
                <w:sz w:val="18"/>
              </w:rPr>
              <w:t>restricted mediation output</w:t>
            </w:r>
          </w:p>
        </w:tc>
        <w:tc>
          <w:tcPr>
            <w:tcW w:w="4100" w:type="dxa"/>
            <w:tcBorders>
              <w:top w:val="nil"/>
              <w:left w:val="nil"/>
              <w:bottom w:val="nil"/>
              <w:right w:val="nil"/>
            </w:tcBorders>
            <w:tcMar>
              <w:top w:w="80" w:type="dxa"/>
              <w:left w:w="80" w:type="dxa"/>
              <w:bottom w:w="80" w:type="dxa"/>
              <w:right w:w="80" w:type="dxa"/>
            </w:tcMar>
            <w:vAlign w:val="center"/>
          </w:tcPr>
          <w:p w14:paraId="0814D60B">
            <w:pPr>
              <w:spacing w:before="0" w:after="0" w:line="240" w:lineRule="auto"/>
              <w:jc w:val="left"/>
            </w:pPr>
            <w:r>
              <w:rPr>
                <w:rFonts w:ascii="Times New Roman" w:hAnsi="Times New Roman" w:eastAsia="Times New Roman"/>
                <w:color w:val="000000"/>
                <w:sz w:val="18"/>
              </w:rPr>
              <w:t>Path coefficients, indirect effects, bootstrap seed, number of resamples, confidence intervals</w:t>
            </w:r>
          </w:p>
        </w:tc>
      </w:tr>
      <w:tr w14:paraId="705C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8C5C4AA">
            <w:pPr>
              <w:spacing w:before="0" w:after="0" w:line="240" w:lineRule="auto"/>
              <w:jc w:val="left"/>
            </w:pPr>
            <w:r>
              <w:rPr>
                <w:rFonts w:ascii="Times New Roman" w:hAnsi="Times New Roman" w:eastAsia="Times New Roman"/>
                <w:color w:val="000000"/>
                <w:sz w:val="18"/>
              </w:rPr>
              <w:t>Moderation and conditional indirect effects</w:t>
            </w:r>
          </w:p>
        </w:tc>
        <w:tc>
          <w:tcPr>
            <w:tcW w:w="6700" w:type="dxa"/>
            <w:tcBorders>
              <w:top w:val="nil"/>
              <w:left w:val="nil"/>
              <w:bottom w:val="nil"/>
              <w:right w:val="nil"/>
            </w:tcBorders>
            <w:tcMar>
              <w:top w:w="80" w:type="dxa"/>
              <w:left w:w="80" w:type="dxa"/>
              <w:bottom w:w="80" w:type="dxa"/>
              <w:right w:w="80" w:type="dxa"/>
            </w:tcMar>
            <w:vAlign w:val="center"/>
          </w:tcPr>
          <w:p w14:paraId="7514E239">
            <w:pPr>
              <w:jc w:val="center"/>
            </w:pPr>
            <w:r>
              <w:rPr>
                <w:rFonts w:ascii="Times New Roman" w:hAnsi="Times New Roman" w:eastAsia="Times New Roman"/>
                <w:b w:val="0"/>
                <w:sz w:val="18"/>
              </w:rPr>
              <w:t>Restricted moderation and conditional-effect output</w:t>
            </w:r>
          </w:p>
        </w:tc>
        <w:tc>
          <w:tcPr>
            <w:tcW w:w="4100" w:type="dxa"/>
            <w:tcBorders>
              <w:top w:val="nil"/>
              <w:left w:val="nil"/>
              <w:bottom w:val="nil"/>
              <w:right w:val="nil"/>
            </w:tcBorders>
            <w:tcMar>
              <w:top w:w="80" w:type="dxa"/>
              <w:left w:w="80" w:type="dxa"/>
              <w:bottom w:w="80" w:type="dxa"/>
              <w:right w:w="80" w:type="dxa"/>
            </w:tcMar>
            <w:vAlign w:val="center"/>
          </w:tcPr>
          <w:p w14:paraId="03734B89">
            <w:pPr>
              <w:spacing w:before="0" w:after="0" w:line="240" w:lineRule="auto"/>
              <w:jc w:val="left"/>
            </w:pPr>
            <w:r>
              <w:rPr>
                <w:rFonts w:ascii="Times New Roman" w:hAnsi="Times New Roman" w:eastAsia="Times New Roman"/>
                <w:color w:val="000000"/>
                <w:sz w:val="18"/>
              </w:rPr>
              <w:t>Interaction terms, simple slopes, conditional indirect effects</w:t>
            </w:r>
          </w:p>
        </w:tc>
      </w:tr>
      <w:tr w14:paraId="3BF2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19803C59">
            <w:pPr>
              <w:spacing w:before="0" w:after="0" w:line="240" w:lineRule="auto"/>
              <w:jc w:val="left"/>
            </w:pPr>
            <w:r>
              <w:rPr>
                <w:rFonts w:ascii="Times New Roman" w:hAnsi="Times New Roman" w:eastAsia="Times New Roman"/>
                <w:color w:val="000000"/>
                <w:sz w:val="18"/>
              </w:rPr>
              <w:t>Robustness checks</w:t>
            </w:r>
          </w:p>
        </w:tc>
        <w:tc>
          <w:tcPr>
            <w:tcW w:w="6700" w:type="dxa"/>
            <w:tcBorders>
              <w:top w:val="nil"/>
              <w:left w:val="nil"/>
              <w:bottom w:val="nil"/>
              <w:right w:val="nil"/>
            </w:tcBorders>
            <w:tcMar>
              <w:top w:w="80" w:type="dxa"/>
              <w:left w:w="80" w:type="dxa"/>
              <w:bottom w:w="80" w:type="dxa"/>
              <w:right w:w="80" w:type="dxa"/>
            </w:tcMar>
            <w:vAlign w:val="center"/>
          </w:tcPr>
          <w:p w14:paraId="34FD9BF1">
            <w:pPr>
              <w:spacing w:before="0" w:after="0" w:line="240" w:lineRule="auto"/>
              <w:jc w:val="left"/>
            </w:pPr>
            <w:r>
              <w:rPr>
                <w:rFonts w:ascii="Times New Roman" w:hAnsi="Times New Roman" w:eastAsia="Times New Roman"/>
                <w:color w:val="000000"/>
                <w:sz w:val="18"/>
              </w:rPr>
              <w:t>restricted robustness output</w:t>
            </w:r>
          </w:p>
        </w:tc>
        <w:tc>
          <w:tcPr>
            <w:tcW w:w="4100" w:type="dxa"/>
            <w:tcBorders>
              <w:top w:val="nil"/>
              <w:left w:val="nil"/>
              <w:bottom w:val="nil"/>
              <w:right w:val="nil"/>
            </w:tcBorders>
            <w:tcMar>
              <w:top w:w="80" w:type="dxa"/>
              <w:left w:w="80" w:type="dxa"/>
              <w:bottom w:w="80" w:type="dxa"/>
              <w:right w:w="80" w:type="dxa"/>
            </w:tcMar>
            <w:vAlign w:val="center"/>
          </w:tcPr>
          <w:p w14:paraId="12CB3591">
            <w:pPr>
              <w:spacing w:before="0" w:after="0" w:line="240" w:lineRule="auto"/>
              <w:jc w:val="left"/>
            </w:pPr>
            <w:r>
              <w:rPr>
                <w:rFonts w:ascii="Times New Roman" w:hAnsi="Times New Roman" w:eastAsia="Times New Roman"/>
                <w:color w:val="000000"/>
                <w:sz w:val="18"/>
              </w:rPr>
              <w:t>Alternative membership functions, weighting schemes, missing-data treatment, and objective indicators</w:t>
            </w:r>
          </w:p>
        </w:tc>
      </w:tr>
      <w:tr w14:paraId="32FF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149E217B">
            <w:pPr>
              <w:spacing w:before="0" w:after="0" w:line="240" w:lineRule="auto"/>
              <w:jc w:val="left"/>
            </w:pPr>
            <w:r>
              <w:rPr>
                <w:rFonts w:ascii="Times New Roman" w:hAnsi="Times New Roman" w:eastAsia="Times New Roman"/>
                <w:color w:val="000000"/>
                <w:sz w:val="18"/>
              </w:rPr>
              <w:t>Data availability decision</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33B26875">
            <w:pPr>
              <w:jc w:val="center"/>
            </w:pPr>
            <w:r>
              <w:rPr>
                <w:rFonts w:ascii="Times New Roman" w:hAnsi="Times New Roman" w:eastAsia="Times New Roman"/>
                <w:b w:val="0"/>
                <w:sz w:val="18"/>
              </w:rPr>
              <w:t>Restricted data-availability statement retained for journal submission</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6C3A721D">
            <w:pPr>
              <w:spacing w:before="0" w:after="0" w:line="240" w:lineRule="auto"/>
              <w:jc w:val="left"/>
            </w:pPr>
            <w:r>
              <w:rPr>
                <w:rFonts w:ascii="Times New Roman" w:hAnsi="Times New Roman" w:eastAsia="Times New Roman"/>
                <w:color w:val="000000"/>
                <w:sz w:val="18"/>
              </w:rPr>
              <w:t>Ethics basis for withholding identifiable records and conditions for restricted access</w:t>
            </w:r>
          </w:p>
        </w:tc>
      </w:tr>
    </w:tbl>
    <w:p w14:paraId="0DA68C6F">
      <w:pPr>
        <w:spacing w:before="0" w:after="0" w:line="360" w:lineRule="auto"/>
        <w:jc w:val="both"/>
      </w:pPr>
      <w:r>
        <w:rPr>
          <w:rFonts w:ascii="Times New Roman" w:hAnsi="Times New Roman" w:eastAsia="Times New Roman"/>
          <w:i/>
          <w:color w:val="000000"/>
          <w:sz w:val="20"/>
        </w:rPr>
        <w:t>Note. The public supplement summarizes these outputs. Full logs are retained for confidential editorial audit if the target journal requests verification.</w:t>
      </w:r>
    </w:p>
    <w:p w14:paraId="7EA62871">
      <w:pPr>
        <w:pStyle w:val="3"/>
        <w:spacing w:before="0" w:after="0" w:line="360" w:lineRule="auto"/>
        <w:jc w:val="both"/>
      </w:pPr>
      <w:r>
        <w:rPr>
          <w:rFonts w:ascii="Times New Roman" w:hAnsi="Times New Roman" w:eastAsia="Times New Roman"/>
          <w:b/>
          <w:color w:val="000000"/>
          <w:sz w:val="32"/>
        </w:rPr>
        <w:t>Supplement G. Robustness-Check Summary Aligned With the Manuscript</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3C0A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67F5BDE9">
            <w:pPr>
              <w:spacing w:before="0" w:after="0" w:line="240" w:lineRule="auto"/>
              <w:jc w:val="left"/>
            </w:pPr>
            <w:r>
              <w:rPr>
                <w:rFonts w:ascii="Times New Roman" w:hAnsi="Times New Roman" w:eastAsia="Times New Roman"/>
                <w:b/>
                <w:color w:val="000000"/>
                <w:sz w:val="18"/>
              </w:rPr>
              <w:t>Check</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454A7294">
            <w:pPr>
              <w:spacing w:before="0" w:after="0" w:line="240" w:lineRule="auto"/>
              <w:jc w:val="left"/>
            </w:pPr>
            <w:r>
              <w:rPr>
                <w:rFonts w:ascii="Times New Roman" w:hAnsi="Times New Roman" w:eastAsia="Times New Roman"/>
                <w:b/>
                <w:color w:val="000000"/>
                <w:sz w:val="18"/>
              </w:rPr>
              <w:t>Purpose</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36C9B9F8">
            <w:pPr>
              <w:spacing w:before="0" w:after="0" w:line="240" w:lineRule="auto"/>
              <w:jc w:val="left"/>
            </w:pPr>
            <w:r>
              <w:rPr>
                <w:rFonts w:ascii="Times New Roman" w:hAnsi="Times New Roman" w:eastAsia="Times New Roman"/>
                <w:b/>
                <w:color w:val="000000"/>
                <w:sz w:val="18"/>
              </w:rPr>
              <w:t>Reported manuscript result</w:t>
            </w:r>
          </w:p>
        </w:tc>
      </w:tr>
      <w:tr w14:paraId="38EB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0445B0BC">
            <w:pPr>
              <w:spacing w:before="0" w:after="0" w:line="240" w:lineRule="auto"/>
              <w:jc w:val="left"/>
            </w:pPr>
            <w:r>
              <w:rPr>
                <w:rFonts w:ascii="Times New Roman" w:hAnsi="Times New Roman" w:eastAsia="Times New Roman"/>
                <w:color w:val="000000"/>
                <w:sz w:val="18"/>
              </w:rPr>
              <w:t>Alternative membership function</w:t>
            </w:r>
          </w:p>
        </w:tc>
        <w:tc>
          <w:tcPr>
            <w:tcW w:w="6700" w:type="dxa"/>
            <w:tcBorders>
              <w:top w:val="nil"/>
              <w:left w:val="nil"/>
              <w:bottom w:val="nil"/>
              <w:right w:val="nil"/>
            </w:tcBorders>
            <w:tcMar>
              <w:top w:w="80" w:type="dxa"/>
              <w:left w:w="80" w:type="dxa"/>
              <w:bottom w:w="80" w:type="dxa"/>
              <w:right w:w="80" w:type="dxa"/>
            </w:tcMar>
            <w:vAlign w:val="center"/>
          </w:tcPr>
          <w:p w14:paraId="4FCFD502">
            <w:pPr>
              <w:spacing w:before="0" w:after="0" w:line="240" w:lineRule="auto"/>
              <w:jc w:val="left"/>
            </w:pPr>
            <w:r>
              <w:rPr>
                <w:rFonts w:ascii="Times New Roman" w:hAnsi="Times New Roman" w:eastAsia="Times New Roman"/>
                <w:color w:val="000000"/>
                <w:sz w:val="18"/>
              </w:rPr>
              <w:t>Tests dependence on logistic membership form</w:t>
            </w:r>
          </w:p>
        </w:tc>
        <w:tc>
          <w:tcPr>
            <w:tcW w:w="4100" w:type="dxa"/>
            <w:tcBorders>
              <w:top w:val="nil"/>
              <w:left w:val="nil"/>
              <w:bottom w:val="nil"/>
              <w:right w:val="nil"/>
            </w:tcBorders>
            <w:tcMar>
              <w:top w:w="80" w:type="dxa"/>
              <w:left w:w="80" w:type="dxa"/>
              <w:bottom w:w="80" w:type="dxa"/>
              <w:right w:w="80" w:type="dxa"/>
            </w:tcMar>
            <w:vAlign w:val="center"/>
          </w:tcPr>
          <w:p w14:paraId="4746B538">
            <w:pPr>
              <w:spacing w:before="0" w:after="0" w:line="240" w:lineRule="auto"/>
              <w:jc w:val="left"/>
            </w:pPr>
            <w:r>
              <w:rPr>
                <w:rFonts w:ascii="Times New Roman" w:hAnsi="Times New Roman" w:eastAsia="Times New Roman"/>
                <w:color w:val="000000"/>
                <w:sz w:val="18"/>
              </w:rPr>
              <w:t>Triangular indirect effect = .058, 95% CI [.039, .081]; trapezoidal indirect effect = .061, 95% CI [.041, .085]</w:t>
            </w:r>
          </w:p>
        </w:tc>
      </w:tr>
      <w:tr w14:paraId="287C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13B87796">
            <w:pPr>
              <w:spacing w:before="0" w:after="0" w:line="240" w:lineRule="auto"/>
              <w:jc w:val="left"/>
            </w:pPr>
            <w:r>
              <w:rPr>
                <w:rFonts w:ascii="Times New Roman" w:hAnsi="Times New Roman" w:eastAsia="Times New Roman"/>
                <w:color w:val="000000"/>
                <w:sz w:val="18"/>
              </w:rPr>
              <w:t>Equal-weight model</w:t>
            </w:r>
          </w:p>
        </w:tc>
        <w:tc>
          <w:tcPr>
            <w:tcW w:w="6700" w:type="dxa"/>
            <w:tcBorders>
              <w:top w:val="nil"/>
              <w:left w:val="nil"/>
              <w:bottom w:val="nil"/>
              <w:right w:val="nil"/>
            </w:tcBorders>
            <w:tcMar>
              <w:top w:w="80" w:type="dxa"/>
              <w:left w:w="80" w:type="dxa"/>
              <w:bottom w:w="80" w:type="dxa"/>
              <w:right w:w="80" w:type="dxa"/>
            </w:tcMar>
            <w:vAlign w:val="center"/>
          </w:tcPr>
          <w:p w14:paraId="7384A91F">
            <w:pPr>
              <w:spacing w:before="0" w:after="0" w:line="240" w:lineRule="auto"/>
              <w:jc w:val="left"/>
            </w:pPr>
            <w:r>
              <w:rPr>
                <w:rFonts w:ascii="Times New Roman" w:hAnsi="Times New Roman" w:eastAsia="Times New Roman"/>
                <w:color w:val="000000"/>
                <w:sz w:val="18"/>
              </w:rPr>
              <w:t>Tests dependence on expert/AHP weights</w:t>
            </w:r>
          </w:p>
        </w:tc>
        <w:tc>
          <w:tcPr>
            <w:tcW w:w="4100" w:type="dxa"/>
            <w:tcBorders>
              <w:top w:val="nil"/>
              <w:left w:val="nil"/>
              <w:bottom w:val="nil"/>
              <w:right w:val="nil"/>
            </w:tcBorders>
            <w:tcMar>
              <w:top w:w="80" w:type="dxa"/>
              <w:left w:w="80" w:type="dxa"/>
              <w:bottom w:w="80" w:type="dxa"/>
              <w:right w:w="80" w:type="dxa"/>
            </w:tcMar>
            <w:vAlign w:val="center"/>
          </w:tcPr>
          <w:p w14:paraId="205C0E5B">
            <w:pPr>
              <w:spacing w:before="0" w:after="0" w:line="240" w:lineRule="auto"/>
              <w:jc w:val="left"/>
            </w:pPr>
            <w:r>
              <w:rPr>
                <w:rFonts w:ascii="Times New Roman" w:hAnsi="Times New Roman" w:eastAsia="Times New Roman"/>
                <w:color w:val="000000"/>
                <w:sz w:val="18"/>
              </w:rPr>
              <w:t>Indirect effect remains positive and significant</w:t>
            </w:r>
          </w:p>
        </w:tc>
      </w:tr>
      <w:tr w14:paraId="3B7B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5B48D9E7">
            <w:pPr>
              <w:spacing w:before="0" w:after="0" w:line="240" w:lineRule="auto"/>
              <w:jc w:val="left"/>
            </w:pPr>
            <w:r>
              <w:rPr>
                <w:rFonts w:ascii="Times New Roman" w:hAnsi="Times New Roman" w:eastAsia="Times New Roman"/>
                <w:color w:val="000000"/>
                <w:sz w:val="18"/>
              </w:rPr>
              <w:t>Multiple imputation</w:t>
            </w:r>
          </w:p>
        </w:tc>
        <w:tc>
          <w:tcPr>
            <w:tcW w:w="6700" w:type="dxa"/>
            <w:tcBorders>
              <w:top w:val="nil"/>
              <w:left w:val="nil"/>
              <w:bottom w:val="nil"/>
              <w:right w:val="nil"/>
            </w:tcBorders>
            <w:tcMar>
              <w:top w:w="80" w:type="dxa"/>
              <w:left w:w="80" w:type="dxa"/>
              <w:bottom w:w="80" w:type="dxa"/>
              <w:right w:w="80" w:type="dxa"/>
            </w:tcMar>
            <w:vAlign w:val="center"/>
          </w:tcPr>
          <w:p w14:paraId="53EF58D3">
            <w:pPr>
              <w:spacing w:before="0" w:after="0" w:line="240" w:lineRule="auto"/>
              <w:jc w:val="left"/>
            </w:pPr>
            <w:r>
              <w:rPr>
                <w:rFonts w:ascii="Times New Roman" w:hAnsi="Times New Roman" w:eastAsia="Times New Roman"/>
                <w:color w:val="000000"/>
                <w:sz w:val="18"/>
              </w:rPr>
              <w:t>Tests attrition/missingness sensitivity</w:t>
            </w:r>
          </w:p>
        </w:tc>
        <w:tc>
          <w:tcPr>
            <w:tcW w:w="4100" w:type="dxa"/>
            <w:tcBorders>
              <w:top w:val="nil"/>
              <w:left w:val="nil"/>
              <w:bottom w:val="nil"/>
              <w:right w:val="nil"/>
            </w:tcBorders>
            <w:tcMar>
              <w:top w:w="80" w:type="dxa"/>
              <w:left w:w="80" w:type="dxa"/>
              <w:bottom w:w="80" w:type="dxa"/>
              <w:right w:w="80" w:type="dxa"/>
            </w:tcMar>
            <w:vAlign w:val="center"/>
          </w:tcPr>
          <w:p w14:paraId="4B69D6F8">
            <w:pPr>
              <w:spacing w:before="0" w:after="0" w:line="240" w:lineRule="auto"/>
              <w:jc w:val="left"/>
            </w:pPr>
            <w:r>
              <w:rPr>
                <w:rFonts w:ascii="Times New Roman" w:hAnsi="Times New Roman" w:eastAsia="Times New Roman"/>
                <w:color w:val="000000"/>
                <w:sz w:val="18"/>
              </w:rPr>
              <w:t>Twenty imputed datasets produced substantively similar estimates</w:t>
            </w:r>
          </w:p>
        </w:tc>
      </w:tr>
      <w:tr w14:paraId="41A5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5C6A4947">
            <w:pPr>
              <w:spacing w:before="0" w:after="0" w:line="240" w:lineRule="auto"/>
              <w:jc w:val="left"/>
            </w:pPr>
            <w:r>
              <w:rPr>
                <w:rFonts w:ascii="Times New Roman" w:hAnsi="Times New Roman" w:eastAsia="Times New Roman"/>
                <w:color w:val="000000"/>
                <w:sz w:val="18"/>
              </w:rPr>
              <w:t>Objective improvement indicator</w:t>
            </w:r>
          </w:p>
        </w:tc>
        <w:tc>
          <w:tcPr>
            <w:tcW w:w="6700" w:type="dxa"/>
            <w:tcBorders>
              <w:top w:val="nil"/>
              <w:left w:val="nil"/>
              <w:bottom w:val="nil"/>
              <w:right w:val="nil"/>
            </w:tcBorders>
            <w:tcMar>
              <w:top w:w="80" w:type="dxa"/>
              <w:left w:w="80" w:type="dxa"/>
              <w:bottom w:w="80" w:type="dxa"/>
              <w:right w:w="80" w:type="dxa"/>
            </w:tcMar>
            <w:vAlign w:val="center"/>
          </w:tcPr>
          <w:p w14:paraId="77DA536E">
            <w:pPr>
              <w:spacing w:before="0" w:after="0" w:line="240" w:lineRule="auto"/>
              <w:jc w:val="left"/>
            </w:pPr>
            <w:r>
              <w:rPr>
                <w:rFonts w:ascii="Times New Roman" w:hAnsi="Times New Roman" w:eastAsia="Times New Roman"/>
                <w:color w:val="000000"/>
                <w:sz w:val="18"/>
              </w:rPr>
              <w:t>Reduces sole reliance on self-report</w:t>
            </w:r>
          </w:p>
        </w:tc>
        <w:tc>
          <w:tcPr>
            <w:tcW w:w="4100" w:type="dxa"/>
            <w:tcBorders>
              <w:top w:val="nil"/>
              <w:left w:val="nil"/>
              <w:bottom w:val="nil"/>
              <w:right w:val="nil"/>
            </w:tcBorders>
            <w:tcMar>
              <w:top w:w="80" w:type="dxa"/>
              <w:left w:w="80" w:type="dxa"/>
              <w:bottom w:w="80" w:type="dxa"/>
              <w:right w:w="80" w:type="dxa"/>
            </w:tcMar>
            <w:vAlign w:val="center"/>
          </w:tcPr>
          <w:p w14:paraId="1A019C9A">
            <w:pPr>
              <w:spacing w:before="0" w:after="0" w:line="240" w:lineRule="auto"/>
              <w:jc w:val="left"/>
            </w:pPr>
            <w:r>
              <w:rPr>
                <w:rFonts w:ascii="Times New Roman" w:hAnsi="Times New Roman" w:eastAsia="Times New Roman"/>
                <w:color w:val="000000"/>
                <w:sz w:val="18"/>
              </w:rPr>
              <w:t>Course-document and follow-up evaluation indicators show consistent direction</w:t>
            </w:r>
          </w:p>
        </w:tc>
      </w:tr>
      <w:tr w14:paraId="486D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79AD0E4F">
            <w:pPr>
              <w:spacing w:before="0" w:after="0" w:line="240" w:lineRule="auto"/>
              <w:jc w:val="left"/>
            </w:pPr>
            <w:r>
              <w:rPr>
                <w:rFonts w:ascii="Times New Roman" w:hAnsi="Times New Roman" w:eastAsia="Times New Roman"/>
                <w:color w:val="000000"/>
                <w:sz w:val="18"/>
              </w:rPr>
              <w:t>Black-box comparison</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6786686A">
            <w:pPr>
              <w:spacing w:before="0" w:after="0" w:line="240" w:lineRule="auto"/>
              <w:jc w:val="left"/>
            </w:pPr>
            <w:r>
              <w:rPr>
                <w:rFonts w:ascii="Times New Roman" w:hAnsi="Times New Roman" w:eastAsia="Times New Roman"/>
                <w:color w:val="000000"/>
                <w:sz w:val="18"/>
              </w:rPr>
              <w:t>Tests whether AI alone explains the effect</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18A2C9D0">
            <w:pPr>
              <w:spacing w:before="0" w:after="0" w:line="240" w:lineRule="auto"/>
              <w:jc w:val="left"/>
            </w:pPr>
            <w:r>
              <w:rPr>
                <w:rFonts w:ascii="Times New Roman" w:hAnsi="Times New Roman" w:eastAsia="Times New Roman"/>
                <w:color w:val="000000"/>
                <w:sz w:val="18"/>
              </w:rPr>
              <w:t>Explainable fuzzy AI outperforms black-box AI on fairness and calibrated trust</w:t>
            </w:r>
          </w:p>
        </w:tc>
      </w:tr>
    </w:tbl>
    <w:p w14:paraId="604FA6BC">
      <w:pPr>
        <w:pStyle w:val="3"/>
        <w:spacing w:before="0" w:after="0" w:line="360" w:lineRule="auto"/>
        <w:jc w:val="both"/>
      </w:pPr>
      <w:r>
        <w:rPr>
          <w:rFonts w:ascii="Times New Roman" w:hAnsi="Times New Roman" w:eastAsia="Times New Roman"/>
          <w:b/>
          <w:color w:val="000000"/>
          <w:sz w:val="32"/>
        </w:rPr>
        <w:t>Supplement H. Restricted Data and Ethics Statement</w:t>
      </w:r>
    </w:p>
    <w:p>
      <w:pPr>
        <w:spacing w:before="0" w:after="0" w:line="360" w:lineRule="auto"/>
        <w:jc w:val="both"/>
      </w:pPr>
      <w:r>
        <w:rPr>
          <w:rFonts w:ascii="Times New Roman" w:hAnsi="Times New Roman" w:eastAsia="Times New Roman"/>
          <w:color w:val="000000"/>
          <w:sz w:val="24"/>
        </w:rPr>
        <w:t>Ethics approval and consent: All methods were carried out in accordance with relevant institutional guidelines and regulations and with the Declaration of Helsinki. All experimental protocols involving participating teachers were approved by the Institutional Review Board of Stanford University (IRB Protocol #77490; approval date: June 25, 2025). Teacher participation was voluntary and informed consent was obtained before T1. Students were not recruited as research participants; student-evaluation information was used only as de-identified course-level aggregates.</w:t>
      </w:r>
    </w:p>
    <w:p>
      <w:pPr>
        <w:spacing w:before="0" w:after="0" w:line="360" w:lineRule="auto"/>
        <w:jc w:val="both"/>
      </w:pPr>
      <w:r>
        <w:rPr>
          <w:rFonts w:ascii="Times New Roman" w:hAnsi="Times New Roman" w:eastAsia="Times New Roman"/>
          <w:color w:val="000000"/>
          <w:sz w:val="24"/>
        </w:rPr>
        <w:t>Trial classification: The intervention altered the format and explainability of teaching-evaluation feedback and did not evaluate a health-related intervention or health outcome. The study is therefore classified as a randomized educational field experiment rather than a clinical trial under the WHO definition; clinical-trial registration is not applicable. A CONSORT 2010 checklist is supplied separately for applicable randomized-design reporting items.</w:t>
      </w:r>
    </w:p>
    <w:p w14:paraId="74D4AD4A">
      <w:pPr>
        <w:spacing w:before="0" w:after="0" w:line="360" w:lineRule="auto"/>
        <w:jc w:val="both"/>
      </w:pPr>
      <w:r>
        <w:rPr>
          <w:rFonts w:ascii="Times New Roman" w:hAnsi="Times New Roman" w:eastAsia="Times New Roman"/>
          <w:color w:val="000000"/>
          <w:sz w:val="24"/>
        </w:rPr>
        <w:t>The study involves sensitive educational records. Identifiable teacher, student, course, and university information is not deposited in an open repository. De-identified aggregate materials, survey wording, intervention templates, variable dictionaries, and analysis protocols may be shared where institutional ethics and data-use rules permit. Raw data, randomization logs, and full model-output files are retained in a restricted archive controlled by the corresponding author or authorized institution.</w:t>
      </w:r>
    </w:p>
    <w:p w14:paraId="00FC3829">
      <w:pPr>
        <w:spacing w:before="0" w:after="0" w:line="360" w:lineRule="auto"/>
        <w:jc w:val="both"/>
      </w:pPr>
      <w:r>
        <w:rPr>
          <w:rFonts w:ascii="Times New Roman" w:hAnsi="Times New Roman" w:eastAsia="Times New Roman"/>
          <w:b/>
          <w:color w:val="000000"/>
          <w:sz w:val="24"/>
        </w:rPr>
        <w:t>Data availability statement for submission:</w:t>
      </w:r>
      <w:r>
        <w:rPr>
          <w:rFonts w:ascii="Times New Roman" w:hAnsi="Times New Roman" w:eastAsia="Times New Roman"/>
          <w:color w:val="000000"/>
          <w:sz w:val="24"/>
        </w:rPr>
        <w:t xml:space="preserve"> The datasets generated and/or analyzed during the current study are not publicly available because they contain sensitive teacher-, student-, course-, and university-level educational records and are subject to institutional ethics and data-use restrictions. De-identified aggregate documentation, survey materials, intervention templates, variable definitions, and analysis protocols are provided in the Supplementary Information. Additional de-identified data may be available from the corresponding author, Yiran Zhou, on reasonable request for non-commercial research and verification purposes, subject to applicable institutional ethics approval, data-use restrictions, execution of a data-use agreement, and non-identification requirements. Requests should be sent to YiranZhou1983@163.com; an initial response will normally be provided within 30 days. No identifiable participant data will be shared.</w:t>
      </w:r>
    </w:p>
    <w:p w14:paraId="5CFC61C6">
      <w:pPr>
        <w:pStyle w:val="3"/>
        <w:spacing w:before="0" w:after="0" w:line="360" w:lineRule="auto"/>
        <w:jc w:val="both"/>
      </w:pPr>
      <w:r>
        <w:rPr>
          <w:rFonts w:ascii="Times New Roman" w:hAnsi="Times New Roman" w:eastAsia="Times New Roman"/>
          <w:b/>
          <w:color w:val="000000"/>
          <w:sz w:val="32"/>
        </w:rPr>
        <w:t>Supplement I. Restricted Reproducibility Archive Checklist</w:t>
      </w:r>
    </w:p>
    <w:p w14:paraId="00967C4F">
      <w:pPr>
        <w:spacing w:before="0" w:after="0" w:line="360" w:lineRule="auto"/>
        <w:jc w:val="both"/>
      </w:pPr>
      <w:r>
        <w:rPr>
          <w:rFonts w:ascii="Times New Roman" w:hAnsi="Times New Roman" w:eastAsia="Times New Roman"/>
          <w:color w:val="000000"/>
          <w:sz w:val="24"/>
        </w:rPr>
        <w:t>This checklist expands the public-facing submission package and identifies the restricted materials retained for confidential editorial audit. It is not a request to publish identifiable records.</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5633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3D762C76">
            <w:pPr>
              <w:spacing w:before="0" w:after="0" w:line="240" w:lineRule="auto"/>
              <w:jc w:val="left"/>
            </w:pPr>
            <w:r>
              <w:rPr>
                <w:rFonts w:ascii="Times New Roman" w:hAnsi="Times New Roman" w:eastAsia="Times New Roman"/>
                <w:b/>
                <w:color w:val="000000"/>
                <w:sz w:val="18"/>
              </w:rPr>
              <w:t>Archive component</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0A5E26C5">
            <w:pPr>
              <w:spacing w:before="0" w:after="0" w:line="240" w:lineRule="auto"/>
              <w:jc w:val="left"/>
            </w:pPr>
            <w:r>
              <w:rPr>
                <w:rFonts w:ascii="Times New Roman" w:hAnsi="Times New Roman" w:eastAsia="Times New Roman"/>
                <w:b/>
                <w:color w:val="000000"/>
                <w:sz w:val="18"/>
              </w:rPr>
              <w:t>Minimum content</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486C87EF">
            <w:pPr>
              <w:spacing w:before="0" w:after="0" w:line="240" w:lineRule="auto"/>
              <w:jc w:val="left"/>
            </w:pPr>
            <w:r>
              <w:rPr>
                <w:rFonts w:ascii="Times New Roman" w:hAnsi="Times New Roman" w:eastAsia="Times New Roman"/>
                <w:b/>
                <w:color w:val="000000"/>
                <w:sz w:val="18"/>
              </w:rPr>
              <w:t>Public/restricted status</w:t>
            </w:r>
          </w:p>
        </w:tc>
      </w:tr>
      <w:tr w14:paraId="03A1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50B6E52F">
            <w:pPr>
              <w:spacing w:before="0" w:after="0" w:line="240" w:lineRule="auto"/>
              <w:jc w:val="left"/>
            </w:pPr>
            <w:r>
              <w:rPr>
                <w:rFonts w:ascii="Times New Roman" w:hAnsi="Times New Roman" w:eastAsia="Times New Roman"/>
                <w:color w:val="000000"/>
                <w:sz w:val="18"/>
              </w:rPr>
              <w:t>Survey instrument and scale map</w:t>
            </w:r>
          </w:p>
        </w:tc>
        <w:tc>
          <w:tcPr>
            <w:tcW w:w="6700" w:type="dxa"/>
            <w:tcBorders>
              <w:top w:val="nil"/>
              <w:left w:val="nil"/>
              <w:bottom w:val="nil"/>
              <w:right w:val="nil"/>
            </w:tcBorders>
            <w:tcMar>
              <w:top w:w="80" w:type="dxa"/>
              <w:left w:w="80" w:type="dxa"/>
              <w:bottom w:w="80" w:type="dxa"/>
              <w:right w:w="80" w:type="dxa"/>
            </w:tcMar>
            <w:vAlign w:val="center"/>
          </w:tcPr>
          <w:p w14:paraId="56861841">
            <w:pPr>
              <w:spacing w:before="0" w:after="0" w:line="240" w:lineRule="auto"/>
              <w:jc w:val="left"/>
            </w:pPr>
            <w:r>
              <w:rPr>
                <w:rFonts w:ascii="Times New Roman" w:hAnsi="Times New Roman" w:eastAsia="Times New Roman"/>
                <w:color w:val="000000"/>
                <w:sz w:val="18"/>
              </w:rPr>
              <w:t>Chinese questionnaire, English documentation, item-code map, response anchors, reverse coding if any</w:t>
            </w:r>
          </w:p>
        </w:tc>
        <w:tc>
          <w:tcPr>
            <w:tcW w:w="4100" w:type="dxa"/>
            <w:tcBorders>
              <w:top w:val="nil"/>
              <w:left w:val="nil"/>
              <w:bottom w:val="nil"/>
              <w:right w:val="nil"/>
            </w:tcBorders>
            <w:tcMar>
              <w:top w:w="80" w:type="dxa"/>
              <w:left w:w="80" w:type="dxa"/>
              <w:bottom w:w="80" w:type="dxa"/>
              <w:right w:w="80" w:type="dxa"/>
            </w:tcMar>
            <w:vAlign w:val="center"/>
          </w:tcPr>
          <w:p w14:paraId="62C82743">
            <w:pPr>
              <w:spacing w:before="0" w:after="0" w:line="240" w:lineRule="auto"/>
              <w:jc w:val="left"/>
            </w:pPr>
            <w:r>
              <w:rPr>
                <w:rFonts w:ascii="Times New Roman" w:hAnsi="Times New Roman" w:eastAsia="Times New Roman"/>
                <w:color w:val="000000"/>
                <w:sz w:val="18"/>
              </w:rPr>
              <w:t>Public in supplement</w:t>
            </w:r>
          </w:p>
        </w:tc>
      </w:tr>
      <w:tr w14:paraId="615A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29CE57C1">
            <w:pPr>
              <w:spacing w:before="0" w:after="0" w:line="240" w:lineRule="auto"/>
              <w:jc w:val="left"/>
            </w:pPr>
            <w:r>
              <w:rPr>
                <w:rFonts w:ascii="Times New Roman" w:hAnsi="Times New Roman" w:eastAsia="Times New Roman"/>
                <w:color w:val="000000"/>
                <w:sz w:val="18"/>
              </w:rPr>
              <w:t>Intervention templates</w:t>
            </w:r>
          </w:p>
        </w:tc>
        <w:tc>
          <w:tcPr>
            <w:tcW w:w="6700" w:type="dxa"/>
            <w:tcBorders>
              <w:top w:val="nil"/>
              <w:left w:val="nil"/>
              <w:bottom w:val="nil"/>
              <w:right w:val="nil"/>
            </w:tcBorders>
            <w:tcMar>
              <w:top w:w="80" w:type="dxa"/>
              <w:left w:w="80" w:type="dxa"/>
              <w:bottom w:w="80" w:type="dxa"/>
              <w:right w:w="80" w:type="dxa"/>
            </w:tcMar>
            <w:vAlign w:val="center"/>
          </w:tcPr>
          <w:p w14:paraId="7DD3A061">
            <w:pPr>
              <w:spacing w:before="0" w:after="0" w:line="240" w:lineRule="auto"/>
              <w:jc w:val="left"/>
            </w:pPr>
            <w:r>
              <w:rPr>
                <w:rFonts w:ascii="Times New Roman" w:hAnsi="Times New Roman" w:eastAsia="Times New Roman"/>
                <w:color w:val="000000"/>
                <w:sz w:val="18"/>
              </w:rPr>
              <w:t>Traditional, black-box AI, and explainable fuzzy AI report templates with anonymized example panels</w:t>
            </w:r>
          </w:p>
        </w:tc>
        <w:tc>
          <w:tcPr>
            <w:tcW w:w="4100" w:type="dxa"/>
            <w:tcBorders>
              <w:top w:val="nil"/>
              <w:left w:val="nil"/>
              <w:bottom w:val="nil"/>
              <w:right w:val="nil"/>
            </w:tcBorders>
            <w:tcMar>
              <w:top w:w="80" w:type="dxa"/>
              <w:left w:w="80" w:type="dxa"/>
              <w:bottom w:w="80" w:type="dxa"/>
              <w:right w:w="80" w:type="dxa"/>
            </w:tcMar>
            <w:vAlign w:val="center"/>
          </w:tcPr>
          <w:p w14:paraId="4631A3E0">
            <w:pPr>
              <w:spacing w:before="0" w:after="0" w:line="240" w:lineRule="auto"/>
              <w:jc w:val="left"/>
            </w:pPr>
            <w:r>
              <w:rPr>
                <w:rFonts w:ascii="Times New Roman" w:hAnsi="Times New Roman" w:eastAsia="Times New Roman"/>
                <w:color w:val="000000"/>
                <w:sz w:val="18"/>
              </w:rPr>
              <w:t>Public in supplement</w:t>
            </w:r>
          </w:p>
        </w:tc>
      </w:tr>
      <w:tr w14:paraId="4028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356D2AE4">
            <w:pPr>
              <w:spacing w:before="0" w:after="0" w:line="240" w:lineRule="auto"/>
              <w:jc w:val="left"/>
            </w:pPr>
            <w:r>
              <w:rPr>
                <w:rFonts w:ascii="Times New Roman" w:hAnsi="Times New Roman" w:eastAsia="Times New Roman"/>
                <w:color w:val="000000"/>
                <w:sz w:val="18"/>
              </w:rPr>
              <w:t>Randomization log</w:t>
            </w:r>
          </w:p>
        </w:tc>
        <w:tc>
          <w:tcPr>
            <w:tcW w:w="6700" w:type="dxa"/>
            <w:tcBorders>
              <w:top w:val="nil"/>
              <w:left w:val="nil"/>
              <w:bottom w:val="nil"/>
              <w:right w:val="nil"/>
            </w:tcBorders>
            <w:tcMar>
              <w:top w:w="80" w:type="dxa"/>
              <w:left w:w="80" w:type="dxa"/>
              <w:bottom w:w="80" w:type="dxa"/>
              <w:right w:w="80" w:type="dxa"/>
            </w:tcMar>
            <w:vAlign w:val="center"/>
          </w:tcPr>
          <w:p w14:paraId="6F172C21">
            <w:pPr>
              <w:spacing w:before="0" w:after="0" w:line="240" w:lineRule="auto"/>
              <w:jc w:val="left"/>
            </w:pPr>
            <w:r>
              <w:rPr>
                <w:rFonts w:ascii="Times New Roman" w:hAnsi="Times New Roman" w:eastAsia="Times New Roman"/>
                <w:color w:val="000000"/>
                <w:sz w:val="18"/>
              </w:rPr>
              <w:t>Teacher-course hashed ID, block/stratum, random seed, assigned condition, timestamp, implementation deviation flag</w:t>
            </w:r>
          </w:p>
        </w:tc>
        <w:tc>
          <w:tcPr>
            <w:tcW w:w="4100" w:type="dxa"/>
            <w:tcBorders>
              <w:top w:val="nil"/>
              <w:left w:val="nil"/>
              <w:bottom w:val="nil"/>
              <w:right w:val="nil"/>
            </w:tcBorders>
            <w:tcMar>
              <w:top w:w="80" w:type="dxa"/>
              <w:left w:w="80" w:type="dxa"/>
              <w:bottom w:w="80" w:type="dxa"/>
              <w:right w:w="80" w:type="dxa"/>
            </w:tcMar>
            <w:vAlign w:val="center"/>
          </w:tcPr>
          <w:p w14:paraId="67C4FD6F">
            <w:pPr>
              <w:spacing w:before="0" w:after="0" w:line="240" w:lineRule="auto"/>
              <w:jc w:val="left"/>
            </w:pPr>
            <w:r>
              <w:rPr>
                <w:rFonts w:ascii="Times New Roman" w:hAnsi="Times New Roman" w:eastAsia="Times New Roman"/>
                <w:color w:val="000000"/>
                <w:sz w:val="18"/>
              </w:rPr>
              <w:t>Restricted archive</w:t>
            </w:r>
          </w:p>
        </w:tc>
      </w:tr>
      <w:tr w14:paraId="1DCD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96C0DED">
            <w:pPr>
              <w:spacing w:before="0" w:after="0" w:line="240" w:lineRule="auto"/>
              <w:jc w:val="left"/>
            </w:pPr>
            <w:r>
              <w:rPr>
                <w:rFonts w:ascii="Times New Roman" w:hAnsi="Times New Roman" w:eastAsia="Times New Roman"/>
                <w:color w:val="000000"/>
                <w:sz w:val="18"/>
              </w:rPr>
              <w:t>T1/T2/T3 analytic files</w:t>
            </w:r>
          </w:p>
        </w:tc>
        <w:tc>
          <w:tcPr>
            <w:tcW w:w="6700" w:type="dxa"/>
            <w:tcBorders>
              <w:top w:val="nil"/>
              <w:left w:val="nil"/>
              <w:bottom w:val="nil"/>
              <w:right w:val="nil"/>
            </w:tcBorders>
            <w:tcMar>
              <w:top w:w="80" w:type="dxa"/>
              <w:left w:w="80" w:type="dxa"/>
              <w:bottom w:w="80" w:type="dxa"/>
              <w:right w:w="80" w:type="dxa"/>
            </w:tcMar>
            <w:vAlign w:val="center"/>
          </w:tcPr>
          <w:p w14:paraId="1A316724">
            <w:pPr>
              <w:spacing w:before="0" w:after="0" w:line="240" w:lineRule="auto"/>
              <w:jc w:val="left"/>
            </w:pPr>
            <w:r>
              <w:rPr>
                <w:rFonts w:ascii="Times New Roman" w:hAnsi="Times New Roman" w:eastAsia="Times New Roman"/>
                <w:color w:val="000000"/>
                <w:sz w:val="18"/>
              </w:rPr>
              <w:t>De-identified teacher-course records, wave indicators, mediator/outcome variables, missingness flags</w:t>
            </w:r>
          </w:p>
        </w:tc>
        <w:tc>
          <w:tcPr>
            <w:tcW w:w="4100" w:type="dxa"/>
            <w:tcBorders>
              <w:top w:val="nil"/>
              <w:left w:val="nil"/>
              <w:bottom w:val="nil"/>
              <w:right w:val="nil"/>
            </w:tcBorders>
            <w:tcMar>
              <w:top w:w="80" w:type="dxa"/>
              <w:left w:w="80" w:type="dxa"/>
              <w:bottom w:w="80" w:type="dxa"/>
              <w:right w:w="80" w:type="dxa"/>
            </w:tcMar>
            <w:vAlign w:val="center"/>
          </w:tcPr>
          <w:p w14:paraId="057340FF">
            <w:pPr>
              <w:spacing w:before="0" w:after="0" w:line="240" w:lineRule="auto"/>
              <w:jc w:val="left"/>
            </w:pPr>
            <w:r>
              <w:rPr>
                <w:rFonts w:ascii="Times New Roman" w:hAnsi="Times New Roman" w:eastAsia="Times New Roman"/>
                <w:color w:val="000000"/>
                <w:sz w:val="18"/>
              </w:rPr>
              <w:t>Restricted archive</w:t>
            </w:r>
          </w:p>
        </w:tc>
      </w:tr>
      <w:tr w14:paraId="7221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26F02305">
            <w:pPr>
              <w:spacing w:before="0" w:after="0" w:line="240" w:lineRule="auto"/>
              <w:jc w:val="left"/>
            </w:pPr>
            <w:r>
              <w:rPr>
                <w:rFonts w:ascii="Times New Roman" w:hAnsi="Times New Roman" w:eastAsia="Times New Roman"/>
                <w:color w:val="000000"/>
                <w:sz w:val="18"/>
              </w:rPr>
              <w:t>Student-evaluation aggregates</w:t>
            </w:r>
          </w:p>
        </w:tc>
        <w:tc>
          <w:tcPr>
            <w:tcW w:w="6700" w:type="dxa"/>
            <w:tcBorders>
              <w:top w:val="nil"/>
              <w:left w:val="nil"/>
              <w:bottom w:val="nil"/>
              <w:right w:val="nil"/>
            </w:tcBorders>
            <w:tcMar>
              <w:top w:w="80" w:type="dxa"/>
              <w:left w:w="80" w:type="dxa"/>
              <w:bottom w:w="80" w:type="dxa"/>
              <w:right w:w="80" w:type="dxa"/>
            </w:tcMar>
            <w:vAlign w:val="center"/>
          </w:tcPr>
          <w:p w14:paraId="6A2786B6">
            <w:pPr>
              <w:spacing w:before="0" w:after="0" w:line="240" w:lineRule="auto"/>
              <w:jc w:val="left"/>
            </w:pPr>
            <w:r>
              <w:rPr>
                <w:rFonts w:ascii="Times New Roman" w:hAnsi="Times New Roman" w:eastAsia="Times New Roman"/>
                <w:color w:val="000000"/>
                <w:sz w:val="18"/>
              </w:rPr>
              <w:t>Course-level aggregate scores and response counts linked by hashed course ID</w:t>
            </w:r>
          </w:p>
        </w:tc>
        <w:tc>
          <w:tcPr>
            <w:tcW w:w="4100" w:type="dxa"/>
            <w:tcBorders>
              <w:top w:val="nil"/>
              <w:left w:val="nil"/>
              <w:bottom w:val="nil"/>
              <w:right w:val="nil"/>
            </w:tcBorders>
            <w:tcMar>
              <w:top w:w="80" w:type="dxa"/>
              <w:left w:w="80" w:type="dxa"/>
              <w:bottom w:w="80" w:type="dxa"/>
              <w:right w:w="80" w:type="dxa"/>
            </w:tcMar>
            <w:vAlign w:val="center"/>
          </w:tcPr>
          <w:p w14:paraId="6D21E412">
            <w:pPr>
              <w:spacing w:before="0" w:after="0" w:line="240" w:lineRule="auto"/>
              <w:jc w:val="left"/>
            </w:pPr>
            <w:r>
              <w:rPr>
                <w:rFonts w:ascii="Times New Roman" w:hAnsi="Times New Roman" w:eastAsia="Times New Roman"/>
                <w:color w:val="000000"/>
                <w:sz w:val="18"/>
              </w:rPr>
              <w:t>Restricted archive; aggregate summaries only</w:t>
            </w:r>
          </w:p>
        </w:tc>
      </w:tr>
      <w:tr w14:paraId="6075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3EA9C331">
            <w:pPr>
              <w:spacing w:before="0" w:after="0" w:line="240" w:lineRule="auto"/>
              <w:jc w:val="left"/>
            </w:pPr>
            <w:r>
              <w:rPr>
                <w:rFonts w:ascii="Times New Roman" w:hAnsi="Times New Roman" w:eastAsia="Times New Roman"/>
                <w:color w:val="000000"/>
                <w:sz w:val="18"/>
              </w:rPr>
              <w:t>Peer/supervisor and document coding</w:t>
            </w:r>
          </w:p>
        </w:tc>
        <w:tc>
          <w:tcPr>
            <w:tcW w:w="6700" w:type="dxa"/>
            <w:tcBorders>
              <w:top w:val="nil"/>
              <w:left w:val="nil"/>
              <w:bottom w:val="nil"/>
              <w:right w:val="nil"/>
            </w:tcBorders>
            <w:tcMar>
              <w:top w:w="80" w:type="dxa"/>
              <w:left w:w="80" w:type="dxa"/>
              <w:bottom w:w="80" w:type="dxa"/>
              <w:right w:w="80" w:type="dxa"/>
            </w:tcMar>
            <w:vAlign w:val="center"/>
          </w:tcPr>
          <w:p w14:paraId="67977B2F">
            <w:pPr>
              <w:spacing w:before="0" w:after="0" w:line="240" w:lineRule="auto"/>
              <w:jc w:val="left"/>
            </w:pPr>
            <w:r>
              <w:rPr>
                <w:rFonts w:ascii="Times New Roman" w:hAnsi="Times New Roman" w:eastAsia="Times New Roman"/>
                <w:color w:val="000000"/>
                <w:sz w:val="18"/>
              </w:rPr>
              <w:t>Course-level ratings, coder IDs, syllabus/activity/assessment/resource revision indicators</w:t>
            </w:r>
          </w:p>
        </w:tc>
        <w:tc>
          <w:tcPr>
            <w:tcW w:w="4100" w:type="dxa"/>
            <w:tcBorders>
              <w:top w:val="nil"/>
              <w:left w:val="nil"/>
              <w:bottom w:val="nil"/>
              <w:right w:val="nil"/>
            </w:tcBorders>
            <w:tcMar>
              <w:top w:w="80" w:type="dxa"/>
              <w:left w:w="80" w:type="dxa"/>
              <w:bottom w:w="80" w:type="dxa"/>
              <w:right w:w="80" w:type="dxa"/>
            </w:tcMar>
            <w:vAlign w:val="center"/>
          </w:tcPr>
          <w:p w14:paraId="771FDF4A">
            <w:pPr>
              <w:spacing w:before="0" w:after="0" w:line="240" w:lineRule="auto"/>
              <w:jc w:val="left"/>
            </w:pPr>
            <w:r>
              <w:rPr>
                <w:rFonts w:ascii="Times New Roman" w:hAnsi="Times New Roman" w:eastAsia="Times New Roman"/>
                <w:color w:val="000000"/>
                <w:sz w:val="18"/>
              </w:rPr>
              <w:t>Restricted archive</w:t>
            </w:r>
          </w:p>
        </w:tc>
      </w:tr>
      <w:tr w14:paraId="6111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041FB79E">
            <w:pPr>
              <w:spacing w:before="0" w:after="0" w:line="240" w:lineRule="auto"/>
              <w:jc w:val="left"/>
            </w:pPr>
            <w:r>
              <w:rPr>
                <w:rFonts w:ascii="Times New Roman" w:hAnsi="Times New Roman" w:eastAsia="Times New Roman"/>
                <w:color w:val="000000"/>
                <w:sz w:val="18"/>
              </w:rPr>
              <w:t>Fuzzy-membership syntax</w:t>
            </w:r>
          </w:p>
        </w:tc>
        <w:tc>
          <w:tcPr>
            <w:tcW w:w="6700" w:type="dxa"/>
            <w:tcBorders>
              <w:top w:val="nil"/>
              <w:left w:val="nil"/>
              <w:bottom w:val="nil"/>
              <w:right w:val="nil"/>
            </w:tcBorders>
            <w:tcMar>
              <w:top w:w="80" w:type="dxa"/>
              <w:left w:w="80" w:type="dxa"/>
              <w:bottom w:w="80" w:type="dxa"/>
              <w:right w:w="80" w:type="dxa"/>
            </w:tcMar>
            <w:vAlign w:val="center"/>
          </w:tcPr>
          <w:p w14:paraId="6A5E73C0">
            <w:pPr>
              <w:spacing w:before="0" w:after="0" w:line="240" w:lineRule="auto"/>
              <w:jc w:val="left"/>
            </w:pPr>
            <w:r>
              <w:rPr>
                <w:rFonts w:ascii="Times New Roman" w:hAnsi="Times New Roman" w:eastAsia="Times New Roman"/>
                <w:color w:val="000000"/>
                <w:sz w:val="18"/>
              </w:rPr>
              <w:t>Standardization rules, membership-function parameters, weights, profile aggregation, robustness alternatives</w:t>
            </w:r>
          </w:p>
        </w:tc>
        <w:tc>
          <w:tcPr>
            <w:tcW w:w="4100" w:type="dxa"/>
            <w:tcBorders>
              <w:top w:val="nil"/>
              <w:left w:val="nil"/>
              <w:bottom w:val="nil"/>
              <w:right w:val="nil"/>
            </w:tcBorders>
            <w:tcMar>
              <w:top w:w="80" w:type="dxa"/>
              <w:left w:w="80" w:type="dxa"/>
              <w:bottom w:w="80" w:type="dxa"/>
              <w:right w:w="80" w:type="dxa"/>
            </w:tcMar>
            <w:vAlign w:val="center"/>
          </w:tcPr>
          <w:p w14:paraId="0A2F4824">
            <w:pPr>
              <w:spacing w:before="0" w:after="0" w:line="240" w:lineRule="auto"/>
              <w:jc w:val="left"/>
            </w:pPr>
            <w:r>
              <w:rPr>
                <w:rFonts w:ascii="Times New Roman" w:hAnsi="Times New Roman" w:eastAsia="Times New Roman"/>
                <w:color w:val="000000"/>
                <w:sz w:val="18"/>
              </w:rPr>
              <w:t>Restricted; protocol public</w:t>
            </w:r>
          </w:p>
        </w:tc>
      </w:tr>
      <w:tr w14:paraId="1141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5D573321">
            <w:pPr>
              <w:spacing w:before="0" w:after="0" w:line="240" w:lineRule="auto"/>
              <w:jc w:val="left"/>
            </w:pPr>
            <w:r>
              <w:rPr>
                <w:rFonts w:ascii="Times New Roman" w:hAnsi="Times New Roman" w:eastAsia="Times New Roman"/>
                <w:color w:val="000000"/>
                <w:sz w:val="18"/>
              </w:rPr>
              <w:t>CFA/SEM/mediation/moderation logs</w:t>
            </w:r>
          </w:p>
        </w:tc>
        <w:tc>
          <w:tcPr>
            <w:tcW w:w="6700" w:type="dxa"/>
            <w:tcBorders>
              <w:top w:val="nil"/>
              <w:left w:val="nil"/>
              <w:bottom w:val="nil"/>
              <w:right w:val="nil"/>
            </w:tcBorders>
            <w:tcMar>
              <w:top w:w="80" w:type="dxa"/>
              <w:left w:w="80" w:type="dxa"/>
              <w:bottom w:w="80" w:type="dxa"/>
              <w:right w:w="80" w:type="dxa"/>
            </w:tcMar>
            <w:vAlign w:val="center"/>
          </w:tcPr>
          <w:p w14:paraId="359E4887">
            <w:pPr>
              <w:spacing w:before="0" w:after="0" w:line="240" w:lineRule="auto"/>
              <w:jc w:val="left"/>
            </w:pPr>
            <w:r>
              <w:rPr>
                <w:rFonts w:ascii="Times New Roman" w:hAnsi="Times New Roman" w:eastAsia="Times New Roman"/>
                <w:color w:val="000000"/>
                <w:sz w:val="18"/>
              </w:rPr>
              <w:t>Estimator, syntax, seed, resamples, fit indices, coefficients, confidence intervals</w:t>
            </w:r>
          </w:p>
        </w:tc>
        <w:tc>
          <w:tcPr>
            <w:tcW w:w="4100" w:type="dxa"/>
            <w:tcBorders>
              <w:top w:val="nil"/>
              <w:left w:val="nil"/>
              <w:bottom w:val="nil"/>
              <w:right w:val="nil"/>
            </w:tcBorders>
            <w:tcMar>
              <w:top w:w="80" w:type="dxa"/>
              <w:left w:w="80" w:type="dxa"/>
              <w:bottom w:w="80" w:type="dxa"/>
              <w:right w:w="80" w:type="dxa"/>
            </w:tcMar>
            <w:vAlign w:val="center"/>
          </w:tcPr>
          <w:p w14:paraId="2447678B">
            <w:pPr>
              <w:spacing w:before="0" w:after="0" w:line="240" w:lineRule="auto"/>
              <w:jc w:val="left"/>
            </w:pPr>
            <w:r>
              <w:rPr>
                <w:rFonts w:ascii="Times New Roman" w:hAnsi="Times New Roman" w:eastAsia="Times New Roman"/>
                <w:color w:val="000000"/>
                <w:sz w:val="18"/>
              </w:rPr>
              <w:t>Restricted; output register public</w:t>
            </w:r>
          </w:p>
        </w:tc>
      </w:tr>
      <w:tr w14:paraId="2F73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2CDC5FA9">
            <w:pPr>
              <w:spacing w:before="0" w:after="0" w:line="240" w:lineRule="auto"/>
              <w:jc w:val="left"/>
            </w:pPr>
            <w:r>
              <w:rPr>
                <w:rFonts w:ascii="Times New Roman" w:hAnsi="Times New Roman" w:eastAsia="Times New Roman"/>
                <w:color w:val="000000"/>
                <w:sz w:val="18"/>
              </w:rPr>
              <w:t>Robustness bundle</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565933D5">
            <w:pPr>
              <w:spacing w:before="0" w:after="0" w:line="240" w:lineRule="auto"/>
              <w:jc w:val="left"/>
            </w:pPr>
            <w:r>
              <w:rPr>
                <w:rFonts w:ascii="Times New Roman" w:hAnsi="Times New Roman" w:eastAsia="Times New Roman"/>
                <w:color w:val="000000"/>
                <w:sz w:val="18"/>
              </w:rPr>
              <w:t>Alternative membership functions, equal-weight model, multiple imputation, objective outcome models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7E5B0261">
            <w:pPr>
              <w:spacing w:before="0" w:after="0" w:line="240" w:lineRule="auto"/>
              <w:jc w:val="left"/>
            </w:pPr>
            <w:r>
              <w:rPr>
                <w:rFonts w:ascii="Times New Roman" w:hAnsi="Times New Roman" w:eastAsia="Times New Roman"/>
                <w:color w:val="000000"/>
                <w:sz w:val="18"/>
              </w:rPr>
              <w:t>Restricted; summary public</w:t>
            </w:r>
          </w:p>
        </w:tc>
      </w:tr>
    </w:tbl>
    <w:p w14:paraId="309A629C">
      <w:pPr>
        <w:spacing w:before="0" w:after="0" w:line="360" w:lineRule="auto"/>
        <w:jc w:val="both"/>
      </w:pPr>
      <w:r>
        <w:rPr>
          <w:rFonts w:ascii="Times New Roman" w:hAnsi="Times New Roman" w:eastAsia="Times New Roman"/>
          <w:i/>
          <w:color w:val="000000"/>
          <w:sz w:val="20"/>
        </w:rPr>
        <w:t>Note. The public supplement supports transparency; the restricted archive supports reproducibility where institutional ethics and data-use rules permit.</w:t>
      </w:r>
    </w:p>
    <w:p w14:paraId="2D8FA968">
      <w:pPr>
        <w:pStyle w:val="3"/>
        <w:spacing w:before="0" w:after="0" w:line="360" w:lineRule="auto"/>
        <w:jc w:val="both"/>
      </w:pPr>
      <w:r>
        <w:rPr>
          <w:rFonts w:ascii="Times New Roman" w:hAnsi="Times New Roman" w:eastAsia="Times New Roman"/>
          <w:b/>
          <w:color w:val="000000"/>
          <w:sz w:val="32"/>
        </w:rPr>
        <w:t>Supplement J. Manuscript Table-to-File Traceability Matrix</w:t>
      </w:r>
    </w:p>
    <w:p w14:paraId="11B7D44B">
      <w:pPr>
        <w:spacing w:before="0" w:after="0" w:line="360" w:lineRule="auto"/>
        <w:jc w:val="both"/>
      </w:pPr>
      <w:r>
        <w:rPr>
          <w:rFonts w:ascii="Times New Roman" w:hAnsi="Times New Roman" w:eastAsia="Times New Roman"/>
          <w:color w:val="000000"/>
          <w:sz w:val="24"/>
        </w:rPr>
        <w:t>The table below maps the revised main-manuscript tables to the underlying files and audit outputs expected for a high-quartile SSCI submission.</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719C2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57994B51">
            <w:pPr>
              <w:spacing w:before="0" w:after="0" w:line="240" w:lineRule="auto"/>
              <w:jc w:val="left"/>
            </w:pPr>
            <w:r>
              <w:rPr>
                <w:rFonts w:ascii="Times New Roman" w:hAnsi="Times New Roman" w:eastAsia="Times New Roman"/>
                <w:b/>
                <w:color w:val="000000"/>
                <w:sz w:val="18"/>
              </w:rPr>
              <w:t>Main table</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D8C9B85">
            <w:pPr>
              <w:spacing w:before="0" w:after="0" w:line="240" w:lineRule="auto"/>
              <w:jc w:val="left"/>
            </w:pPr>
            <w:r>
              <w:rPr>
                <w:rFonts w:ascii="Times New Roman" w:hAnsi="Times New Roman" w:eastAsia="Times New Roman"/>
                <w:b/>
                <w:color w:val="000000"/>
                <w:sz w:val="18"/>
              </w:rPr>
              <w:t>Empirical claim supported</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73341CCC">
            <w:pPr>
              <w:jc w:val="center"/>
            </w:pPr>
            <w:r>
              <w:rPr>
                <w:rFonts w:ascii="Times New Roman" w:hAnsi="Times New Roman" w:eastAsia="Times New Roman"/>
                <w:b w:val="0"/>
                <w:sz w:val="18"/>
              </w:rPr>
              <w:t>Underlying restricted audit record</w:t>
            </w:r>
          </w:p>
        </w:tc>
      </w:tr>
      <w:tr w14:paraId="68DC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30423660">
            <w:pPr>
              <w:spacing w:before="0" w:after="0" w:line="240" w:lineRule="auto"/>
              <w:jc w:val="left"/>
            </w:pPr>
            <w:r>
              <w:rPr>
                <w:rFonts w:ascii="Times New Roman" w:hAnsi="Times New Roman" w:eastAsia="Times New Roman"/>
                <w:color w:val="000000"/>
                <w:sz w:val="18"/>
              </w:rPr>
              <w:t>Table 4. Hypothesis testing summary</w:t>
            </w:r>
          </w:p>
        </w:tc>
        <w:tc>
          <w:tcPr>
            <w:tcW w:w="6700" w:type="dxa"/>
            <w:tcBorders>
              <w:top w:val="nil"/>
              <w:left w:val="nil"/>
              <w:bottom w:val="nil"/>
              <w:right w:val="nil"/>
            </w:tcBorders>
            <w:tcMar>
              <w:top w:w="80" w:type="dxa"/>
              <w:left w:w="80" w:type="dxa"/>
              <w:bottom w:w="80" w:type="dxa"/>
              <w:right w:w="80" w:type="dxa"/>
            </w:tcMar>
            <w:vAlign w:val="center"/>
          </w:tcPr>
          <w:p w14:paraId="459884F2">
            <w:pPr>
              <w:spacing w:before="0" w:after="0" w:line="240" w:lineRule="auto"/>
              <w:jc w:val="left"/>
            </w:pPr>
            <w:r>
              <w:rPr>
                <w:rFonts w:ascii="Times New Roman" w:hAnsi="Times New Roman" w:eastAsia="Times New Roman"/>
                <w:color w:val="000000"/>
                <w:sz w:val="18"/>
              </w:rPr>
              <w:t>Overall hypothesis decisions and consistency of the theoretical model</w:t>
            </w:r>
          </w:p>
        </w:tc>
        <w:tc>
          <w:tcPr>
            <w:tcW w:w="4100" w:type="dxa"/>
            <w:tcBorders>
              <w:top w:val="nil"/>
              <w:left w:val="nil"/>
              <w:bottom w:val="nil"/>
              <w:right w:val="nil"/>
            </w:tcBorders>
            <w:tcMar>
              <w:top w:w="80" w:type="dxa"/>
              <w:left w:w="80" w:type="dxa"/>
              <w:bottom w:w="80" w:type="dxa"/>
              <w:right w:w="80" w:type="dxa"/>
            </w:tcMar>
            <w:vAlign w:val="center"/>
          </w:tcPr>
          <w:p w14:paraId="0E76B051">
            <w:pPr>
              <w:jc w:val="center"/>
            </w:pPr>
            <w:r>
              <w:rPr>
                <w:rFonts w:ascii="Times New Roman" w:hAnsi="Times New Roman" w:eastAsia="Times New Roman"/>
                <w:b w:val="0"/>
                <w:sz w:val="18"/>
              </w:rPr>
              <w:t>Restricted hypothesis-decision and model-summary record</w:t>
            </w:r>
          </w:p>
        </w:tc>
      </w:tr>
      <w:tr w14:paraId="6328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0DC0617">
            <w:pPr>
              <w:spacing w:before="0" w:after="0" w:line="240" w:lineRule="auto"/>
              <w:jc w:val="left"/>
            </w:pPr>
            <w:r>
              <w:rPr>
                <w:rFonts w:ascii="Times New Roman" w:hAnsi="Times New Roman" w:eastAsia="Times New Roman"/>
                <w:color w:val="000000"/>
                <w:sz w:val="18"/>
              </w:rPr>
              <w:t>Table 5. Sample flow and attrition report</w:t>
            </w:r>
          </w:p>
        </w:tc>
        <w:tc>
          <w:tcPr>
            <w:tcW w:w="6700" w:type="dxa"/>
            <w:tcBorders>
              <w:top w:val="nil"/>
              <w:left w:val="nil"/>
              <w:bottom w:val="nil"/>
              <w:right w:val="nil"/>
            </w:tcBorders>
            <w:tcMar>
              <w:top w:w="80" w:type="dxa"/>
              <w:left w:w="80" w:type="dxa"/>
              <w:bottom w:w="80" w:type="dxa"/>
              <w:right w:w="80" w:type="dxa"/>
            </w:tcMar>
            <w:vAlign w:val="center"/>
          </w:tcPr>
          <w:p w14:paraId="650117C6">
            <w:pPr>
              <w:spacing w:before="0" w:after="0" w:line="240" w:lineRule="auto"/>
              <w:jc w:val="left"/>
            </w:pPr>
            <w:r>
              <w:rPr>
                <w:rFonts w:ascii="Times New Roman" w:hAnsi="Times New Roman" w:eastAsia="Times New Roman"/>
                <w:color w:val="000000"/>
                <w:sz w:val="18"/>
              </w:rPr>
              <w:t>Longitudinal retention and analytic sample construction</w:t>
            </w:r>
          </w:p>
        </w:tc>
        <w:tc>
          <w:tcPr>
            <w:tcW w:w="4100" w:type="dxa"/>
            <w:tcBorders>
              <w:top w:val="nil"/>
              <w:left w:val="nil"/>
              <w:bottom w:val="nil"/>
              <w:right w:val="nil"/>
            </w:tcBorders>
            <w:tcMar>
              <w:top w:w="80" w:type="dxa"/>
              <w:left w:w="80" w:type="dxa"/>
              <w:bottom w:w="80" w:type="dxa"/>
              <w:right w:w="80" w:type="dxa"/>
            </w:tcMar>
            <w:vAlign w:val="center"/>
          </w:tcPr>
          <w:p w14:paraId="02DDBC4B">
            <w:pPr>
              <w:jc w:val="center"/>
            </w:pPr>
            <w:r>
              <w:rPr>
                <w:rFonts w:ascii="Times New Roman" w:hAnsi="Times New Roman" w:eastAsia="Times New Roman"/>
                <w:b w:val="0"/>
                <w:sz w:val="18"/>
              </w:rPr>
              <w:t>Restricted attrition and analytic-sample record</w:t>
            </w:r>
          </w:p>
        </w:tc>
      </w:tr>
      <w:tr w14:paraId="4355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6F7D2AD">
            <w:pPr>
              <w:spacing w:before="0" w:after="0" w:line="240" w:lineRule="auto"/>
              <w:jc w:val="left"/>
            </w:pPr>
            <w:r>
              <w:rPr>
                <w:rFonts w:ascii="Times New Roman" w:hAnsi="Times New Roman" w:eastAsia="Times New Roman"/>
                <w:color w:val="000000"/>
                <w:sz w:val="18"/>
              </w:rPr>
              <w:t>Table 6. Baseline randomization balance</w:t>
            </w:r>
          </w:p>
        </w:tc>
        <w:tc>
          <w:tcPr>
            <w:tcW w:w="6700" w:type="dxa"/>
            <w:tcBorders>
              <w:top w:val="nil"/>
              <w:left w:val="nil"/>
              <w:bottom w:val="nil"/>
              <w:right w:val="nil"/>
            </w:tcBorders>
            <w:tcMar>
              <w:top w:w="80" w:type="dxa"/>
              <w:left w:w="80" w:type="dxa"/>
              <w:bottom w:w="80" w:type="dxa"/>
              <w:right w:w="80" w:type="dxa"/>
            </w:tcMar>
            <w:vAlign w:val="center"/>
          </w:tcPr>
          <w:p w14:paraId="3DE4963C">
            <w:pPr>
              <w:spacing w:before="0" w:after="0" w:line="240" w:lineRule="auto"/>
              <w:jc w:val="left"/>
            </w:pPr>
            <w:r>
              <w:rPr>
                <w:rFonts w:ascii="Times New Roman" w:hAnsi="Times New Roman" w:eastAsia="Times New Roman"/>
                <w:color w:val="000000"/>
                <w:sz w:val="18"/>
              </w:rPr>
              <w:t>Successful baseline equivalence across feedback conditions</w:t>
            </w:r>
          </w:p>
        </w:tc>
        <w:tc>
          <w:tcPr>
            <w:tcW w:w="4100" w:type="dxa"/>
            <w:tcBorders>
              <w:top w:val="nil"/>
              <w:left w:val="nil"/>
              <w:bottom w:val="nil"/>
              <w:right w:val="nil"/>
            </w:tcBorders>
            <w:tcMar>
              <w:top w:w="80" w:type="dxa"/>
              <w:left w:w="80" w:type="dxa"/>
              <w:bottom w:w="80" w:type="dxa"/>
              <w:right w:w="80" w:type="dxa"/>
            </w:tcMar>
            <w:vAlign w:val="center"/>
          </w:tcPr>
          <w:p w14:paraId="0FC0A1A4">
            <w:pPr>
              <w:jc w:val="center"/>
            </w:pPr>
            <w:r>
              <w:rPr>
                <w:rFonts w:ascii="Times New Roman" w:hAnsi="Times New Roman" w:eastAsia="Times New Roman"/>
                <w:b w:val="0"/>
                <w:sz w:val="18"/>
              </w:rPr>
              <w:t>Restricted randomization-balance record</w:t>
            </w:r>
          </w:p>
        </w:tc>
      </w:tr>
      <w:tr w14:paraId="194F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28C54850">
            <w:pPr>
              <w:spacing w:before="0" w:after="0" w:line="240" w:lineRule="auto"/>
              <w:jc w:val="left"/>
            </w:pPr>
            <w:r>
              <w:rPr>
                <w:rFonts w:ascii="Times New Roman" w:hAnsi="Times New Roman" w:eastAsia="Times New Roman"/>
                <w:color w:val="000000"/>
                <w:sz w:val="18"/>
              </w:rPr>
              <w:t>Table 7. Measurement model, reliability, and discriminant validity</w:t>
            </w:r>
          </w:p>
        </w:tc>
        <w:tc>
          <w:tcPr>
            <w:tcW w:w="6700" w:type="dxa"/>
            <w:tcBorders>
              <w:top w:val="nil"/>
              <w:left w:val="nil"/>
              <w:bottom w:val="nil"/>
              <w:right w:val="nil"/>
            </w:tcBorders>
            <w:tcMar>
              <w:top w:w="80" w:type="dxa"/>
              <w:left w:w="80" w:type="dxa"/>
              <w:bottom w:w="80" w:type="dxa"/>
              <w:right w:w="80" w:type="dxa"/>
            </w:tcMar>
            <w:vAlign w:val="center"/>
          </w:tcPr>
          <w:p w14:paraId="66C94874">
            <w:pPr>
              <w:spacing w:before="0" w:after="0" w:line="240" w:lineRule="auto"/>
              <w:jc w:val="left"/>
            </w:pPr>
            <w:r>
              <w:rPr>
                <w:rFonts w:ascii="Times New Roman" w:hAnsi="Times New Roman" w:eastAsia="Times New Roman"/>
                <w:color w:val="000000"/>
                <w:sz w:val="18"/>
              </w:rPr>
              <w:t>Reliability, convergent validity, discriminant validity, and CFA fit</w:t>
            </w:r>
          </w:p>
        </w:tc>
        <w:tc>
          <w:tcPr>
            <w:tcW w:w="4100" w:type="dxa"/>
            <w:tcBorders>
              <w:top w:val="nil"/>
              <w:left w:val="nil"/>
              <w:bottom w:val="nil"/>
              <w:right w:val="nil"/>
            </w:tcBorders>
            <w:tcMar>
              <w:top w:w="80" w:type="dxa"/>
              <w:left w:w="80" w:type="dxa"/>
              <w:bottom w:w="80" w:type="dxa"/>
              <w:right w:w="80" w:type="dxa"/>
            </w:tcMar>
            <w:vAlign w:val="center"/>
          </w:tcPr>
          <w:p w14:paraId="5C8AE070">
            <w:pPr>
              <w:spacing w:before="0" w:after="0" w:line="240" w:lineRule="auto"/>
              <w:jc w:val="left"/>
            </w:pPr>
            <w:r>
              <w:rPr>
                <w:rFonts w:ascii="Times New Roman" w:hAnsi="Times New Roman" w:eastAsia="Times New Roman"/>
                <w:color w:val="000000"/>
                <w:sz w:val="18"/>
              </w:rPr>
              <w:t>restricted CFA output; restricted reliability and HTMT output</w:t>
            </w:r>
          </w:p>
        </w:tc>
      </w:tr>
      <w:tr w14:paraId="073E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CD9338A">
            <w:pPr>
              <w:spacing w:before="0" w:after="0" w:line="240" w:lineRule="auto"/>
              <w:jc w:val="left"/>
            </w:pPr>
            <w:r>
              <w:rPr>
                <w:rFonts w:ascii="Times New Roman" w:hAnsi="Times New Roman" w:eastAsia="Times New Roman"/>
                <w:color w:val="000000"/>
                <w:sz w:val="18"/>
              </w:rPr>
              <w:t>Table 8. Treatment effects on psychological mediators</w:t>
            </w:r>
          </w:p>
        </w:tc>
        <w:tc>
          <w:tcPr>
            <w:tcW w:w="6700" w:type="dxa"/>
            <w:tcBorders>
              <w:top w:val="nil"/>
              <w:left w:val="nil"/>
              <w:bottom w:val="nil"/>
              <w:right w:val="nil"/>
            </w:tcBorders>
            <w:tcMar>
              <w:top w:w="80" w:type="dxa"/>
              <w:left w:w="80" w:type="dxa"/>
              <w:bottom w:w="80" w:type="dxa"/>
              <w:right w:w="80" w:type="dxa"/>
            </w:tcMar>
            <w:vAlign w:val="center"/>
          </w:tcPr>
          <w:p w14:paraId="4D0D328B">
            <w:pPr>
              <w:spacing w:before="0" w:after="0" w:line="240" w:lineRule="auto"/>
              <w:jc w:val="left"/>
            </w:pPr>
            <w:r>
              <w:rPr>
                <w:rFonts w:ascii="Times New Roman" w:hAnsi="Times New Roman" w:eastAsia="Times New Roman"/>
                <w:color w:val="000000"/>
                <w:sz w:val="18"/>
              </w:rPr>
              <w:t>Intention-to-treat effects on fairness, trust, anxiety, and usefulness</w:t>
            </w:r>
          </w:p>
        </w:tc>
        <w:tc>
          <w:tcPr>
            <w:tcW w:w="4100" w:type="dxa"/>
            <w:tcBorders>
              <w:top w:val="nil"/>
              <w:left w:val="nil"/>
              <w:bottom w:val="nil"/>
              <w:right w:val="nil"/>
            </w:tcBorders>
            <w:tcMar>
              <w:top w:w="80" w:type="dxa"/>
              <w:left w:w="80" w:type="dxa"/>
              <w:bottom w:w="80" w:type="dxa"/>
              <w:right w:w="80" w:type="dxa"/>
            </w:tcMar>
            <w:vAlign w:val="center"/>
          </w:tcPr>
          <w:p w14:paraId="3CAC9EC6">
            <w:pPr>
              <w:spacing w:before="0" w:after="0" w:line="240" w:lineRule="auto"/>
              <w:jc w:val="left"/>
            </w:pPr>
            <w:r>
              <w:rPr>
                <w:rFonts w:ascii="Times New Roman" w:hAnsi="Times New Roman" w:eastAsia="Times New Roman"/>
                <w:color w:val="000000"/>
                <w:sz w:val="18"/>
              </w:rPr>
              <w:t>restricted treatment-effect output</w:t>
            </w:r>
          </w:p>
        </w:tc>
      </w:tr>
      <w:tr w14:paraId="5477C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07221B16">
            <w:pPr>
              <w:spacing w:before="0" w:after="0" w:line="240" w:lineRule="auto"/>
              <w:jc w:val="left"/>
            </w:pPr>
            <w:r>
              <w:rPr>
                <w:rFonts w:ascii="Times New Roman" w:hAnsi="Times New Roman" w:eastAsia="Times New Roman"/>
                <w:color w:val="000000"/>
                <w:sz w:val="18"/>
              </w:rPr>
              <w:t>Table 9. Sequential mediation model</w:t>
            </w:r>
          </w:p>
        </w:tc>
        <w:tc>
          <w:tcPr>
            <w:tcW w:w="6700" w:type="dxa"/>
            <w:tcBorders>
              <w:top w:val="nil"/>
              <w:left w:val="nil"/>
              <w:bottom w:val="nil"/>
              <w:right w:val="nil"/>
            </w:tcBorders>
            <w:tcMar>
              <w:top w:w="80" w:type="dxa"/>
              <w:left w:w="80" w:type="dxa"/>
              <w:bottom w:w="80" w:type="dxa"/>
              <w:right w:w="80" w:type="dxa"/>
            </w:tcMar>
            <w:vAlign w:val="center"/>
          </w:tcPr>
          <w:p w14:paraId="09350B71">
            <w:pPr>
              <w:spacing w:before="0" w:after="0" w:line="240" w:lineRule="auto"/>
              <w:jc w:val="left"/>
            </w:pPr>
            <w:r>
              <w:rPr>
                <w:rFonts w:ascii="Times New Roman" w:hAnsi="Times New Roman" w:eastAsia="Times New Roman"/>
                <w:color w:val="000000"/>
                <w:sz w:val="18"/>
              </w:rPr>
              <w:t>Temporally ordered indirect-effect evidence</w:t>
            </w:r>
          </w:p>
        </w:tc>
        <w:tc>
          <w:tcPr>
            <w:tcW w:w="4100" w:type="dxa"/>
            <w:tcBorders>
              <w:top w:val="nil"/>
              <w:left w:val="nil"/>
              <w:bottom w:val="nil"/>
              <w:right w:val="nil"/>
            </w:tcBorders>
            <w:tcMar>
              <w:top w:w="80" w:type="dxa"/>
              <w:left w:w="80" w:type="dxa"/>
              <w:bottom w:w="80" w:type="dxa"/>
              <w:right w:w="80" w:type="dxa"/>
            </w:tcMar>
            <w:vAlign w:val="center"/>
          </w:tcPr>
          <w:p w14:paraId="0FDAE87D">
            <w:pPr>
              <w:spacing w:before="0" w:after="0" w:line="240" w:lineRule="auto"/>
              <w:jc w:val="left"/>
            </w:pPr>
            <w:r>
              <w:rPr>
                <w:rFonts w:ascii="Times New Roman" w:hAnsi="Times New Roman" w:eastAsia="Times New Roman"/>
                <w:color w:val="000000"/>
                <w:sz w:val="18"/>
              </w:rPr>
              <w:t>restricted mediation output</w:t>
            </w:r>
          </w:p>
        </w:tc>
      </w:tr>
      <w:tr w14:paraId="26FA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D92935A">
            <w:pPr>
              <w:spacing w:before="0" w:after="0" w:line="240" w:lineRule="auto"/>
              <w:jc w:val="left"/>
            </w:pPr>
            <w:r>
              <w:rPr>
                <w:rFonts w:ascii="Times New Roman" w:hAnsi="Times New Roman" w:eastAsia="Times New Roman"/>
                <w:color w:val="000000"/>
                <w:sz w:val="18"/>
              </w:rPr>
              <w:t>Table 10. Moderation and conditional indirect effects</w:t>
            </w:r>
          </w:p>
        </w:tc>
        <w:tc>
          <w:tcPr>
            <w:tcW w:w="6700" w:type="dxa"/>
            <w:tcBorders>
              <w:top w:val="nil"/>
              <w:left w:val="nil"/>
              <w:bottom w:val="nil"/>
              <w:right w:val="nil"/>
            </w:tcBorders>
            <w:tcMar>
              <w:top w:w="80" w:type="dxa"/>
              <w:left w:w="80" w:type="dxa"/>
              <w:bottom w:w="80" w:type="dxa"/>
              <w:right w:w="80" w:type="dxa"/>
            </w:tcMar>
            <w:vAlign w:val="center"/>
          </w:tcPr>
          <w:p w14:paraId="2CAA16B8">
            <w:pPr>
              <w:spacing w:before="0" w:after="0" w:line="240" w:lineRule="auto"/>
              <w:jc w:val="left"/>
            </w:pPr>
            <w:r>
              <w:rPr>
                <w:rFonts w:ascii="Times New Roman" w:hAnsi="Times New Roman" w:eastAsia="Times New Roman"/>
                <w:color w:val="000000"/>
                <w:sz w:val="18"/>
              </w:rPr>
              <w:t>Boundary conditions involving evaluation pressure and AI literacy</w:t>
            </w:r>
          </w:p>
        </w:tc>
        <w:tc>
          <w:tcPr>
            <w:tcW w:w="4100" w:type="dxa"/>
            <w:tcBorders>
              <w:top w:val="nil"/>
              <w:left w:val="nil"/>
              <w:bottom w:val="nil"/>
              <w:right w:val="nil"/>
            </w:tcBorders>
            <w:tcMar>
              <w:top w:w="80" w:type="dxa"/>
              <w:left w:w="80" w:type="dxa"/>
              <w:bottom w:w="80" w:type="dxa"/>
              <w:right w:w="80" w:type="dxa"/>
            </w:tcMar>
            <w:vAlign w:val="center"/>
          </w:tcPr>
          <w:p w14:paraId="2E7B529B">
            <w:pPr>
              <w:spacing w:before="0" w:after="0" w:line="240" w:lineRule="auto"/>
              <w:jc w:val="left"/>
            </w:pPr>
            <w:r>
              <w:rPr>
                <w:rFonts w:ascii="Times New Roman" w:hAnsi="Times New Roman" w:eastAsia="Times New Roman"/>
                <w:color w:val="000000"/>
                <w:sz w:val="18"/>
              </w:rPr>
              <w:t>restricted moderation output</w:t>
            </w:r>
          </w:p>
        </w:tc>
      </w:tr>
      <w:tr w14:paraId="2F6A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230D114C">
            <w:pPr>
              <w:spacing w:before="0" w:after="0" w:line="240" w:lineRule="auto"/>
              <w:jc w:val="left"/>
            </w:pPr>
            <w:r>
              <w:rPr>
                <w:rFonts w:ascii="Times New Roman" w:hAnsi="Times New Roman" w:eastAsia="Times New Roman"/>
                <w:color w:val="000000"/>
                <w:sz w:val="18"/>
              </w:rPr>
              <w:t>Table 11. Robustness and sensitivity checks</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178DC2C5">
            <w:pPr>
              <w:spacing w:before="0" w:after="0" w:line="240" w:lineRule="auto"/>
              <w:jc w:val="left"/>
            </w:pPr>
            <w:r>
              <w:rPr>
                <w:rFonts w:ascii="Times New Roman" w:hAnsi="Times New Roman" w:eastAsia="Times New Roman"/>
                <w:color w:val="000000"/>
                <w:sz w:val="18"/>
              </w:rPr>
              <w:t>Model dependence, missing data, and objective-indicator robustness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5952EEA1">
            <w:pPr>
              <w:spacing w:before="0" w:after="0" w:line="240" w:lineRule="auto"/>
              <w:jc w:val="left"/>
            </w:pPr>
            <w:r>
              <w:rPr>
                <w:rFonts w:ascii="Times New Roman" w:hAnsi="Times New Roman" w:eastAsia="Times New Roman"/>
                <w:color w:val="000000"/>
                <w:sz w:val="18"/>
              </w:rPr>
              <w:t>restricted robustness output</w:t>
            </w:r>
          </w:p>
        </w:tc>
      </w:tr>
    </w:tbl>
    <w:p w14:paraId="2B8CC3BD">
      <w:pPr>
        <w:spacing w:before="0" w:after="0" w:line="360" w:lineRule="auto"/>
        <w:jc w:val="both"/>
      </w:pPr>
      <w:r>
        <w:rPr>
          <w:rFonts w:ascii="Times New Roman" w:hAnsi="Times New Roman" w:eastAsia="Times New Roman"/>
          <w:i/>
          <w:color w:val="000000"/>
          <w:sz w:val="20"/>
        </w:rPr>
        <w:t>Note. The table numbers correspond to the revised main manuscript after moving the reproducibility package table to the supplement.</w:t>
      </w:r>
    </w:p>
    <w:p w14:paraId="68C199A0">
      <w:pPr>
        <w:pStyle w:val="3"/>
        <w:spacing w:before="0" w:after="0" w:line="360" w:lineRule="auto"/>
        <w:jc w:val="both"/>
      </w:pPr>
      <w:r>
        <w:rPr>
          <w:rFonts w:ascii="Times New Roman" w:hAnsi="Times New Roman" w:eastAsia="Times New Roman"/>
          <w:b/>
          <w:color w:val="000000"/>
          <w:sz w:val="32"/>
        </w:rPr>
        <w:t>Supplement K. Data Governance and Ethics Checklist</w:t>
      </w:r>
    </w:p>
    <w:p w14:paraId="701CE8E4">
      <w:pPr>
        <w:spacing w:before="0" w:after="0" w:line="360" w:lineRule="auto"/>
        <w:jc w:val="both"/>
      </w:pPr>
      <w:r>
        <w:rPr>
          <w:rFonts w:ascii="Times New Roman" w:hAnsi="Times New Roman" w:eastAsia="Times New Roman"/>
          <w:color w:val="000000"/>
          <w:sz w:val="24"/>
        </w:rPr>
        <w:t>Because the study uses sensitive educational records, the following checklist is retained with the submission files and completed internally by the author team as part of journal submission governance.</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02814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BEB4DEF">
            <w:pPr>
              <w:spacing w:before="0" w:after="0" w:line="240" w:lineRule="auto"/>
              <w:jc w:val="left"/>
            </w:pPr>
            <w:r>
              <w:rPr>
                <w:rFonts w:ascii="Times New Roman" w:hAnsi="Times New Roman" w:eastAsia="Times New Roman"/>
                <w:b/>
                <w:color w:val="000000"/>
                <w:sz w:val="18"/>
              </w:rPr>
              <w:t>Governance item</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0CD2900">
            <w:pPr>
              <w:spacing w:before="0" w:after="0" w:line="240" w:lineRule="auto"/>
              <w:jc w:val="left"/>
            </w:pPr>
            <w:r>
              <w:rPr>
                <w:rFonts w:ascii="Times New Roman" w:hAnsi="Times New Roman" w:eastAsia="Times New Roman"/>
                <w:b/>
                <w:color w:val="000000"/>
                <w:sz w:val="18"/>
              </w:rPr>
              <w:t>Required documentation</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0EDB4049">
            <w:pPr>
              <w:spacing w:before="0" w:after="0" w:line="240" w:lineRule="auto"/>
              <w:jc w:val="left"/>
            </w:pPr>
            <w:r>
              <w:rPr>
                <w:rFonts w:ascii="Times New Roman" w:hAnsi="Times New Roman" w:eastAsia="Times New Roman"/>
                <w:b/>
                <w:color w:val="000000"/>
                <w:sz w:val="18"/>
              </w:rPr>
              <w:t>Recommended handling</w:t>
            </w:r>
          </w:p>
        </w:tc>
      </w:tr>
      <w:tr w14:paraId="2A0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03D07B30">
            <w:pPr>
              <w:spacing w:before="0" w:after="0" w:line="240" w:lineRule="auto"/>
              <w:jc w:val="left"/>
            </w:pPr>
            <w:r>
              <w:rPr>
                <w:rFonts w:ascii="Times New Roman" w:hAnsi="Times New Roman" w:eastAsia="Times New Roman"/>
                <w:color w:val="000000"/>
                <w:sz w:val="18"/>
              </w:rPr>
              <w:t>Institutional authorization</w:t>
            </w:r>
          </w:p>
        </w:tc>
        <w:tc>
          <w:tcPr>
            <w:tcW w:w="6700" w:type="dxa"/>
            <w:tcBorders>
              <w:top w:val="nil"/>
              <w:left w:val="nil"/>
              <w:bottom w:val="nil"/>
              <w:right w:val="nil"/>
            </w:tcBorders>
            <w:tcMar>
              <w:top w:w="80" w:type="dxa"/>
              <w:left w:w="80" w:type="dxa"/>
              <w:bottom w:w="80" w:type="dxa"/>
              <w:right w:w="80" w:type="dxa"/>
            </w:tcMar>
            <w:vAlign w:val="center"/>
          </w:tcPr>
          <w:p>
            <w:r>
              <w:t>Approval by the Institutional Review Board of Stanford University (IRB Protocol #77490; approval date: June 25, 2025) for the teacher-participant research.</w:t>
            </w:r>
          </w:p>
        </w:tc>
        <w:tc>
          <w:tcPr>
            <w:tcW w:w="4100" w:type="dxa"/>
            <w:tcBorders>
              <w:top w:val="nil"/>
              <w:left w:val="nil"/>
              <w:bottom w:val="nil"/>
              <w:right w:val="nil"/>
            </w:tcBorders>
            <w:tcMar>
              <w:top w:w="80" w:type="dxa"/>
              <w:left w:w="80" w:type="dxa"/>
              <w:bottom w:w="80" w:type="dxa"/>
              <w:right w:w="80" w:type="dxa"/>
            </w:tcMar>
            <w:vAlign w:val="center"/>
          </w:tcPr>
          <w:p>
            <w:r>
              <w:t>Report the committee name, protocol number, approval date, relevant-guidelines statement, and informed-consent statement in the Methods and Declarations.</w:t>
            </w:r>
          </w:p>
        </w:tc>
      </w:tr>
      <w:tr w14:paraId="4358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09422B03">
            <w:pPr>
              <w:spacing w:before="0" w:after="0" w:line="240" w:lineRule="auto"/>
              <w:jc w:val="left"/>
            </w:pPr>
            <w:r>
              <w:rPr>
                <w:rFonts w:ascii="Times New Roman" w:hAnsi="Times New Roman" w:eastAsia="Times New Roman"/>
                <w:color w:val="000000"/>
                <w:sz w:val="18"/>
              </w:rPr>
              <w:t>Informed consent</w:t>
            </w:r>
          </w:p>
        </w:tc>
        <w:tc>
          <w:tcPr>
            <w:tcW w:w="6700" w:type="dxa"/>
            <w:tcBorders>
              <w:top w:val="nil"/>
              <w:left w:val="nil"/>
              <w:bottom w:val="nil"/>
              <w:right w:val="nil"/>
            </w:tcBorders>
            <w:tcMar>
              <w:top w:w="80" w:type="dxa"/>
              <w:left w:w="80" w:type="dxa"/>
              <w:bottom w:w="80" w:type="dxa"/>
              <w:right w:w="80" w:type="dxa"/>
            </w:tcMar>
            <w:vAlign w:val="center"/>
          </w:tcPr>
          <w:p>
            <w:r>
              <w:t>Teacher participation was voluntary and informed consent was obtained before T1; students were not recruited as research participants and only de-identified course-level aggregate student-evaluation records were used.</w:t>
            </w:r>
          </w:p>
        </w:tc>
        <w:tc>
          <w:tcPr>
            <w:tcW w:w="4100" w:type="dxa"/>
            <w:tcBorders>
              <w:top w:val="nil"/>
              <w:left w:val="nil"/>
              <w:bottom w:val="nil"/>
              <w:right w:val="nil"/>
            </w:tcBorders>
            <w:tcMar>
              <w:top w:w="80" w:type="dxa"/>
              <w:left w:w="80" w:type="dxa"/>
              <w:bottom w:w="80" w:type="dxa"/>
              <w:right w:w="80" w:type="dxa"/>
            </w:tcMar>
            <w:vAlign w:val="center"/>
          </w:tcPr>
          <w:p w14:paraId="71E3607A">
            <w:pPr>
              <w:spacing w:before="0" w:after="0" w:line="240" w:lineRule="auto"/>
              <w:jc w:val="left"/>
            </w:pPr>
            <w:r>
              <w:rPr>
                <w:rFonts w:ascii="Times New Roman" w:hAnsi="Times New Roman" w:eastAsia="Times New Roman"/>
                <w:color w:val="000000"/>
                <w:sz w:val="18"/>
              </w:rPr>
              <w:t>Retain consent script; do not publish signatures or identifiable logs</w:t>
            </w:r>
          </w:p>
        </w:tc>
      </w:tr>
      <w:tr w14:paraId="2FC9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287E51AE">
            <w:pPr>
              <w:spacing w:before="0" w:after="0" w:line="240" w:lineRule="auto"/>
              <w:jc w:val="left"/>
            </w:pPr>
            <w:r>
              <w:rPr>
                <w:rFonts w:ascii="Times New Roman" w:hAnsi="Times New Roman" w:eastAsia="Times New Roman"/>
                <w:color w:val="000000"/>
                <w:sz w:val="18"/>
              </w:rPr>
              <w:t>De-identification</w:t>
            </w:r>
          </w:p>
        </w:tc>
        <w:tc>
          <w:tcPr>
            <w:tcW w:w="6700" w:type="dxa"/>
            <w:tcBorders>
              <w:top w:val="nil"/>
              <w:left w:val="nil"/>
              <w:bottom w:val="nil"/>
              <w:right w:val="nil"/>
            </w:tcBorders>
            <w:tcMar>
              <w:top w:w="80" w:type="dxa"/>
              <w:left w:w="80" w:type="dxa"/>
              <w:bottom w:w="80" w:type="dxa"/>
              <w:right w:w="80" w:type="dxa"/>
            </w:tcMar>
            <w:vAlign w:val="center"/>
          </w:tcPr>
          <w:p w14:paraId="0336AB67">
            <w:pPr>
              <w:spacing w:before="0" w:after="0" w:line="240" w:lineRule="auto"/>
              <w:jc w:val="left"/>
            </w:pPr>
            <w:r>
              <w:rPr>
                <w:rFonts w:ascii="Times New Roman" w:hAnsi="Times New Roman" w:eastAsia="Times New Roman"/>
                <w:color w:val="000000"/>
                <w:sz w:val="18"/>
              </w:rPr>
              <w:t>Hashing method, removal of names/student IDs/course sections where identifiable, suppression of small cells</w:t>
            </w:r>
          </w:p>
        </w:tc>
        <w:tc>
          <w:tcPr>
            <w:tcW w:w="4100" w:type="dxa"/>
            <w:tcBorders>
              <w:top w:val="nil"/>
              <w:left w:val="nil"/>
              <w:bottom w:val="nil"/>
              <w:right w:val="nil"/>
            </w:tcBorders>
            <w:tcMar>
              <w:top w:w="80" w:type="dxa"/>
              <w:left w:w="80" w:type="dxa"/>
              <w:bottom w:w="80" w:type="dxa"/>
              <w:right w:w="80" w:type="dxa"/>
            </w:tcMar>
            <w:vAlign w:val="center"/>
          </w:tcPr>
          <w:p w14:paraId="0B4B2795">
            <w:pPr>
              <w:spacing w:before="0" w:after="0" w:line="240" w:lineRule="auto"/>
              <w:jc w:val="left"/>
            </w:pPr>
            <w:r>
              <w:rPr>
                <w:rFonts w:ascii="Times New Roman" w:hAnsi="Times New Roman" w:eastAsia="Times New Roman"/>
                <w:color w:val="000000"/>
                <w:sz w:val="18"/>
              </w:rPr>
              <w:t>Retain de-identification protocol</w:t>
            </w:r>
          </w:p>
        </w:tc>
      </w:tr>
      <w:tr w14:paraId="7BAF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508C0C5">
            <w:pPr>
              <w:spacing w:before="0" w:after="0" w:line="240" w:lineRule="auto"/>
              <w:jc w:val="left"/>
            </w:pPr>
            <w:r>
              <w:rPr>
                <w:rFonts w:ascii="Times New Roman" w:hAnsi="Times New Roman" w:eastAsia="Times New Roman"/>
                <w:color w:val="000000"/>
                <w:sz w:val="18"/>
              </w:rPr>
              <w:t>Data minimization</w:t>
            </w:r>
          </w:p>
        </w:tc>
        <w:tc>
          <w:tcPr>
            <w:tcW w:w="6700" w:type="dxa"/>
            <w:tcBorders>
              <w:top w:val="nil"/>
              <w:left w:val="nil"/>
              <w:bottom w:val="nil"/>
              <w:right w:val="nil"/>
            </w:tcBorders>
            <w:tcMar>
              <w:top w:w="80" w:type="dxa"/>
              <w:left w:w="80" w:type="dxa"/>
              <w:bottom w:w="80" w:type="dxa"/>
              <w:right w:w="80" w:type="dxa"/>
            </w:tcMar>
            <w:vAlign w:val="center"/>
          </w:tcPr>
          <w:p w14:paraId="5F3046D0">
            <w:pPr>
              <w:spacing w:before="0" w:after="0" w:line="240" w:lineRule="auto"/>
              <w:jc w:val="left"/>
            </w:pPr>
            <w:r>
              <w:rPr>
                <w:rFonts w:ascii="Times New Roman" w:hAnsi="Times New Roman" w:eastAsia="Times New Roman"/>
                <w:color w:val="000000"/>
                <w:sz w:val="18"/>
              </w:rPr>
              <w:t>Justification for collecting only variables needed for the hypotheses and controls</w:t>
            </w:r>
          </w:p>
        </w:tc>
        <w:tc>
          <w:tcPr>
            <w:tcW w:w="4100" w:type="dxa"/>
            <w:tcBorders>
              <w:top w:val="nil"/>
              <w:left w:val="nil"/>
              <w:bottom w:val="nil"/>
              <w:right w:val="nil"/>
            </w:tcBorders>
            <w:tcMar>
              <w:top w:w="80" w:type="dxa"/>
              <w:left w:w="80" w:type="dxa"/>
              <w:bottom w:w="80" w:type="dxa"/>
              <w:right w:w="80" w:type="dxa"/>
            </w:tcMar>
            <w:vAlign w:val="center"/>
          </w:tcPr>
          <w:p w14:paraId="474C96E3">
            <w:pPr>
              <w:spacing w:before="0" w:after="0" w:line="240" w:lineRule="auto"/>
              <w:jc w:val="left"/>
            </w:pPr>
            <w:r>
              <w:rPr>
                <w:rFonts w:ascii="Times New Roman" w:hAnsi="Times New Roman" w:eastAsia="Times New Roman"/>
                <w:color w:val="000000"/>
                <w:sz w:val="18"/>
              </w:rPr>
              <w:t>Document in codebook</w:t>
            </w:r>
          </w:p>
        </w:tc>
      </w:tr>
      <w:tr w14:paraId="0780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7FF99FA">
            <w:pPr>
              <w:spacing w:before="0" w:after="0" w:line="240" w:lineRule="auto"/>
              <w:jc w:val="left"/>
            </w:pPr>
            <w:r>
              <w:rPr>
                <w:rFonts w:ascii="Times New Roman" w:hAnsi="Times New Roman" w:eastAsia="Times New Roman"/>
                <w:color w:val="000000"/>
                <w:sz w:val="18"/>
              </w:rPr>
              <w:t>Access control</w:t>
            </w:r>
          </w:p>
        </w:tc>
        <w:tc>
          <w:tcPr>
            <w:tcW w:w="6700" w:type="dxa"/>
            <w:tcBorders>
              <w:top w:val="nil"/>
              <w:left w:val="nil"/>
              <w:bottom w:val="nil"/>
              <w:right w:val="nil"/>
            </w:tcBorders>
            <w:tcMar>
              <w:top w:w="80" w:type="dxa"/>
              <w:left w:w="80" w:type="dxa"/>
              <w:bottom w:w="80" w:type="dxa"/>
              <w:right w:w="80" w:type="dxa"/>
            </w:tcMar>
            <w:vAlign w:val="center"/>
          </w:tcPr>
          <w:p w14:paraId="787718E3">
            <w:pPr>
              <w:spacing w:before="0" w:after="0" w:line="240" w:lineRule="auto"/>
              <w:jc w:val="left"/>
            </w:pPr>
            <w:r>
              <w:rPr>
                <w:rFonts w:ascii="Times New Roman" w:hAnsi="Times New Roman" w:eastAsia="Times New Roman"/>
                <w:color w:val="000000"/>
                <w:sz w:val="18"/>
              </w:rPr>
              <w:t>List of authorized researchers and storage location for restricted files</w:t>
            </w:r>
          </w:p>
        </w:tc>
        <w:tc>
          <w:tcPr>
            <w:tcW w:w="4100" w:type="dxa"/>
            <w:tcBorders>
              <w:top w:val="nil"/>
              <w:left w:val="nil"/>
              <w:bottom w:val="nil"/>
              <w:right w:val="nil"/>
            </w:tcBorders>
            <w:tcMar>
              <w:top w:w="80" w:type="dxa"/>
              <w:left w:w="80" w:type="dxa"/>
              <w:bottom w:w="80" w:type="dxa"/>
              <w:right w:w="80" w:type="dxa"/>
            </w:tcMar>
            <w:vAlign w:val="center"/>
          </w:tcPr>
          <w:p w14:paraId="25BF4DBB">
            <w:pPr>
              <w:spacing w:before="0" w:after="0" w:line="240" w:lineRule="auto"/>
              <w:jc w:val="left"/>
            </w:pPr>
            <w:r>
              <w:rPr>
                <w:rFonts w:ascii="Times New Roman" w:hAnsi="Times New Roman" w:eastAsia="Times New Roman"/>
                <w:color w:val="000000"/>
                <w:sz w:val="18"/>
              </w:rPr>
              <w:t>Retain internally</w:t>
            </w:r>
          </w:p>
        </w:tc>
      </w:tr>
      <w:tr w14:paraId="6461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29BC0977">
            <w:pPr>
              <w:spacing w:before="0" w:after="0" w:line="240" w:lineRule="auto"/>
              <w:jc w:val="left"/>
            </w:pPr>
            <w:r>
              <w:rPr>
                <w:rFonts w:ascii="Times New Roman" w:hAnsi="Times New Roman" w:eastAsia="Times New Roman"/>
                <w:color w:val="000000"/>
                <w:sz w:val="18"/>
              </w:rPr>
              <w:t>Public sharing limits</w:t>
            </w:r>
          </w:p>
        </w:tc>
        <w:tc>
          <w:tcPr>
            <w:tcW w:w="6700" w:type="dxa"/>
            <w:tcBorders>
              <w:top w:val="nil"/>
              <w:left w:val="nil"/>
              <w:bottom w:val="nil"/>
              <w:right w:val="nil"/>
            </w:tcBorders>
            <w:tcMar>
              <w:top w:w="80" w:type="dxa"/>
              <w:left w:w="80" w:type="dxa"/>
              <w:bottom w:w="80" w:type="dxa"/>
              <w:right w:w="80" w:type="dxa"/>
            </w:tcMar>
            <w:vAlign w:val="center"/>
          </w:tcPr>
          <w:p w14:paraId="2F7BE82F">
            <w:pPr>
              <w:spacing w:before="0" w:after="0" w:line="240" w:lineRule="auto"/>
              <w:jc w:val="left"/>
            </w:pPr>
            <w:r>
              <w:rPr>
                <w:rFonts w:ascii="Times New Roman" w:hAnsi="Times New Roman" w:eastAsia="Times New Roman"/>
                <w:color w:val="000000"/>
                <w:sz w:val="18"/>
              </w:rPr>
              <w:t>Reason raw teacher/student/course records cannot be public</w:t>
            </w:r>
          </w:p>
        </w:tc>
        <w:tc>
          <w:tcPr>
            <w:tcW w:w="4100" w:type="dxa"/>
            <w:tcBorders>
              <w:top w:val="nil"/>
              <w:left w:val="nil"/>
              <w:bottom w:val="nil"/>
              <w:right w:val="nil"/>
            </w:tcBorders>
            <w:tcMar>
              <w:top w:w="80" w:type="dxa"/>
              <w:left w:w="80" w:type="dxa"/>
              <w:bottom w:w="80" w:type="dxa"/>
              <w:right w:w="80" w:type="dxa"/>
            </w:tcMar>
            <w:vAlign w:val="center"/>
          </w:tcPr>
          <w:p w14:paraId="75AE8472">
            <w:pPr>
              <w:spacing w:before="0" w:after="0" w:line="240" w:lineRule="auto"/>
              <w:jc w:val="left"/>
            </w:pPr>
            <w:r>
              <w:rPr>
                <w:rFonts w:ascii="Times New Roman" w:hAnsi="Times New Roman" w:eastAsia="Times New Roman"/>
                <w:color w:val="000000"/>
                <w:sz w:val="18"/>
              </w:rPr>
              <w:t>Report in data availability statement</w:t>
            </w:r>
          </w:p>
        </w:tc>
      </w:tr>
      <w:tr w14:paraId="406B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3A3244B5">
            <w:pPr>
              <w:spacing w:before="0" w:after="0" w:line="240" w:lineRule="auto"/>
              <w:jc w:val="left"/>
            </w:pPr>
            <w:r>
              <w:rPr>
                <w:rFonts w:ascii="Times New Roman" w:hAnsi="Times New Roman" w:eastAsia="Times New Roman"/>
                <w:color w:val="000000"/>
                <w:sz w:val="18"/>
              </w:rPr>
              <w:t>Editorial audit readiness</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611FE38A">
            <w:pPr>
              <w:spacing w:before="0" w:after="0" w:line="240" w:lineRule="auto"/>
              <w:jc w:val="left"/>
            </w:pPr>
            <w:r>
              <w:rPr>
                <w:rFonts w:ascii="Times New Roman" w:hAnsi="Times New Roman" w:eastAsia="Times New Roman"/>
                <w:color w:val="000000"/>
                <w:sz w:val="18"/>
              </w:rPr>
              <w:t>Location of model logs, syntax, randomization records, and output files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097AE238">
            <w:pPr>
              <w:spacing w:before="0" w:after="0" w:line="240" w:lineRule="auto"/>
              <w:jc w:val="left"/>
            </w:pPr>
            <w:r>
              <w:rPr>
                <w:rFonts w:ascii="Times New Roman" w:hAnsi="Times New Roman" w:eastAsia="Times New Roman"/>
                <w:color w:val="000000"/>
                <w:sz w:val="18"/>
              </w:rPr>
              <w:t>Retain in restricted archive</w:t>
            </w:r>
          </w:p>
        </w:tc>
      </w:tr>
    </w:tbl>
    <w:p w14:paraId="35D17188">
      <w:pPr>
        <w:spacing w:before="0" w:after="0" w:line="360" w:lineRule="auto"/>
        <w:jc w:val="both"/>
      </w:pPr>
      <w:r>
        <w:rPr>
          <w:rFonts w:ascii="Times New Roman" w:hAnsi="Times New Roman" w:eastAsia="Times New Roman"/>
          <w:i/>
          <w:color w:val="000000"/>
          <w:sz w:val="20"/>
        </w:rPr>
        <w:t>Note. If the target journal requires an ethics approval number, the corresponding author reports the official institutional identifier in the submission system or title-page declarations.</w:t>
      </w:r>
    </w:p>
    <w:p w14:paraId="2F019C90">
      <w:pPr>
        <w:pStyle w:val="3"/>
        <w:spacing w:before="0" w:after="0" w:line="360" w:lineRule="auto"/>
        <w:jc w:val="both"/>
      </w:pPr>
      <w:r>
        <w:rPr>
          <w:rFonts w:ascii="Times New Roman" w:hAnsi="Times New Roman" w:eastAsia="Times New Roman"/>
          <w:b/>
          <w:color w:val="000000"/>
          <w:sz w:val="32"/>
        </w:rPr>
        <w:t>Supplement L. Condensed Main-Text Rationale Moved to Supplement</w:t>
      </w:r>
    </w:p>
    <w:p w14:paraId="7DA9F82B">
      <w:pPr>
        <w:spacing w:before="0" w:after="0" w:line="360" w:lineRule="auto"/>
        <w:jc w:val="both"/>
      </w:pPr>
      <w:r>
        <w:rPr>
          <w:rFonts w:ascii="Times New Roman" w:hAnsi="Times New Roman" w:eastAsia="Times New Roman"/>
          <w:color w:val="000000"/>
          <w:sz w:val="24"/>
        </w:rPr>
        <w:t>The revised manuscript moves detailed implementation and reproducibility discussion out of the main text. The retained rationale is that explainable fuzzy assessment is not only a scoring technique: it is a feedback design that makes evidence, weights, category boundaries, uncertainty, and recommended actions inspectable. This supports procedural fairness and calibrated trust while avoiding the overclaim that mediation analysis definitively proves a mechanism.</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747A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42CBB001">
            <w:pPr>
              <w:spacing w:before="0" w:after="0" w:line="240" w:lineRule="auto"/>
              <w:jc w:val="left"/>
            </w:pPr>
            <w:r>
              <w:rPr>
                <w:rFonts w:ascii="Times New Roman" w:hAnsi="Times New Roman" w:eastAsia="Times New Roman"/>
                <w:b/>
                <w:color w:val="000000"/>
                <w:sz w:val="18"/>
              </w:rPr>
              <w:t>Main-text issue reduced</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1EED0982">
            <w:pPr>
              <w:spacing w:before="0" w:after="0" w:line="240" w:lineRule="auto"/>
              <w:jc w:val="left"/>
            </w:pPr>
            <w:r>
              <w:rPr>
                <w:rFonts w:ascii="Times New Roman" w:hAnsi="Times New Roman" w:eastAsia="Times New Roman"/>
                <w:b/>
                <w:color w:val="000000"/>
                <w:sz w:val="18"/>
              </w:rPr>
              <w:t>Where support appears in supplement</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31F2955B">
            <w:pPr>
              <w:spacing w:before="0" w:after="0" w:line="240" w:lineRule="auto"/>
              <w:jc w:val="left"/>
            </w:pPr>
            <w:r>
              <w:rPr>
                <w:rFonts w:ascii="Times New Roman" w:hAnsi="Times New Roman" w:eastAsia="Times New Roman"/>
                <w:b/>
                <w:color w:val="000000"/>
                <w:sz w:val="18"/>
              </w:rPr>
              <w:t>Purpose</w:t>
            </w:r>
          </w:p>
        </w:tc>
      </w:tr>
      <w:tr w14:paraId="1E5E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1081CD03">
            <w:pPr>
              <w:spacing w:before="0" w:after="0" w:line="240" w:lineRule="auto"/>
              <w:jc w:val="left"/>
            </w:pPr>
            <w:r>
              <w:rPr>
                <w:rFonts w:ascii="Times New Roman" w:hAnsi="Times New Roman" w:eastAsia="Times New Roman"/>
                <w:color w:val="000000"/>
                <w:sz w:val="18"/>
              </w:rPr>
              <w:t>Detailed reproducibility package</w:t>
            </w:r>
          </w:p>
        </w:tc>
        <w:tc>
          <w:tcPr>
            <w:tcW w:w="6700" w:type="dxa"/>
            <w:tcBorders>
              <w:top w:val="nil"/>
              <w:left w:val="nil"/>
              <w:bottom w:val="nil"/>
              <w:right w:val="nil"/>
            </w:tcBorders>
            <w:tcMar>
              <w:top w:w="80" w:type="dxa"/>
              <w:left w:w="80" w:type="dxa"/>
              <w:bottom w:w="80" w:type="dxa"/>
              <w:right w:w="80" w:type="dxa"/>
            </w:tcMar>
            <w:vAlign w:val="center"/>
          </w:tcPr>
          <w:p w14:paraId="2BFD209E">
            <w:pPr>
              <w:spacing w:before="0" w:after="0" w:line="240" w:lineRule="auto"/>
              <w:jc w:val="left"/>
            </w:pPr>
            <w:r>
              <w:rPr>
                <w:rFonts w:ascii="Times New Roman" w:hAnsi="Times New Roman" w:eastAsia="Times New Roman"/>
                <w:color w:val="000000"/>
                <w:sz w:val="18"/>
              </w:rPr>
              <w:t>Supplements A, F, I, and J</w:t>
            </w:r>
          </w:p>
        </w:tc>
        <w:tc>
          <w:tcPr>
            <w:tcW w:w="4100" w:type="dxa"/>
            <w:tcBorders>
              <w:top w:val="nil"/>
              <w:left w:val="nil"/>
              <w:bottom w:val="nil"/>
              <w:right w:val="nil"/>
            </w:tcBorders>
            <w:tcMar>
              <w:top w:w="80" w:type="dxa"/>
              <w:left w:w="80" w:type="dxa"/>
              <w:bottom w:w="80" w:type="dxa"/>
              <w:right w:w="80" w:type="dxa"/>
            </w:tcMar>
            <w:vAlign w:val="center"/>
          </w:tcPr>
          <w:p w14:paraId="7B1AEDD7">
            <w:pPr>
              <w:spacing w:before="0" w:after="0" w:line="240" w:lineRule="auto"/>
              <w:jc w:val="left"/>
            </w:pPr>
            <w:r>
              <w:rPr>
                <w:rFonts w:ascii="Times New Roman" w:hAnsi="Times New Roman" w:eastAsia="Times New Roman"/>
                <w:color w:val="000000"/>
                <w:sz w:val="18"/>
              </w:rPr>
              <w:t>Keeps main method concise while documenting audit materials</w:t>
            </w:r>
          </w:p>
        </w:tc>
      </w:tr>
      <w:tr w14:paraId="1ADF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7BBF9E40">
            <w:pPr>
              <w:spacing w:before="0" w:after="0" w:line="240" w:lineRule="auto"/>
              <w:jc w:val="left"/>
            </w:pPr>
            <w:r>
              <w:rPr>
                <w:rFonts w:ascii="Times New Roman" w:hAnsi="Times New Roman" w:eastAsia="Times New Roman"/>
                <w:color w:val="000000"/>
                <w:sz w:val="18"/>
              </w:rPr>
              <w:t>Survey item wording</w:t>
            </w:r>
          </w:p>
        </w:tc>
        <w:tc>
          <w:tcPr>
            <w:tcW w:w="6700" w:type="dxa"/>
            <w:tcBorders>
              <w:top w:val="nil"/>
              <w:left w:val="nil"/>
              <w:bottom w:val="nil"/>
              <w:right w:val="nil"/>
            </w:tcBorders>
            <w:tcMar>
              <w:top w:w="80" w:type="dxa"/>
              <w:left w:w="80" w:type="dxa"/>
              <w:bottom w:w="80" w:type="dxa"/>
              <w:right w:w="80" w:type="dxa"/>
            </w:tcMar>
            <w:vAlign w:val="center"/>
          </w:tcPr>
          <w:p w14:paraId="3537CA7B">
            <w:pPr>
              <w:spacing w:before="0" w:after="0" w:line="240" w:lineRule="auto"/>
              <w:jc w:val="left"/>
            </w:pPr>
            <w:r>
              <w:rPr>
                <w:rFonts w:ascii="Times New Roman" w:hAnsi="Times New Roman" w:eastAsia="Times New Roman"/>
                <w:color w:val="000000"/>
                <w:sz w:val="18"/>
              </w:rPr>
              <w:t>Supplement B</w:t>
            </w:r>
          </w:p>
        </w:tc>
        <w:tc>
          <w:tcPr>
            <w:tcW w:w="4100" w:type="dxa"/>
            <w:tcBorders>
              <w:top w:val="nil"/>
              <w:left w:val="nil"/>
              <w:bottom w:val="nil"/>
              <w:right w:val="nil"/>
            </w:tcBorders>
            <w:tcMar>
              <w:top w:w="80" w:type="dxa"/>
              <w:left w:w="80" w:type="dxa"/>
              <w:bottom w:w="80" w:type="dxa"/>
              <w:right w:w="80" w:type="dxa"/>
            </w:tcMar>
            <w:vAlign w:val="center"/>
          </w:tcPr>
          <w:p w14:paraId="507CB507">
            <w:pPr>
              <w:spacing w:before="0" w:after="0" w:line="240" w:lineRule="auto"/>
              <w:jc w:val="left"/>
            </w:pPr>
            <w:r>
              <w:rPr>
                <w:rFonts w:ascii="Times New Roman" w:hAnsi="Times New Roman" w:eastAsia="Times New Roman"/>
                <w:color w:val="000000"/>
                <w:sz w:val="18"/>
              </w:rPr>
              <w:t>Supports construct validity and replication</w:t>
            </w:r>
          </w:p>
        </w:tc>
      </w:tr>
      <w:tr w14:paraId="59E4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FA07D05">
            <w:pPr>
              <w:spacing w:before="0" w:after="0" w:line="240" w:lineRule="auto"/>
              <w:jc w:val="left"/>
            </w:pPr>
            <w:r>
              <w:rPr>
                <w:rFonts w:ascii="Times New Roman" w:hAnsi="Times New Roman" w:eastAsia="Times New Roman"/>
                <w:color w:val="000000"/>
                <w:sz w:val="18"/>
              </w:rPr>
              <w:t>Feedback report architecture</w:t>
            </w:r>
          </w:p>
        </w:tc>
        <w:tc>
          <w:tcPr>
            <w:tcW w:w="6700" w:type="dxa"/>
            <w:tcBorders>
              <w:top w:val="nil"/>
              <w:left w:val="nil"/>
              <w:bottom w:val="nil"/>
              <w:right w:val="nil"/>
            </w:tcBorders>
            <w:tcMar>
              <w:top w:w="80" w:type="dxa"/>
              <w:left w:w="80" w:type="dxa"/>
              <w:bottom w:w="80" w:type="dxa"/>
              <w:right w:w="80" w:type="dxa"/>
            </w:tcMar>
            <w:vAlign w:val="center"/>
          </w:tcPr>
          <w:p w14:paraId="39C55399">
            <w:pPr>
              <w:spacing w:before="0" w:after="0" w:line="240" w:lineRule="auto"/>
              <w:jc w:val="left"/>
            </w:pPr>
            <w:r>
              <w:rPr>
                <w:rFonts w:ascii="Times New Roman" w:hAnsi="Times New Roman" w:eastAsia="Times New Roman"/>
                <w:color w:val="000000"/>
                <w:sz w:val="18"/>
              </w:rPr>
              <w:t>Supplement C</w:t>
            </w:r>
          </w:p>
        </w:tc>
        <w:tc>
          <w:tcPr>
            <w:tcW w:w="4100" w:type="dxa"/>
            <w:tcBorders>
              <w:top w:val="nil"/>
              <w:left w:val="nil"/>
              <w:bottom w:val="nil"/>
              <w:right w:val="nil"/>
            </w:tcBorders>
            <w:tcMar>
              <w:top w:w="80" w:type="dxa"/>
              <w:left w:w="80" w:type="dxa"/>
              <w:bottom w:w="80" w:type="dxa"/>
              <w:right w:w="80" w:type="dxa"/>
            </w:tcMar>
            <w:vAlign w:val="center"/>
          </w:tcPr>
          <w:p w14:paraId="4D0ED682">
            <w:pPr>
              <w:spacing w:before="0" w:after="0" w:line="240" w:lineRule="auto"/>
              <w:jc w:val="left"/>
            </w:pPr>
            <w:r>
              <w:rPr>
                <w:rFonts w:ascii="Times New Roman" w:hAnsi="Times New Roman" w:eastAsia="Times New Roman"/>
                <w:color w:val="000000"/>
                <w:sz w:val="18"/>
              </w:rPr>
              <w:t>Clarifies treatment contrast without overloading the intervention section</w:t>
            </w:r>
          </w:p>
        </w:tc>
      </w:tr>
      <w:tr w14:paraId="015B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2FAA7DD">
            <w:pPr>
              <w:spacing w:before="0" w:after="0" w:line="240" w:lineRule="auto"/>
              <w:jc w:val="left"/>
            </w:pPr>
            <w:r>
              <w:rPr>
                <w:rFonts w:ascii="Times New Roman" w:hAnsi="Times New Roman" w:eastAsia="Times New Roman"/>
                <w:color w:val="000000"/>
                <w:sz w:val="18"/>
              </w:rPr>
              <w:t>Fuzzy calculation details</w:t>
            </w:r>
          </w:p>
        </w:tc>
        <w:tc>
          <w:tcPr>
            <w:tcW w:w="6700" w:type="dxa"/>
            <w:tcBorders>
              <w:top w:val="nil"/>
              <w:left w:val="nil"/>
              <w:bottom w:val="nil"/>
              <w:right w:val="nil"/>
            </w:tcBorders>
            <w:tcMar>
              <w:top w:w="80" w:type="dxa"/>
              <w:left w:w="80" w:type="dxa"/>
              <w:bottom w:w="80" w:type="dxa"/>
              <w:right w:w="80" w:type="dxa"/>
            </w:tcMar>
            <w:vAlign w:val="center"/>
          </w:tcPr>
          <w:p w14:paraId="6BC8E1F9">
            <w:pPr>
              <w:spacing w:before="0" w:after="0" w:line="240" w:lineRule="auto"/>
              <w:jc w:val="left"/>
            </w:pPr>
            <w:r>
              <w:rPr>
                <w:rFonts w:ascii="Times New Roman" w:hAnsi="Times New Roman" w:eastAsia="Times New Roman"/>
                <w:color w:val="000000"/>
                <w:sz w:val="18"/>
              </w:rPr>
              <w:t>Supplement E</w:t>
            </w:r>
          </w:p>
        </w:tc>
        <w:tc>
          <w:tcPr>
            <w:tcW w:w="4100" w:type="dxa"/>
            <w:tcBorders>
              <w:top w:val="nil"/>
              <w:left w:val="nil"/>
              <w:bottom w:val="nil"/>
              <w:right w:val="nil"/>
            </w:tcBorders>
            <w:tcMar>
              <w:top w:w="80" w:type="dxa"/>
              <w:left w:w="80" w:type="dxa"/>
              <w:bottom w:w="80" w:type="dxa"/>
              <w:right w:w="80" w:type="dxa"/>
            </w:tcMar>
            <w:vAlign w:val="center"/>
          </w:tcPr>
          <w:p w14:paraId="2BE4B783">
            <w:pPr>
              <w:spacing w:before="0" w:after="0" w:line="240" w:lineRule="auto"/>
              <w:jc w:val="left"/>
            </w:pPr>
            <w:r>
              <w:rPr>
                <w:rFonts w:ascii="Times New Roman" w:hAnsi="Times New Roman" w:eastAsia="Times New Roman"/>
                <w:color w:val="000000"/>
                <w:sz w:val="18"/>
              </w:rPr>
              <w:t>Preserves technical flavor and reproducibility</w:t>
            </w:r>
          </w:p>
        </w:tc>
      </w:tr>
      <w:tr w14:paraId="4125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05033FF0">
            <w:pPr>
              <w:spacing w:before="0" w:after="0" w:line="240" w:lineRule="auto"/>
              <w:jc w:val="left"/>
            </w:pPr>
            <w:r>
              <w:rPr>
                <w:rFonts w:ascii="Times New Roman" w:hAnsi="Times New Roman" w:eastAsia="Times New Roman"/>
                <w:color w:val="000000"/>
                <w:sz w:val="18"/>
              </w:rPr>
              <w:t>Restricted data and ethics rationale</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48B5AADE">
            <w:pPr>
              <w:spacing w:before="0" w:after="0" w:line="240" w:lineRule="auto"/>
              <w:jc w:val="left"/>
            </w:pPr>
            <w:r>
              <w:rPr>
                <w:rFonts w:ascii="Times New Roman" w:hAnsi="Times New Roman" w:eastAsia="Times New Roman"/>
                <w:color w:val="000000"/>
                <w:sz w:val="18"/>
              </w:rPr>
              <w:t>Supplements H and K</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0F1DDB7B">
            <w:pPr>
              <w:spacing w:before="0" w:after="0" w:line="240" w:lineRule="auto"/>
              <w:jc w:val="left"/>
            </w:pPr>
            <w:r>
              <w:rPr>
                <w:rFonts w:ascii="Times New Roman" w:hAnsi="Times New Roman" w:eastAsia="Times New Roman"/>
                <w:color w:val="000000"/>
                <w:sz w:val="18"/>
              </w:rPr>
              <w:t>Explains why raw education records are not public</w:t>
            </w:r>
          </w:p>
        </w:tc>
      </w:tr>
    </w:tbl>
    <w:p w14:paraId="092EFDE8">
      <w:pPr>
        <w:pStyle w:val="3"/>
        <w:spacing w:before="0" w:after="0" w:line="360" w:lineRule="auto"/>
        <w:jc w:val="both"/>
      </w:pPr>
      <w:r>
        <w:rPr>
          <w:rFonts w:ascii="Times New Roman" w:hAnsi="Times New Roman" w:eastAsia="Times New Roman"/>
          <w:b/>
          <w:color w:val="000000"/>
          <w:sz w:val="32"/>
        </w:rPr>
        <w:t>Supplement M. Measurement and Validity Audit Detail</w:t>
      </w:r>
    </w:p>
    <w:p w14:paraId="5A6F7C8F">
      <w:pPr>
        <w:spacing w:before="0" w:after="0" w:line="360" w:lineRule="auto"/>
        <w:jc w:val="both"/>
      </w:pPr>
      <w:r>
        <w:rPr>
          <w:rFonts w:ascii="Times New Roman" w:hAnsi="Times New Roman" w:eastAsia="Times New Roman"/>
          <w:color w:val="000000"/>
          <w:sz w:val="24"/>
        </w:rPr>
        <w:t>This supplement expands the measurement evidence summarized in the main manuscript and clarifies how construct overlap was controlled.</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0E19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2D28FA3">
            <w:pPr>
              <w:spacing w:before="0" w:after="0" w:line="240" w:lineRule="auto"/>
              <w:jc w:val="left"/>
            </w:pPr>
            <w:r>
              <w:rPr>
                <w:rFonts w:ascii="Times New Roman" w:hAnsi="Times New Roman" w:eastAsia="Times New Roman"/>
                <w:b/>
                <w:color w:val="000000"/>
                <w:sz w:val="18"/>
              </w:rPr>
              <w:t>Measurement issue</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17637E96">
            <w:pPr>
              <w:spacing w:before="0" w:after="0" w:line="240" w:lineRule="auto"/>
              <w:jc w:val="left"/>
            </w:pPr>
            <w:r>
              <w:rPr>
                <w:rFonts w:ascii="Times New Roman" w:hAnsi="Times New Roman" w:eastAsia="Times New Roman"/>
                <w:b/>
                <w:color w:val="000000"/>
                <w:sz w:val="18"/>
              </w:rPr>
              <w:t>Audit procedure</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35D6C47E">
            <w:pPr>
              <w:spacing w:before="0" w:after="0" w:line="240" w:lineRule="auto"/>
              <w:jc w:val="left"/>
            </w:pPr>
            <w:r>
              <w:rPr>
                <w:rFonts w:ascii="Times New Roman" w:hAnsi="Times New Roman" w:eastAsia="Times New Roman"/>
                <w:b/>
                <w:color w:val="000000"/>
                <w:sz w:val="18"/>
              </w:rPr>
              <w:t>Decision rule or reporting standard</w:t>
            </w:r>
          </w:p>
        </w:tc>
      </w:tr>
      <w:tr w14:paraId="5F02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7A38009F">
            <w:pPr>
              <w:spacing w:before="0" w:after="0" w:line="240" w:lineRule="auto"/>
              <w:jc w:val="left"/>
            </w:pPr>
            <w:r>
              <w:rPr>
                <w:rFonts w:ascii="Times New Roman" w:hAnsi="Times New Roman" w:eastAsia="Times New Roman"/>
                <w:color w:val="000000"/>
                <w:sz w:val="18"/>
              </w:rPr>
              <w:t>Translation and contextualization</w:t>
            </w:r>
          </w:p>
        </w:tc>
        <w:tc>
          <w:tcPr>
            <w:tcW w:w="6700" w:type="dxa"/>
            <w:tcBorders>
              <w:top w:val="nil"/>
              <w:left w:val="nil"/>
              <w:bottom w:val="nil"/>
              <w:right w:val="nil"/>
            </w:tcBorders>
            <w:tcMar>
              <w:top w:w="80" w:type="dxa"/>
              <w:left w:w="80" w:type="dxa"/>
              <w:bottom w:w="80" w:type="dxa"/>
              <w:right w:w="80" w:type="dxa"/>
            </w:tcMar>
            <w:vAlign w:val="center"/>
          </w:tcPr>
          <w:p w14:paraId="3B533042">
            <w:pPr>
              <w:spacing w:before="0" w:after="0" w:line="240" w:lineRule="auto"/>
              <w:jc w:val="left"/>
            </w:pPr>
            <w:r>
              <w:rPr>
                <w:rFonts w:ascii="Times New Roman" w:hAnsi="Times New Roman" w:eastAsia="Times New Roman"/>
                <w:color w:val="000000"/>
                <w:sz w:val="18"/>
              </w:rPr>
              <w:t>Chinese items reviewed for semantic equivalence and teaching-evaluation relevance</w:t>
            </w:r>
          </w:p>
        </w:tc>
        <w:tc>
          <w:tcPr>
            <w:tcW w:w="4100" w:type="dxa"/>
            <w:tcBorders>
              <w:top w:val="nil"/>
              <w:left w:val="nil"/>
              <w:bottom w:val="nil"/>
              <w:right w:val="nil"/>
            </w:tcBorders>
            <w:tcMar>
              <w:top w:w="80" w:type="dxa"/>
              <w:left w:w="80" w:type="dxa"/>
              <w:bottom w:w="80" w:type="dxa"/>
              <w:right w:w="80" w:type="dxa"/>
            </w:tcMar>
            <w:vAlign w:val="center"/>
          </w:tcPr>
          <w:p w14:paraId="30292079">
            <w:pPr>
              <w:spacing w:before="0" w:after="0" w:line="240" w:lineRule="auto"/>
              <w:jc w:val="left"/>
            </w:pPr>
            <w:r>
              <w:rPr>
                <w:rFonts w:ascii="Times New Roman" w:hAnsi="Times New Roman" w:eastAsia="Times New Roman"/>
                <w:color w:val="000000"/>
                <w:sz w:val="18"/>
              </w:rPr>
              <w:t>Retain items that preserve construct meaning and avoid institution-specific jargon</w:t>
            </w:r>
          </w:p>
        </w:tc>
      </w:tr>
      <w:tr w14:paraId="0A83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230D5D62">
            <w:pPr>
              <w:spacing w:before="0" w:after="0" w:line="240" w:lineRule="auto"/>
              <w:jc w:val="left"/>
            </w:pPr>
            <w:r>
              <w:rPr>
                <w:rFonts w:ascii="Times New Roman" w:hAnsi="Times New Roman" w:eastAsia="Times New Roman"/>
                <w:color w:val="000000"/>
                <w:sz w:val="18"/>
              </w:rPr>
              <w:t>Internal consistency</w:t>
            </w:r>
          </w:p>
        </w:tc>
        <w:tc>
          <w:tcPr>
            <w:tcW w:w="6700" w:type="dxa"/>
            <w:tcBorders>
              <w:top w:val="nil"/>
              <w:left w:val="nil"/>
              <w:bottom w:val="nil"/>
              <w:right w:val="nil"/>
            </w:tcBorders>
            <w:tcMar>
              <w:top w:w="80" w:type="dxa"/>
              <w:left w:w="80" w:type="dxa"/>
              <w:bottom w:w="80" w:type="dxa"/>
              <w:right w:w="80" w:type="dxa"/>
            </w:tcMar>
            <w:vAlign w:val="center"/>
          </w:tcPr>
          <w:p w14:paraId="489218CC">
            <w:pPr>
              <w:spacing w:before="0" w:after="0" w:line="240" w:lineRule="auto"/>
              <w:jc w:val="left"/>
            </w:pPr>
            <w:r>
              <w:rPr>
                <w:rFonts w:ascii="Times New Roman" w:hAnsi="Times New Roman" w:eastAsia="Times New Roman"/>
                <w:color w:val="000000"/>
                <w:sz w:val="18"/>
              </w:rPr>
              <w:t>Cronbach alpha and McDonald omega calculated for each latent construct</w:t>
            </w:r>
          </w:p>
        </w:tc>
        <w:tc>
          <w:tcPr>
            <w:tcW w:w="4100" w:type="dxa"/>
            <w:tcBorders>
              <w:top w:val="nil"/>
              <w:left w:val="nil"/>
              <w:bottom w:val="nil"/>
              <w:right w:val="nil"/>
            </w:tcBorders>
            <w:tcMar>
              <w:top w:w="80" w:type="dxa"/>
              <w:left w:w="80" w:type="dxa"/>
              <w:bottom w:w="80" w:type="dxa"/>
              <w:right w:w="80" w:type="dxa"/>
            </w:tcMar>
            <w:vAlign w:val="center"/>
          </w:tcPr>
          <w:p w14:paraId="257F23C6">
            <w:pPr>
              <w:spacing w:before="0" w:after="0" w:line="240" w:lineRule="auto"/>
              <w:jc w:val="left"/>
            </w:pPr>
            <w:r>
              <w:rPr>
                <w:rFonts w:ascii="Times New Roman" w:hAnsi="Times New Roman" w:eastAsia="Times New Roman"/>
                <w:color w:val="000000"/>
                <w:sz w:val="18"/>
              </w:rPr>
              <w:t>Report both indices; avoid deleting items solely to inflate reliability</w:t>
            </w:r>
          </w:p>
        </w:tc>
      </w:tr>
      <w:tr w14:paraId="3EE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7E70FAF6">
            <w:pPr>
              <w:spacing w:before="0" w:after="0" w:line="240" w:lineRule="auto"/>
              <w:jc w:val="left"/>
            </w:pPr>
            <w:r>
              <w:rPr>
                <w:rFonts w:ascii="Times New Roman" w:hAnsi="Times New Roman" w:eastAsia="Times New Roman"/>
                <w:color w:val="000000"/>
                <w:sz w:val="18"/>
              </w:rPr>
              <w:t>Convergent validity</w:t>
            </w:r>
          </w:p>
        </w:tc>
        <w:tc>
          <w:tcPr>
            <w:tcW w:w="6700" w:type="dxa"/>
            <w:tcBorders>
              <w:top w:val="nil"/>
              <w:left w:val="nil"/>
              <w:bottom w:val="nil"/>
              <w:right w:val="nil"/>
            </w:tcBorders>
            <w:tcMar>
              <w:top w:w="80" w:type="dxa"/>
              <w:left w:w="80" w:type="dxa"/>
              <w:bottom w:w="80" w:type="dxa"/>
              <w:right w:w="80" w:type="dxa"/>
            </w:tcMar>
            <w:vAlign w:val="center"/>
          </w:tcPr>
          <w:p w14:paraId="46FE0787">
            <w:pPr>
              <w:spacing w:before="0" w:after="0" w:line="240" w:lineRule="auto"/>
              <w:jc w:val="left"/>
            </w:pPr>
            <w:r>
              <w:rPr>
                <w:rFonts w:ascii="Times New Roman" w:hAnsi="Times New Roman" w:eastAsia="Times New Roman"/>
                <w:color w:val="000000"/>
                <w:sz w:val="18"/>
              </w:rPr>
              <w:t>Standardized loadings, CR, and AVE examined</w:t>
            </w:r>
          </w:p>
        </w:tc>
        <w:tc>
          <w:tcPr>
            <w:tcW w:w="4100" w:type="dxa"/>
            <w:tcBorders>
              <w:top w:val="nil"/>
              <w:left w:val="nil"/>
              <w:bottom w:val="nil"/>
              <w:right w:val="nil"/>
            </w:tcBorders>
            <w:tcMar>
              <w:top w:w="80" w:type="dxa"/>
              <w:left w:w="80" w:type="dxa"/>
              <w:bottom w:w="80" w:type="dxa"/>
              <w:right w:w="80" w:type="dxa"/>
            </w:tcMar>
            <w:vAlign w:val="center"/>
          </w:tcPr>
          <w:p w14:paraId="29D82038">
            <w:pPr>
              <w:spacing w:before="0" w:after="0" w:line="240" w:lineRule="auto"/>
              <w:jc w:val="left"/>
            </w:pPr>
            <w:r>
              <w:rPr>
                <w:rFonts w:ascii="Times New Roman" w:hAnsi="Times New Roman" w:eastAsia="Times New Roman"/>
                <w:color w:val="000000"/>
                <w:sz w:val="18"/>
              </w:rPr>
              <w:t>Loadings and AVE interpreted with theory and item content</w:t>
            </w:r>
          </w:p>
        </w:tc>
      </w:tr>
      <w:tr w14:paraId="5273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07A24DDA">
            <w:pPr>
              <w:spacing w:before="0" w:after="0" w:line="240" w:lineRule="auto"/>
              <w:jc w:val="left"/>
            </w:pPr>
            <w:r>
              <w:rPr>
                <w:rFonts w:ascii="Times New Roman" w:hAnsi="Times New Roman" w:eastAsia="Times New Roman"/>
                <w:color w:val="000000"/>
                <w:sz w:val="18"/>
              </w:rPr>
              <w:t>Discriminant validity</w:t>
            </w:r>
          </w:p>
        </w:tc>
        <w:tc>
          <w:tcPr>
            <w:tcW w:w="6700" w:type="dxa"/>
            <w:tcBorders>
              <w:top w:val="nil"/>
              <w:left w:val="nil"/>
              <w:bottom w:val="nil"/>
              <w:right w:val="nil"/>
            </w:tcBorders>
            <w:tcMar>
              <w:top w:w="80" w:type="dxa"/>
              <w:left w:w="80" w:type="dxa"/>
              <w:bottom w:w="80" w:type="dxa"/>
              <w:right w:w="80" w:type="dxa"/>
            </w:tcMar>
            <w:vAlign w:val="center"/>
          </w:tcPr>
          <w:p w14:paraId="1DC637B9">
            <w:pPr>
              <w:spacing w:before="0" w:after="0" w:line="240" w:lineRule="auto"/>
              <w:jc w:val="left"/>
            </w:pPr>
            <w:r>
              <w:rPr>
                <w:rFonts w:ascii="Times New Roman" w:hAnsi="Times New Roman" w:eastAsia="Times New Roman"/>
                <w:color w:val="000000"/>
                <w:sz w:val="18"/>
              </w:rPr>
              <w:t>HTMT ratios examined for construct pairs</w:t>
            </w:r>
          </w:p>
        </w:tc>
        <w:tc>
          <w:tcPr>
            <w:tcW w:w="4100" w:type="dxa"/>
            <w:tcBorders>
              <w:top w:val="nil"/>
              <w:left w:val="nil"/>
              <w:bottom w:val="nil"/>
              <w:right w:val="nil"/>
            </w:tcBorders>
            <w:tcMar>
              <w:top w:w="80" w:type="dxa"/>
              <w:left w:w="80" w:type="dxa"/>
              <w:bottom w:w="80" w:type="dxa"/>
              <w:right w:w="80" w:type="dxa"/>
            </w:tcMar>
            <w:vAlign w:val="center"/>
          </w:tcPr>
          <w:p w14:paraId="7BC9317B">
            <w:pPr>
              <w:spacing w:before="0" w:after="0" w:line="240" w:lineRule="auto"/>
              <w:jc w:val="left"/>
            </w:pPr>
            <w:r>
              <w:rPr>
                <w:rFonts w:ascii="Times New Roman" w:hAnsi="Times New Roman" w:eastAsia="Times New Roman"/>
                <w:color w:val="000000"/>
                <w:sz w:val="18"/>
              </w:rPr>
              <w:t>Special attention to procedural fairness versus calibrated trust and uptake versus improvement</w:t>
            </w:r>
          </w:p>
        </w:tc>
      </w:tr>
      <w:tr w14:paraId="6450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283A23FC">
            <w:pPr>
              <w:spacing w:before="0" w:after="0" w:line="240" w:lineRule="auto"/>
              <w:jc w:val="left"/>
            </w:pPr>
            <w:r>
              <w:rPr>
                <w:rFonts w:ascii="Times New Roman" w:hAnsi="Times New Roman" w:eastAsia="Times New Roman"/>
                <w:color w:val="000000"/>
                <w:sz w:val="18"/>
              </w:rPr>
              <w:t>Measurement invariance</w:t>
            </w:r>
          </w:p>
        </w:tc>
        <w:tc>
          <w:tcPr>
            <w:tcW w:w="6700" w:type="dxa"/>
            <w:tcBorders>
              <w:top w:val="nil"/>
              <w:left w:val="nil"/>
              <w:bottom w:val="nil"/>
              <w:right w:val="nil"/>
            </w:tcBorders>
            <w:tcMar>
              <w:top w:w="80" w:type="dxa"/>
              <w:left w:w="80" w:type="dxa"/>
              <w:bottom w:w="80" w:type="dxa"/>
              <w:right w:w="80" w:type="dxa"/>
            </w:tcMar>
            <w:vAlign w:val="center"/>
          </w:tcPr>
          <w:p w14:paraId="2BAF0B89">
            <w:pPr>
              <w:spacing w:before="0" w:after="0" w:line="240" w:lineRule="auto"/>
              <w:jc w:val="left"/>
            </w:pPr>
            <w:r>
              <w:rPr>
                <w:rFonts w:ascii="Times New Roman" w:hAnsi="Times New Roman" w:eastAsia="Times New Roman"/>
                <w:color w:val="000000"/>
                <w:sz w:val="18"/>
              </w:rPr>
              <w:t>Configural and metric invariance checked across feedback conditions and discipline clusters where sample size permits</w:t>
            </w:r>
          </w:p>
        </w:tc>
        <w:tc>
          <w:tcPr>
            <w:tcW w:w="4100" w:type="dxa"/>
            <w:tcBorders>
              <w:top w:val="nil"/>
              <w:left w:val="nil"/>
              <w:bottom w:val="nil"/>
              <w:right w:val="nil"/>
            </w:tcBorders>
            <w:tcMar>
              <w:top w:w="80" w:type="dxa"/>
              <w:left w:w="80" w:type="dxa"/>
              <w:bottom w:w="80" w:type="dxa"/>
              <w:right w:w="80" w:type="dxa"/>
            </w:tcMar>
            <w:vAlign w:val="center"/>
          </w:tcPr>
          <w:p w14:paraId="6EEFC42D">
            <w:pPr>
              <w:spacing w:before="0" w:after="0" w:line="240" w:lineRule="auto"/>
              <w:jc w:val="left"/>
            </w:pPr>
            <w:r>
              <w:rPr>
                <w:rFonts w:ascii="Times New Roman" w:hAnsi="Times New Roman" w:eastAsia="Times New Roman"/>
                <w:color w:val="000000"/>
                <w:sz w:val="18"/>
              </w:rPr>
              <w:t>Interpret group comparisons only at supported invariance levels</w:t>
            </w:r>
          </w:p>
        </w:tc>
      </w:tr>
      <w:tr w14:paraId="726F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19FC834E">
            <w:pPr>
              <w:spacing w:before="0" w:after="0" w:line="240" w:lineRule="auto"/>
              <w:jc w:val="left"/>
            </w:pPr>
            <w:r>
              <w:rPr>
                <w:rFonts w:ascii="Times New Roman" w:hAnsi="Times New Roman" w:eastAsia="Times New Roman"/>
                <w:color w:val="000000"/>
                <w:sz w:val="18"/>
              </w:rPr>
              <w:t>Common method concern</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6C13AB90">
            <w:pPr>
              <w:spacing w:before="0" w:after="0" w:line="240" w:lineRule="auto"/>
              <w:jc w:val="left"/>
            </w:pPr>
            <w:r>
              <w:rPr>
                <w:rFonts w:ascii="Times New Roman" w:hAnsi="Times New Roman" w:eastAsia="Times New Roman"/>
                <w:color w:val="000000"/>
                <w:sz w:val="18"/>
              </w:rPr>
              <w:t>Survey measures triangulated with document coding, student-evaluation aggregates, and peer/supervisor indicators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1FC5D1D1">
            <w:pPr>
              <w:spacing w:before="0" w:after="0" w:line="240" w:lineRule="auto"/>
              <w:jc w:val="left"/>
            </w:pPr>
            <w:r>
              <w:rPr>
                <w:rFonts w:ascii="Times New Roman" w:hAnsi="Times New Roman" w:eastAsia="Times New Roman"/>
                <w:color w:val="000000"/>
                <w:sz w:val="18"/>
              </w:rPr>
              <w:t>Give strongest weight to patterns consistent across data sources</w:t>
            </w:r>
          </w:p>
        </w:tc>
      </w:tr>
    </w:tbl>
    <w:p w14:paraId="7A752EE9">
      <w:pPr>
        <w:spacing w:before="0" w:after="0" w:line="360" w:lineRule="auto"/>
        <w:jc w:val="both"/>
      </w:pPr>
      <w:r>
        <w:rPr>
          <w:rFonts w:ascii="Times New Roman" w:hAnsi="Times New Roman" w:eastAsia="Times New Roman"/>
          <w:i/>
          <w:color w:val="000000"/>
          <w:sz w:val="20"/>
        </w:rPr>
        <w:t>Note. This audit is intended to demonstrate construct discipline rather than to overclaim perfect measurement invariance across all subgroups.</w:t>
      </w:r>
    </w:p>
    <w:p w14:paraId="7C18D0DC">
      <w:pPr>
        <w:pStyle w:val="3"/>
        <w:spacing w:before="0" w:after="0" w:line="360" w:lineRule="auto"/>
        <w:jc w:val="both"/>
      </w:pPr>
      <w:r>
        <w:rPr>
          <w:rFonts w:ascii="Times New Roman" w:hAnsi="Times New Roman" w:eastAsia="Times New Roman"/>
          <w:b/>
          <w:color w:val="000000"/>
          <w:sz w:val="32"/>
        </w:rPr>
        <w:t>Supplement N. Intervention Fidelity and Manipulation Evidence</w:t>
      </w:r>
    </w:p>
    <w:p w14:paraId="6484354A">
      <w:pPr>
        <w:spacing w:before="0" w:after="0" w:line="360" w:lineRule="auto"/>
        <w:jc w:val="both"/>
      </w:pPr>
      <w:r>
        <w:rPr>
          <w:rFonts w:ascii="Times New Roman" w:hAnsi="Times New Roman" w:eastAsia="Times New Roman"/>
          <w:color w:val="000000"/>
          <w:sz w:val="24"/>
        </w:rPr>
        <w:t>The field experiment requires documentation that the three feedback conditions differed as intended and that the explainable fuzzy condition added explanation rather than merely more feedback volume.</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4943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B2010A4">
            <w:pPr>
              <w:spacing w:before="0" w:after="0" w:line="240" w:lineRule="auto"/>
              <w:jc w:val="left"/>
            </w:pPr>
            <w:r>
              <w:rPr>
                <w:rFonts w:ascii="Times New Roman" w:hAnsi="Times New Roman" w:eastAsia="Times New Roman"/>
                <w:b/>
                <w:color w:val="000000"/>
                <w:sz w:val="18"/>
              </w:rPr>
              <w:t>Fidelity element</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01C0D5A0">
            <w:pPr>
              <w:spacing w:before="0" w:after="0" w:line="240" w:lineRule="auto"/>
              <w:jc w:val="left"/>
            </w:pPr>
            <w:r>
              <w:rPr>
                <w:rFonts w:ascii="Times New Roman" w:hAnsi="Times New Roman" w:eastAsia="Times New Roman"/>
                <w:b/>
                <w:color w:val="000000"/>
                <w:sz w:val="18"/>
              </w:rPr>
              <w:t>Required record</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1B2086AA">
            <w:pPr>
              <w:spacing w:before="0" w:after="0" w:line="240" w:lineRule="auto"/>
              <w:jc w:val="left"/>
            </w:pPr>
            <w:r>
              <w:rPr>
                <w:rFonts w:ascii="Times New Roman" w:hAnsi="Times New Roman" w:eastAsia="Times New Roman"/>
                <w:b/>
                <w:color w:val="000000"/>
                <w:sz w:val="18"/>
              </w:rPr>
              <w:t>Reviewer-facing interpretation</w:t>
            </w:r>
          </w:p>
        </w:tc>
      </w:tr>
      <w:tr w14:paraId="0FFA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12D642BA">
            <w:pPr>
              <w:spacing w:before="0" w:after="0" w:line="240" w:lineRule="auto"/>
              <w:jc w:val="left"/>
            </w:pPr>
            <w:r>
              <w:rPr>
                <w:rFonts w:ascii="Times New Roman" w:hAnsi="Times New Roman" w:eastAsia="Times New Roman"/>
                <w:color w:val="000000"/>
                <w:sz w:val="18"/>
              </w:rPr>
              <w:t>Report delivery</w:t>
            </w:r>
          </w:p>
        </w:tc>
        <w:tc>
          <w:tcPr>
            <w:tcW w:w="6700" w:type="dxa"/>
            <w:tcBorders>
              <w:top w:val="nil"/>
              <w:left w:val="nil"/>
              <w:bottom w:val="nil"/>
              <w:right w:val="nil"/>
            </w:tcBorders>
            <w:tcMar>
              <w:top w:w="80" w:type="dxa"/>
              <w:left w:w="80" w:type="dxa"/>
              <w:bottom w:w="80" w:type="dxa"/>
              <w:right w:w="80" w:type="dxa"/>
            </w:tcMar>
            <w:vAlign w:val="center"/>
          </w:tcPr>
          <w:p w14:paraId="57A4DF83">
            <w:pPr>
              <w:spacing w:before="0" w:after="0" w:line="240" w:lineRule="auto"/>
              <w:jc w:val="left"/>
            </w:pPr>
            <w:r>
              <w:rPr>
                <w:rFonts w:ascii="Times New Roman" w:hAnsi="Times New Roman" w:eastAsia="Times New Roman"/>
                <w:color w:val="000000"/>
                <w:sz w:val="18"/>
              </w:rPr>
              <w:t>Timestamp and condition assignment for each teacher-course record</w:t>
            </w:r>
          </w:p>
        </w:tc>
        <w:tc>
          <w:tcPr>
            <w:tcW w:w="4100" w:type="dxa"/>
            <w:tcBorders>
              <w:top w:val="nil"/>
              <w:left w:val="nil"/>
              <w:bottom w:val="nil"/>
              <w:right w:val="nil"/>
            </w:tcBorders>
            <w:tcMar>
              <w:top w:w="80" w:type="dxa"/>
              <w:left w:w="80" w:type="dxa"/>
              <w:bottom w:w="80" w:type="dxa"/>
              <w:right w:w="80" w:type="dxa"/>
            </w:tcMar>
            <w:vAlign w:val="center"/>
          </w:tcPr>
          <w:p w14:paraId="2538F617">
            <w:pPr>
              <w:spacing w:before="0" w:after="0" w:line="240" w:lineRule="auto"/>
              <w:jc w:val="left"/>
            </w:pPr>
            <w:r>
              <w:rPr>
                <w:rFonts w:ascii="Times New Roman" w:hAnsi="Times New Roman" w:eastAsia="Times New Roman"/>
                <w:color w:val="000000"/>
                <w:sz w:val="18"/>
              </w:rPr>
              <w:t>Confirms that feedback was delivered after baseline and before T2 measurement</w:t>
            </w:r>
          </w:p>
        </w:tc>
      </w:tr>
      <w:tr w14:paraId="0362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0CA5010">
            <w:pPr>
              <w:spacing w:before="0" w:after="0" w:line="240" w:lineRule="auto"/>
              <w:jc w:val="left"/>
            </w:pPr>
            <w:r>
              <w:rPr>
                <w:rFonts w:ascii="Times New Roman" w:hAnsi="Times New Roman" w:eastAsia="Times New Roman"/>
                <w:color w:val="000000"/>
                <w:sz w:val="18"/>
              </w:rPr>
              <w:t>Condition contrast</w:t>
            </w:r>
          </w:p>
        </w:tc>
        <w:tc>
          <w:tcPr>
            <w:tcW w:w="6700" w:type="dxa"/>
            <w:tcBorders>
              <w:top w:val="nil"/>
              <w:left w:val="nil"/>
              <w:bottom w:val="nil"/>
              <w:right w:val="nil"/>
            </w:tcBorders>
            <w:tcMar>
              <w:top w:w="80" w:type="dxa"/>
              <w:left w:w="80" w:type="dxa"/>
              <w:bottom w:w="80" w:type="dxa"/>
              <w:right w:w="80" w:type="dxa"/>
            </w:tcMar>
            <w:vAlign w:val="center"/>
          </w:tcPr>
          <w:p w14:paraId="307BA21D">
            <w:pPr>
              <w:spacing w:before="0" w:after="0" w:line="240" w:lineRule="auto"/>
              <w:jc w:val="left"/>
            </w:pPr>
            <w:r>
              <w:rPr>
                <w:rFonts w:ascii="Times New Roman" w:hAnsi="Times New Roman" w:eastAsia="Times New Roman"/>
                <w:color w:val="000000"/>
                <w:sz w:val="18"/>
              </w:rPr>
              <w:t>Template archive for traditional, black-box AI, and explainable fuzzy AI reports</w:t>
            </w:r>
          </w:p>
        </w:tc>
        <w:tc>
          <w:tcPr>
            <w:tcW w:w="4100" w:type="dxa"/>
            <w:tcBorders>
              <w:top w:val="nil"/>
              <w:left w:val="nil"/>
              <w:bottom w:val="nil"/>
              <w:right w:val="nil"/>
            </w:tcBorders>
            <w:tcMar>
              <w:top w:w="80" w:type="dxa"/>
              <w:left w:w="80" w:type="dxa"/>
              <w:bottom w:w="80" w:type="dxa"/>
              <w:right w:w="80" w:type="dxa"/>
            </w:tcMar>
            <w:vAlign w:val="center"/>
          </w:tcPr>
          <w:p w14:paraId="4D7653C5">
            <w:pPr>
              <w:spacing w:before="0" w:after="0" w:line="240" w:lineRule="auto"/>
              <w:jc w:val="left"/>
            </w:pPr>
            <w:r>
              <w:rPr>
                <w:rFonts w:ascii="Times New Roman" w:hAnsi="Times New Roman" w:eastAsia="Times New Roman"/>
                <w:color w:val="000000"/>
                <w:sz w:val="18"/>
              </w:rPr>
              <w:t>Shows that only the explainable fuzzy condition includes evidence, weights, membership, uncertainty, and action links</w:t>
            </w:r>
          </w:p>
        </w:tc>
      </w:tr>
      <w:tr w14:paraId="7FAE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DB8E58B">
            <w:pPr>
              <w:spacing w:before="0" w:after="0" w:line="240" w:lineRule="auto"/>
              <w:jc w:val="left"/>
            </w:pPr>
            <w:r>
              <w:rPr>
                <w:rFonts w:ascii="Times New Roman" w:hAnsi="Times New Roman" w:eastAsia="Times New Roman"/>
                <w:color w:val="000000"/>
                <w:sz w:val="18"/>
              </w:rPr>
              <w:t>Manipulation check</w:t>
            </w:r>
          </w:p>
        </w:tc>
        <w:tc>
          <w:tcPr>
            <w:tcW w:w="6700" w:type="dxa"/>
            <w:tcBorders>
              <w:top w:val="nil"/>
              <w:left w:val="nil"/>
              <w:bottom w:val="nil"/>
              <w:right w:val="nil"/>
            </w:tcBorders>
            <w:tcMar>
              <w:top w:w="80" w:type="dxa"/>
              <w:left w:w="80" w:type="dxa"/>
              <w:bottom w:w="80" w:type="dxa"/>
              <w:right w:w="80" w:type="dxa"/>
            </w:tcMar>
            <w:vAlign w:val="center"/>
          </w:tcPr>
          <w:p w14:paraId="7FF6A1CB">
            <w:pPr>
              <w:spacing w:before="0" w:after="0" w:line="240" w:lineRule="auto"/>
              <w:jc w:val="left"/>
            </w:pPr>
            <w:r>
              <w:rPr>
                <w:rFonts w:ascii="Times New Roman" w:hAnsi="Times New Roman" w:eastAsia="Times New Roman"/>
                <w:color w:val="000000"/>
                <w:sz w:val="18"/>
              </w:rPr>
              <w:t>Teacher ratings of evidence visibility, weight visibility, uncertainty explanation, and actionability</w:t>
            </w:r>
          </w:p>
        </w:tc>
        <w:tc>
          <w:tcPr>
            <w:tcW w:w="4100" w:type="dxa"/>
            <w:tcBorders>
              <w:top w:val="nil"/>
              <w:left w:val="nil"/>
              <w:bottom w:val="nil"/>
              <w:right w:val="nil"/>
            </w:tcBorders>
            <w:tcMar>
              <w:top w:w="80" w:type="dxa"/>
              <w:left w:w="80" w:type="dxa"/>
              <w:bottom w:w="80" w:type="dxa"/>
              <w:right w:w="80" w:type="dxa"/>
            </w:tcMar>
            <w:vAlign w:val="center"/>
          </w:tcPr>
          <w:p w14:paraId="256BE338">
            <w:pPr>
              <w:spacing w:before="0" w:after="0" w:line="240" w:lineRule="auto"/>
              <w:jc w:val="left"/>
            </w:pPr>
            <w:r>
              <w:rPr>
                <w:rFonts w:ascii="Times New Roman" w:hAnsi="Times New Roman" w:eastAsia="Times New Roman"/>
                <w:color w:val="000000"/>
                <w:sz w:val="18"/>
              </w:rPr>
              <w:t>Confirms that the intended explanation difference was perceived</w:t>
            </w:r>
          </w:p>
        </w:tc>
      </w:tr>
      <w:tr w14:paraId="6D45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38D0E63E">
            <w:pPr>
              <w:spacing w:before="0" w:after="0" w:line="240" w:lineRule="auto"/>
              <w:jc w:val="left"/>
            </w:pPr>
            <w:r>
              <w:rPr>
                <w:rFonts w:ascii="Times New Roman" w:hAnsi="Times New Roman" w:eastAsia="Times New Roman"/>
                <w:color w:val="000000"/>
                <w:sz w:val="18"/>
              </w:rPr>
              <w:t>Implementation deviation</w:t>
            </w:r>
          </w:p>
        </w:tc>
        <w:tc>
          <w:tcPr>
            <w:tcW w:w="6700" w:type="dxa"/>
            <w:tcBorders>
              <w:top w:val="nil"/>
              <w:left w:val="nil"/>
              <w:bottom w:val="nil"/>
              <w:right w:val="nil"/>
            </w:tcBorders>
            <w:tcMar>
              <w:top w:w="80" w:type="dxa"/>
              <w:left w:w="80" w:type="dxa"/>
              <w:bottom w:w="80" w:type="dxa"/>
              <w:right w:w="80" w:type="dxa"/>
            </w:tcMar>
            <w:vAlign w:val="center"/>
          </w:tcPr>
          <w:p w14:paraId="07A03518">
            <w:pPr>
              <w:spacing w:before="0" w:after="0" w:line="240" w:lineRule="auto"/>
              <w:jc w:val="left"/>
            </w:pPr>
            <w:r>
              <w:rPr>
                <w:rFonts w:ascii="Times New Roman" w:hAnsi="Times New Roman" w:eastAsia="Times New Roman"/>
                <w:color w:val="000000"/>
                <w:sz w:val="18"/>
              </w:rPr>
              <w:t>Flag for non-delivery, late delivery, unread report, or cross-condition exposure</w:t>
            </w:r>
          </w:p>
        </w:tc>
        <w:tc>
          <w:tcPr>
            <w:tcW w:w="4100" w:type="dxa"/>
            <w:tcBorders>
              <w:top w:val="nil"/>
              <w:left w:val="nil"/>
              <w:bottom w:val="nil"/>
              <w:right w:val="nil"/>
            </w:tcBorders>
            <w:tcMar>
              <w:top w:w="80" w:type="dxa"/>
              <w:left w:w="80" w:type="dxa"/>
              <w:bottom w:w="80" w:type="dxa"/>
              <w:right w:w="80" w:type="dxa"/>
            </w:tcMar>
            <w:vAlign w:val="center"/>
          </w:tcPr>
          <w:p w14:paraId="7127FDFE">
            <w:pPr>
              <w:spacing w:before="0" w:after="0" w:line="240" w:lineRule="auto"/>
              <w:jc w:val="left"/>
            </w:pPr>
            <w:r>
              <w:rPr>
                <w:rFonts w:ascii="Times New Roman" w:hAnsi="Times New Roman" w:eastAsia="Times New Roman"/>
                <w:color w:val="000000"/>
                <w:sz w:val="18"/>
              </w:rPr>
              <w:t>Supports intention-to-treat and sensitivity analyses</w:t>
            </w:r>
          </w:p>
        </w:tc>
      </w:tr>
      <w:tr w14:paraId="3282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0FB643B">
            <w:pPr>
              <w:spacing w:before="0" w:after="0" w:line="240" w:lineRule="auto"/>
              <w:jc w:val="left"/>
            </w:pPr>
            <w:r>
              <w:rPr>
                <w:rFonts w:ascii="Times New Roman" w:hAnsi="Times New Roman" w:eastAsia="Times New Roman"/>
                <w:color w:val="000000"/>
                <w:sz w:val="18"/>
              </w:rPr>
              <w:t>Feedback volume</w:t>
            </w:r>
          </w:p>
        </w:tc>
        <w:tc>
          <w:tcPr>
            <w:tcW w:w="6700" w:type="dxa"/>
            <w:tcBorders>
              <w:top w:val="nil"/>
              <w:left w:val="nil"/>
              <w:bottom w:val="nil"/>
              <w:right w:val="nil"/>
            </w:tcBorders>
            <w:tcMar>
              <w:top w:w="80" w:type="dxa"/>
              <w:left w:w="80" w:type="dxa"/>
              <w:bottom w:w="80" w:type="dxa"/>
              <w:right w:w="80" w:type="dxa"/>
            </w:tcMar>
            <w:vAlign w:val="center"/>
          </w:tcPr>
          <w:p w14:paraId="7B905ED0">
            <w:pPr>
              <w:spacing w:before="0" w:after="0" w:line="240" w:lineRule="auto"/>
              <w:jc w:val="left"/>
            </w:pPr>
            <w:r>
              <w:rPr>
                <w:rFonts w:ascii="Times New Roman" w:hAnsi="Times New Roman" w:eastAsia="Times New Roman"/>
                <w:color w:val="000000"/>
                <w:sz w:val="18"/>
              </w:rPr>
              <w:t>Word count or section count of report text by condition</w:t>
            </w:r>
          </w:p>
        </w:tc>
        <w:tc>
          <w:tcPr>
            <w:tcW w:w="4100" w:type="dxa"/>
            <w:tcBorders>
              <w:top w:val="nil"/>
              <w:left w:val="nil"/>
              <w:bottom w:val="nil"/>
              <w:right w:val="nil"/>
            </w:tcBorders>
            <w:tcMar>
              <w:top w:w="80" w:type="dxa"/>
              <w:left w:w="80" w:type="dxa"/>
              <w:bottom w:w="80" w:type="dxa"/>
              <w:right w:w="80" w:type="dxa"/>
            </w:tcMar>
            <w:vAlign w:val="center"/>
          </w:tcPr>
          <w:p w14:paraId="3A76FB92">
            <w:pPr>
              <w:spacing w:before="0" w:after="0" w:line="240" w:lineRule="auto"/>
              <w:jc w:val="left"/>
            </w:pPr>
            <w:r>
              <w:rPr>
                <w:rFonts w:ascii="Times New Roman" w:hAnsi="Times New Roman" w:eastAsia="Times New Roman"/>
                <w:color w:val="000000"/>
                <w:sz w:val="18"/>
              </w:rPr>
              <w:t>Rules out the explanation effect being only a longer-report effect</w:t>
            </w:r>
          </w:p>
        </w:tc>
      </w:tr>
      <w:tr w14:paraId="142D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0FB9434B">
            <w:pPr>
              <w:spacing w:before="0" w:after="0" w:line="240" w:lineRule="auto"/>
              <w:jc w:val="left"/>
            </w:pPr>
            <w:r>
              <w:rPr>
                <w:rFonts w:ascii="Times New Roman" w:hAnsi="Times New Roman" w:eastAsia="Times New Roman"/>
                <w:color w:val="000000"/>
                <w:sz w:val="18"/>
              </w:rPr>
              <w:t>Support contact</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46D84B5D">
            <w:pPr>
              <w:spacing w:before="0" w:after="0" w:line="240" w:lineRule="auto"/>
              <w:jc w:val="left"/>
            </w:pPr>
            <w:r>
              <w:rPr>
                <w:rFonts w:ascii="Times New Roman" w:hAnsi="Times New Roman" w:eastAsia="Times New Roman"/>
                <w:color w:val="000000"/>
                <w:sz w:val="18"/>
              </w:rPr>
              <w:t>Records of whether teachers sought clarification or teaching-development support</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310F4578">
            <w:pPr>
              <w:spacing w:before="0" w:after="0" w:line="240" w:lineRule="auto"/>
              <w:jc w:val="left"/>
            </w:pPr>
            <w:r>
              <w:rPr>
                <w:rFonts w:ascii="Times New Roman" w:hAnsi="Times New Roman" w:eastAsia="Times New Roman"/>
                <w:color w:val="000000"/>
                <w:sz w:val="18"/>
              </w:rPr>
              <w:t>Helps distinguish feedback availability from feedback uptake</w:t>
            </w:r>
          </w:p>
        </w:tc>
      </w:tr>
    </w:tbl>
    <w:p w14:paraId="514FC8A0">
      <w:pPr>
        <w:spacing w:before="0" w:after="0" w:line="360" w:lineRule="auto"/>
        <w:jc w:val="both"/>
      </w:pPr>
      <w:r>
        <w:rPr>
          <w:rFonts w:ascii="Times New Roman" w:hAnsi="Times New Roman" w:eastAsia="Times New Roman"/>
          <w:i/>
          <w:color w:val="000000"/>
          <w:sz w:val="20"/>
        </w:rPr>
        <w:t>Note. Where identifiable operational logs cannot be public, the manuscript reports aggregate manipulation and fidelity evidence only.</w:t>
      </w:r>
    </w:p>
    <w:p w14:paraId="5389F6BC">
      <w:pPr>
        <w:pStyle w:val="3"/>
        <w:spacing w:before="0" w:after="0" w:line="360" w:lineRule="auto"/>
        <w:jc w:val="both"/>
      </w:pPr>
      <w:r>
        <w:rPr>
          <w:rFonts w:ascii="Times New Roman" w:hAnsi="Times New Roman" w:eastAsia="Times New Roman"/>
          <w:b/>
          <w:color w:val="000000"/>
          <w:sz w:val="32"/>
        </w:rPr>
        <w:t>Supplement O. Analysis Decision Rules</w:t>
      </w:r>
    </w:p>
    <w:p w14:paraId="687188D6">
      <w:pPr>
        <w:spacing w:before="0" w:after="0" w:line="360" w:lineRule="auto"/>
        <w:jc w:val="both"/>
      </w:pPr>
      <w:r>
        <w:rPr>
          <w:rFonts w:ascii="Times New Roman" w:hAnsi="Times New Roman" w:eastAsia="Times New Roman"/>
          <w:color w:val="000000"/>
          <w:sz w:val="24"/>
        </w:rPr>
        <w:t>The following rules clarify how the main estimates, mediation results, moderation tests, and robustness checks are interpreted.</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669D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6D4FFD8E">
            <w:pPr>
              <w:spacing w:before="0" w:after="0" w:line="240" w:lineRule="auto"/>
              <w:jc w:val="left"/>
            </w:pPr>
            <w:r>
              <w:rPr>
                <w:rFonts w:ascii="Times New Roman" w:hAnsi="Times New Roman" w:eastAsia="Times New Roman"/>
                <w:b/>
                <w:color w:val="000000"/>
                <w:sz w:val="18"/>
              </w:rPr>
              <w:t>Analytic decision</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B121EB2">
            <w:pPr>
              <w:spacing w:before="0" w:after="0" w:line="240" w:lineRule="auto"/>
              <w:jc w:val="left"/>
            </w:pPr>
            <w:r>
              <w:rPr>
                <w:rFonts w:ascii="Times New Roman" w:hAnsi="Times New Roman" w:eastAsia="Times New Roman"/>
                <w:b/>
                <w:color w:val="000000"/>
                <w:sz w:val="18"/>
              </w:rPr>
              <w:t>Rule used in the manuscript</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61EB39BB">
            <w:pPr>
              <w:spacing w:before="0" w:after="0" w:line="240" w:lineRule="auto"/>
              <w:jc w:val="left"/>
            </w:pPr>
            <w:r>
              <w:rPr>
                <w:rFonts w:ascii="Times New Roman" w:hAnsi="Times New Roman" w:eastAsia="Times New Roman"/>
                <w:b/>
                <w:color w:val="000000"/>
                <w:sz w:val="18"/>
              </w:rPr>
              <w:t>Reason</w:t>
            </w:r>
          </w:p>
        </w:tc>
      </w:tr>
      <w:tr w14:paraId="4EEA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04B66AF">
            <w:pPr>
              <w:spacing w:before="0" w:after="0" w:line="240" w:lineRule="auto"/>
              <w:jc w:val="left"/>
            </w:pPr>
            <w:r>
              <w:rPr>
                <w:rFonts w:ascii="Times New Roman" w:hAnsi="Times New Roman" w:eastAsia="Times New Roman"/>
                <w:color w:val="000000"/>
                <w:sz w:val="18"/>
              </w:rPr>
              <w:t>Treatment-effect estimand</w:t>
            </w:r>
          </w:p>
        </w:tc>
        <w:tc>
          <w:tcPr>
            <w:tcW w:w="6700" w:type="dxa"/>
            <w:tcBorders>
              <w:top w:val="nil"/>
              <w:left w:val="nil"/>
              <w:bottom w:val="nil"/>
              <w:right w:val="nil"/>
            </w:tcBorders>
            <w:tcMar>
              <w:top w:w="80" w:type="dxa"/>
              <w:left w:w="80" w:type="dxa"/>
              <w:bottom w:w="80" w:type="dxa"/>
              <w:right w:w="80" w:type="dxa"/>
            </w:tcMar>
            <w:vAlign w:val="center"/>
          </w:tcPr>
          <w:p w14:paraId="1164B956">
            <w:pPr>
              <w:spacing w:before="0" w:after="0" w:line="240" w:lineRule="auto"/>
              <w:jc w:val="left"/>
            </w:pPr>
            <w:r>
              <w:rPr>
                <w:rFonts w:ascii="Times New Roman" w:hAnsi="Times New Roman" w:eastAsia="Times New Roman"/>
                <w:color w:val="000000"/>
                <w:sz w:val="18"/>
              </w:rPr>
              <w:t>Intention-to-treat contrast by randomized feedback condition</w:t>
            </w:r>
          </w:p>
        </w:tc>
        <w:tc>
          <w:tcPr>
            <w:tcW w:w="4100" w:type="dxa"/>
            <w:tcBorders>
              <w:top w:val="nil"/>
              <w:left w:val="nil"/>
              <w:bottom w:val="nil"/>
              <w:right w:val="nil"/>
            </w:tcBorders>
            <w:tcMar>
              <w:top w:w="80" w:type="dxa"/>
              <w:left w:w="80" w:type="dxa"/>
              <w:bottom w:w="80" w:type="dxa"/>
              <w:right w:w="80" w:type="dxa"/>
            </w:tcMar>
            <w:vAlign w:val="center"/>
          </w:tcPr>
          <w:p w14:paraId="725E0E7D">
            <w:pPr>
              <w:spacing w:before="0" w:after="0" w:line="240" w:lineRule="auto"/>
              <w:jc w:val="left"/>
            </w:pPr>
            <w:r>
              <w:rPr>
                <w:rFonts w:ascii="Times New Roman" w:hAnsi="Times New Roman" w:eastAsia="Times New Roman"/>
                <w:color w:val="000000"/>
                <w:sz w:val="18"/>
              </w:rPr>
              <w:t>Preserves randomization and avoids conditioning on post-treatment compliance</w:t>
            </w:r>
          </w:p>
        </w:tc>
      </w:tr>
      <w:tr w14:paraId="6B6A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6EF6BC5">
            <w:pPr>
              <w:spacing w:before="0" w:after="0" w:line="240" w:lineRule="auto"/>
              <w:jc w:val="left"/>
            </w:pPr>
            <w:r>
              <w:rPr>
                <w:rFonts w:ascii="Times New Roman" w:hAnsi="Times New Roman" w:eastAsia="Times New Roman"/>
                <w:color w:val="000000"/>
                <w:sz w:val="18"/>
              </w:rPr>
              <w:t>Clustered standard errors</w:t>
            </w:r>
          </w:p>
        </w:tc>
        <w:tc>
          <w:tcPr>
            <w:tcW w:w="6700" w:type="dxa"/>
            <w:tcBorders>
              <w:top w:val="nil"/>
              <w:left w:val="nil"/>
              <w:bottom w:val="nil"/>
              <w:right w:val="nil"/>
            </w:tcBorders>
            <w:tcMar>
              <w:top w:w="80" w:type="dxa"/>
              <w:left w:w="80" w:type="dxa"/>
              <w:bottom w:w="80" w:type="dxa"/>
              <w:right w:w="80" w:type="dxa"/>
            </w:tcMar>
            <w:vAlign w:val="center"/>
          </w:tcPr>
          <w:p w14:paraId="70B287D9">
            <w:pPr>
              <w:spacing w:before="0" w:after="0" w:line="240" w:lineRule="auto"/>
              <w:jc w:val="left"/>
            </w:pPr>
            <w:r>
              <w:rPr>
                <w:rFonts w:ascii="Times New Roman" w:hAnsi="Times New Roman" w:eastAsia="Times New Roman"/>
                <w:color w:val="000000"/>
                <w:sz w:val="18"/>
              </w:rPr>
              <w:t>Reported where appropriate, with cautious interpretation due to 12 university clusters</w:t>
            </w:r>
          </w:p>
        </w:tc>
        <w:tc>
          <w:tcPr>
            <w:tcW w:w="4100" w:type="dxa"/>
            <w:tcBorders>
              <w:top w:val="nil"/>
              <w:left w:val="nil"/>
              <w:bottom w:val="nil"/>
              <w:right w:val="nil"/>
            </w:tcBorders>
            <w:tcMar>
              <w:top w:w="80" w:type="dxa"/>
              <w:left w:w="80" w:type="dxa"/>
              <w:bottom w:w="80" w:type="dxa"/>
              <w:right w:w="80" w:type="dxa"/>
            </w:tcMar>
            <w:vAlign w:val="center"/>
          </w:tcPr>
          <w:p w14:paraId="7BB3E196">
            <w:pPr>
              <w:spacing w:before="0" w:after="0" w:line="240" w:lineRule="auto"/>
              <w:jc w:val="left"/>
            </w:pPr>
            <w:r>
              <w:rPr>
                <w:rFonts w:ascii="Times New Roman" w:hAnsi="Times New Roman" w:eastAsia="Times New Roman"/>
                <w:color w:val="000000"/>
                <w:sz w:val="18"/>
              </w:rPr>
              <w:t>Acknowledges institutional clustering without overstating multilevel precision</w:t>
            </w:r>
          </w:p>
        </w:tc>
      </w:tr>
      <w:tr w14:paraId="3F63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4FCE5B56">
            <w:pPr>
              <w:spacing w:before="0" w:after="0" w:line="240" w:lineRule="auto"/>
              <w:jc w:val="left"/>
            </w:pPr>
            <w:r>
              <w:rPr>
                <w:rFonts w:ascii="Times New Roman" w:hAnsi="Times New Roman" w:eastAsia="Times New Roman"/>
                <w:color w:val="000000"/>
                <w:sz w:val="18"/>
              </w:rPr>
              <w:t>Mediation interpretation</w:t>
            </w:r>
          </w:p>
        </w:tc>
        <w:tc>
          <w:tcPr>
            <w:tcW w:w="6700" w:type="dxa"/>
            <w:tcBorders>
              <w:top w:val="nil"/>
              <w:left w:val="nil"/>
              <w:bottom w:val="nil"/>
              <w:right w:val="nil"/>
            </w:tcBorders>
            <w:tcMar>
              <w:top w:w="80" w:type="dxa"/>
              <w:left w:w="80" w:type="dxa"/>
              <w:bottom w:w="80" w:type="dxa"/>
              <w:right w:w="80" w:type="dxa"/>
            </w:tcMar>
            <w:vAlign w:val="center"/>
          </w:tcPr>
          <w:p w14:paraId="56636FED">
            <w:pPr>
              <w:spacing w:before="0" w:after="0" w:line="240" w:lineRule="auto"/>
              <w:jc w:val="left"/>
            </w:pPr>
            <w:r>
              <w:rPr>
                <w:rFonts w:ascii="Times New Roman" w:hAnsi="Times New Roman" w:eastAsia="Times New Roman"/>
                <w:color w:val="000000"/>
                <w:sz w:val="18"/>
              </w:rPr>
              <w:t>Temporally ordered indirect-effect evidence, not definitive proof of mechanism</w:t>
            </w:r>
          </w:p>
        </w:tc>
        <w:tc>
          <w:tcPr>
            <w:tcW w:w="4100" w:type="dxa"/>
            <w:tcBorders>
              <w:top w:val="nil"/>
              <w:left w:val="nil"/>
              <w:bottom w:val="nil"/>
              <w:right w:val="nil"/>
            </w:tcBorders>
            <w:tcMar>
              <w:top w:w="80" w:type="dxa"/>
              <w:left w:w="80" w:type="dxa"/>
              <w:bottom w:w="80" w:type="dxa"/>
              <w:right w:w="80" w:type="dxa"/>
            </w:tcMar>
            <w:vAlign w:val="center"/>
          </w:tcPr>
          <w:p w14:paraId="32864260">
            <w:pPr>
              <w:spacing w:before="0" w:after="0" w:line="240" w:lineRule="auto"/>
              <w:jc w:val="left"/>
            </w:pPr>
            <w:r>
              <w:rPr>
                <w:rFonts w:ascii="Times New Roman" w:hAnsi="Times New Roman" w:eastAsia="Times New Roman"/>
                <w:color w:val="000000"/>
                <w:sz w:val="18"/>
              </w:rPr>
              <w:t>Recognizes that mediator-outcome confounding cannot be fully eliminated</w:t>
            </w:r>
          </w:p>
        </w:tc>
      </w:tr>
      <w:tr w14:paraId="25D0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790F2228">
            <w:pPr>
              <w:spacing w:before="0" w:after="0" w:line="240" w:lineRule="auto"/>
              <w:jc w:val="left"/>
            </w:pPr>
            <w:r>
              <w:rPr>
                <w:rFonts w:ascii="Times New Roman" w:hAnsi="Times New Roman" w:eastAsia="Times New Roman"/>
                <w:color w:val="000000"/>
                <w:sz w:val="18"/>
              </w:rPr>
              <w:t>Moderation interpretation</w:t>
            </w:r>
          </w:p>
        </w:tc>
        <w:tc>
          <w:tcPr>
            <w:tcW w:w="6700" w:type="dxa"/>
            <w:tcBorders>
              <w:top w:val="nil"/>
              <w:left w:val="nil"/>
              <w:bottom w:val="nil"/>
              <w:right w:val="nil"/>
            </w:tcBorders>
            <w:tcMar>
              <w:top w:w="80" w:type="dxa"/>
              <w:left w:w="80" w:type="dxa"/>
              <w:bottom w:w="80" w:type="dxa"/>
              <w:right w:w="80" w:type="dxa"/>
            </w:tcMar>
            <w:vAlign w:val="center"/>
          </w:tcPr>
          <w:p w14:paraId="5FED99FC">
            <w:pPr>
              <w:spacing w:before="0" w:after="0" w:line="240" w:lineRule="auto"/>
              <w:jc w:val="left"/>
            </w:pPr>
            <w:r>
              <w:rPr>
                <w:rFonts w:ascii="Times New Roman" w:hAnsi="Times New Roman" w:eastAsia="Times New Roman"/>
                <w:color w:val="000000"/>
                <w:sz w:val="18"/>
              </w:rPr>
              <w:t>Simple slopes and conditional indirect effects interpreted with confidence intervals</w:t>
            </w:r>
          </w:p>
        </w:tc>
        <w:tc>
          <w:tcPr>
            <w:tcW w:w="4100" w:type="dxa"/>
            <w:tcBorders>
              <w:top w:val="nil"/>
              <w:left w:val="nil"/>
              <w:bottom w:val="nil"/>
              <w:right w:val="nil"/>
            </w:tcBorders>
            <w:tcMar>
              <w:top w:w="80" w:type="dxa"/>
              <w:left w:w="80" w:type="dxa"/>
              <w:bottom w:w="80" w:type="dxa"/>
              <w:right w:w="80" w:type="dxa"/>
            </w:tcMar>
            <w:vAlign w:val="center"/>
          </w:tcPr>
          <w:p w14:paraId="48D805C5">
            <w:pPr>
              <w:spacing w:before="0" w:after="0" w:line="240" w:lineRule="auto"/>
              <w:jc w:val="left"/>
            </w:pPr>
            <w:r>
              <w:rPr>
                <w:rFonts w:ascii="Times New Roman" w:hAnsi="Times New Roman" w:eastAsia="Times New Roman"/>
                <w:color w:val="000000"/>
                <w:sz w:val="18"/>
              </w:rPr>
              <w:t>Avoids relying on interaction coefficients alone</w:t>
            </w:r>
          </w:p>
        </w:tc>
      </w:tr>
      <w:tr w14:paraId="35F7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66D826C9">
            <w:pPr>
              <w:spacing w:before="0" w:after="0" w:line="240" w:lineRule="auto"/>
              <w:jc w:val="left"/>
            </w:pPr>
            <w:r>
              <w:rPr>
                <w:rFonts w:ascii="Times New Roman" w:hAnsi="Times New Roman" w:eastAsia="Times New Roman"/>
                <w:color w:val="000000"/>
                <w:sz w:val="18"/>
              </w:rPr>
              <w:t>Missing data</w:t>
            </w:r>
          </w:p>
        </w:tc>
        <w:tc>
          <w:tcPr>
            <w:tcW w:w="6700" w:type="dxa"/>
            <w:tcBorders>
              <w:top w:val="nil"/>
              <w:left w:val="nil"/>
              <w:bottom w:val="nil"/>
              <w:right w:val="nil"/>
            </w:tcBorders>
            <w:tcMar>
              <w:top w:w="80" w:type="dxa"/>
              <w:left w:w="80" w:type="dxa"/>
              <w:bottom w:w="80" w:type="dxa"/>
              <w:right w:w="80" w:type="dxa"/>
            </w:tcMar>
            <w:vAlign w:val="center"/>
          </w:tcPr>
          <w:p w14:paraId="665CC891">
            <w:pPr>
              <w:spacing w:before="0" w:after="0" w:line="240" w:lineRule="auto"/>
              <w:jc w:val="left"/>
            </w:pPr>
            <w:r>
              <w:rPr>
                <w:rFonts w:ascii="Times New Roman" w:hAnsi="Times New Roman" w:eastAsia="Times New Roman"/>
                <w:color w:val="000000"/>
                <w:sz w:val="18"/>
              </w:rPr>
              <w:t>Complete-case results checked against multiple-imputation sensitivity analyses</w:t>
            </w:r>
          </w:p>
        </w:tc>
        <w:tc>
          <w:tcPr>
            <w:tcW w:w="4100" w:type="dxa"/>
            <w:tcBorders>
              <w:top w:val="nil"/>
              <w:left w:val="nil"/>
              <w:bottom w:val="nil"/>
              <w:right w:val="nil"/>
            </w:tcBorders>
            <w:tcMar>
              <w:top w:w="80" w:type="dxa"/>
              <w:left w:w="80" w:type="dxa"/>
              <w:bottom w:w="80" w:type="dxa"/>
              <w:right w:w="80" w:type="dxa"/>
            </w:tcMar>
            <w:vAlign w:val="center"/>
          </w:tcPr>
          <w:p w14:paraId="3D9664E6">
            <w:pPr>
              <w:spacing w:before="0" w:after="0" w:line="240" w:lineRule="auto"/>
              <w:jc w:val="left"/>
            </w:pPr>
            <w:r>
              <w:rPr>
                <w:rFonts w:ascii="Times New Roman" w:hAnsi="Times New Roman" w:eastAsia="Times New Roman"/>
                <w:color w:val="000000"/>
                <w:sz w:val="18"/>
              </w:rPr>
              <w:t>Assesses attrition and missingness dependence</w:t>
            </w:r>
          </w:p>
        </w:tc>
      </w:tr>
      <w:tr w14:paraId="16A6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78DFF5B5">
            <w:pPr>
              <w:spacing w:before="0" w:after="0" w:line="240" w:lineRule="auto"/>
              <w:jc w:val="left"/>
            </w:pPr>
            <w:r>
              <w:rPr>
                <w:rFonts w:ascii="Times New Roman" w:hAnsi="Times New Roman" w:eastAsia="Times New Roman"/>
                <w:color w:val="000000"/>
                <w:sz w:val="18"/>
              </w:rPr>
              <w:t>Robustness criterion</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00961817">
            <w:pPr>
              <w:spacing w:before="0" w:after="0" w:line="240" w:lineRule="auto"/>
              <w:jc w:val="left"/>
            </w:pPr>
            <w:r>
              <w:rPr>
                <w:rFonts w:ascii="Times New Roman" w:hAnsi="Times New Roman" w:eastAsia="Times New Roman"/>
                <w:color w:val="000000"/>
                <w:sz w:val="18"/>
              </w:rPr>
              <w:t>Direction, magnitude, and confidence interval consistency across alternative membership and weighting schemes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084EDD96">
            <w:pPr>
              <w:spacing w:before="0" w:after="0" w:line="240" w:lineRule="auto"/>
              <w:jc w:val="left"/>
            </w:pPr>
            <w:r>
              <w:rPr>
                <w:rFonts w:ascii="Times New Roman" w:hAnsi="Times New Roman" w:eastAsia="Times New Roman"/>
                <w:color w:val="000000"/>
                <w:sz w:val="18"/>
              </w:rPr>
              <w:t>Focuses on substantive stability rather than isolated p values</w:t>
            </w:r>
          </w:p>
        </w:tc>
      </w:tr>
    </w:tbl>
    <w:p w14:paraId="72AEFB02">
      <w:pPr>
        <w:pStyle w:val="3"/>
        <w:spacing w:before="0" w:after="0" w:line="360" w:lineRule="auto"/>
        <w:jc w:val="both"/>
      </w:pPr>
      <w:r>
        <w:rPr>
          <w:rFonts w:ascii="Times New Roman" w:hAnsi="Times New Roman" w:eastAsia="Times New Roman"/>
          <w:b/>
          <w:color w:val="000000"/>
          <w:sz w:val="32"/>
        </w:rPr>
        <w:t>Supplement P. Submission-Readiness Checklist</w:t>
      </w:r>
    </w:p>
    <w:p w14:paraId="65C2693D">
      <w:pPr>
        <w:spacing w:before="0" w:after="0" w:line="360" w:lineRule="auto"/>
        <w:jc w:val="both"/>
      </w:pPr>
      <w:r>
        <w:rPr>
          <w:rFonts w:ascii="Times New Roman" w:hAnsi="Times New Roman" w:eastAsia="Times New Roman"/>
          <w:color w:val="000000"/>
          <w:sz w:val="24"/>
        </w:rPr>
        <w:t>This checklist identifies the minimum materials retained by the author team for journal submission or revision resubmission.</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0"/>
        <w:gridCol w:w="6700"/>
        <w:gridCol w:w="4100"/>
      </w:tblGrid>
      <w:tr w14:paraId="547F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7579019">
            <w:pPr>
              <w:spacing w:before="0" w:after="0" w:line="240" w:lineRule="auto"/>
              <w:jc w:val="left"/>
            </w:pPr>
            <w:r>
              <w:rPr>
                <w:rFonts w:ascii="Times New Roman" w:hAnsi="Times New Roman" w:eastAsia="Times New Roman"/>
                <w:b/>
                <w:color w:val="000000"/>
                <w:sz w:val="18"/>
              </w:rPr>
              <w:t>Submission element</w:t>
            </w:r>
          </w:p>
        </w:tc>
        <w:tc>
          <w:tcPr>
            <w:tcW w:w="6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AC8295F">
            <w:pPr>
              <w:spacing w:before="0" w:after="0" w:line="240" w:lineRule="auto"/>
              <w:jc w:val="left"/>
            </w:pPr>
            <w:r>
              <w:rPr>
                <w:rFonts w:ascii="Times New Roman" w:hAnsi="Times New Roman" w:eastAsia="Times New Roman"/>
                <w:b/>
                <w:color w:val="000000"/>
                <w:sz w:val="18"/>
              </w:rPr>
              <w:t>Status in current package</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7B577BF2">
            <w:pPr>
              <w:spacing w:before="0" w:after="0" w:line="240" w:lineRule="auto"/>
              <w:jc w:val="left"/>
            </w:pPr>
            <w:r>
              <w:rPr>
                <w:rFonts w:ascii="Times New Roman" w:hAnsi="Times New Roman" w:eastAsia="Times New Roman"/>
                <w:b/>
                <w:color w:val="000000"/>
                <w:sz w:val="18"/>
              </w:rPr>
              <w:t>Submission handling</w:t>
            </w:r>
          </w:p>
        </w:tc>
      </w:tr>
      <w:tr w14:paraId="6654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206D1010">
            <w:pPr>
              <w:spacing w:before="0" w:after="0" w:line="240" w:lineRule="auto"/>
              <w:jc w:val="left"/>
            </w:pPr>
            <w:r>
              <w:rPr>
                <w:rFonts w:ascii="Times New Roman" w:hAnsi="Times New Roman" w:eastAsia="Times New Roman"/>
                <w:color w:val="000000"/>
                <w:sz w:val="18"/>
              </w:rPr>
              <w:t>Main manuscript</w:t>
            </w:r>
          </w:p>
        </w:tc>
        <w:tc>
          <w:tcPr>
            <w:tcW w:w="6700" w:type="dxa"/>
            <w:tcBorders>
              <w:top w:val="nil"/>
              <w:left w:val="nil"/>
              <w:bottom w:val="nil"/>
              <w:right w:val="nil"/>
            </w:tcBorders>
            <w:tcMar>
              <w:top w:w="80" w:type="dxa"/>
              <w:left w:w="80" w:type="dxa"/>
              <w:bottom w:w="80" w:type="dxa"/>
              <w:right w:w="80" w:type="dxa"/>
            </w:tcMar>
            <w:vAlign w:val="center"/>
          </w:tcPr>
          <w:p w14:paraId="0A54217C">
            <w:pPr>
              <w:spacing w:before="0" w:after="0" w:line="240" w:lineRule="auto"/>
              <w:jc w:val="left"/>
            </w:pPr>
            <w:r>
              <w:rPr>
                <w:rFonts w:ascii="Times New Roman" w:hAnsi="Times New Roman" w:eastAsia="Times New Roman"/>
                <w:color w:val="000000"/>
                <w:sz w:val="18"/>
              </w:rPr>
              <w:t>Revised, condensed, and cross-referenced to supplement</w:t>
            </w:r>
          </w:p>
        </w:tc>
        <w:tc>
          <w:tcPr>
            <w:tcW w:w="4100" w:type="dxa"/>
            <w:tcBorders>
              <w:top w:val="nil"/>
              <w:left w:val="nil"/>
              <w:bottom w:val="nil"/>
              <w:right w:val="nil"/>
            </w:tcBorders>
            <w:tcMar>
              <w:top w:w="80" w:type="dxa"/>
              <w:left w:w="80" w:type="dxa"/>
              <w:bottom w:w="80" w:type="dxa"/>
              <w:right w:w="80" w:type="dxa"/>
            </w:tcMar>
            <w:vAlign w:val="center"/>
          </w:tcPr>
          <w:p w14:paraId="419C5A13">
            <w:pPr>
              <w:spacing w:before="0" w:after="0" w:line="240" w:lineRule="auto"/>
              <w:jc w:val="left"/>
            </w:pPr>
            <w:r>
              <w:rPr>
                <w:rFonts w:ascii="Times New Roman" w:hAnsi="Times New Roman" w:eastAsia="Times New Roman"/>
                <w:color w:val="000000"/>
                <w:sz w:val="18"/>
              </w:rPr>
              <w:t>Confirm target-journal formatting requirements</w:t>
            </w:r>
          </w:p>
        </w:tc>
      </w:tr>
      <w:tr w14:paraId="6611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1FDC33A9">
            <w:pPr>
              <w:spacing w:before="0" w:after="0" w:line="240" w:lineRule="auto"/>
              <w:jc w:val="left"/>
            </w:pPr>
            <w:r>
              <w:rPr>
                <w:rFonts w:ascii="Times New Roman" w:hAnsi="Times New Roman" w:eastAsia="Times New Roman"/>
                <w:color w:val="000000"/>
                <w:sz w:val="18"/>
              </w:rPr>
              <w:t>Supplementary materials</w:t>
            </w:r>
          </w:p>
        </w:tc>
        <w:tc>
          <w:tcPr>
            <w:tcW w:w="6700" w:type="dxa"/>
            <w:tcBorders>
              <w:top w:val="nil"/>
              <w:left w:val="nil"/>
              <w:bottom w:val="nil"/>
              <w:right w:val="nil"/>
            </w:tcBorders>
            <w:tcMar>
              <w:top w:w="80" w:type="dxa"/>
              <w:left w:w="80" w:type="dxa"/>
              <w:bottom w:w="80" w:type="dxa"/>
              <w:right w:w="80" w:type="dxa"/>
            </w:tcMar>
            <w:vAlign w:val="center"/>
          </w:tcPr>
          <w:p w14:paraId="0FF79F02">
            <w:pPr>
              <w:spacing w:before="0" w:after="0" w:line="240" w:lineRule="auto"/>
              <w:jc w:val="left"/>
            </w:pPr>
            <w:r>
              <w:rPr>
                <w:rFonts w:ascii="Times New Roman" w:hAnsi="Times New Roman" w:eastAsia="Times New Roman"/>
                <w:color w:val="000000"/>
                <w:sz w:val="18"/>
              </w:rPr>
              <w:t>Expanded with survey, codebook, intervention, fuzzy, audit, and governance tables</w:t>
            </w:r>
          </w:p>
        </w:tc>
        <w:tc>
          <w:tcPr>
            <w:tcW w:w="4100" w:type="dxa"/>
            <w:tcBorders>
              <w:top w:val="nil"/>
              <w:left w:val="nil"/>
              <w:bottom w:val="nil"/>
              <w:right w:val="nil"/>
            </w:tcBorders>
            <w:tcMar>
              <w:top w:w="80" w:type="dxa"/>
              <w:left w:w="80" w:type="dxa"/>
              <w:bottom w:w="80" w:type="dxa"/>
              <w:right w:w="80" w:type="dxa"/>
            </w:tcMar>
            <w:vAlign w:val="center"/>
          </w:tcPr>
          <w:p w14:paraId="6A50A088">
            <w:pPr>
              <w:spacing w:before="0" w:after="0" w:line="240" w:lineRule="auto"/>
              <w:jc w:val="left"/>
            </w:pPr>
            <w:r>
              <w:rPr>
                <w:rFonts w:ascii="Times New Roman" w:hAnsi="Times New Roman" w:eastAsia="Times New Roman"/>
                <w:color w:val="000000"/>
                <w:sz w:val="18"/>
              </w:rPr>
              <w:t>Upload as one online supplement unless journal requests separate files</w:t>
            </w:r>
          </w:p>
        </w:tc>
      </w:tr>
      <w:tr w14:paraId="3EDD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3795EF2D">
            <w:pPr>
              <w:spacing w:before="0" w:after="0" w:line="240" w:lineRule="auto"/>
              <w:jc w:val="left"/>
            </w:pPr>
            <w:r>
              <w:rPr>
                <w:rFonts w:ascii="Times New Roman" w:hAnsi="Times New Roman" w:eastAsia="Times New Roman"/>
                <w:color w:val="000000"/>
                <w:sz w:val="18"/>
              </w:rPr>
              <w:t>Ethics and consent statement</w:t>
            </w:r>
          </w:p>
        </w:tc>
        <w:tc>
          <w:tcPr>
            <w:tcW w:w="6700" w:type="dxa"/>
            <w:tcBorders>
              <w:top w:val="nil"/>
              <w:left w:val="nil"/>
              <w:bottom w:val="nil"/>
              <w:right w:val="nil"/>
            </w:tcBorders>
            <w:tcMar>
              <w:top w:w="80" w:type="dxa"/>
              <w:left w:w="80" w:type="dxa"/>
              <w:bottom w:w="80" w:type="dxa"/>
              <w:right w:w="80" w:type="dxa"/>
            </w:tcMar>
            <w:vAlign w:val="center"/>
          </w:tcPr>
          <w:p>
            <w:r>
              <w:t>Completed in the main Methods/Declarations and Supplement H: Stanford University IRB, Protocol #77490, approved June 25, 2025; informed consent obtained before T1.</w:t>
            </w:r>
          </w:p>
        </w:tc>
        <w:tc>
          <w:tcPr>
            <w:tcW w:w="4100" w:type="dxa"/>
            <w:tcBorders>
              <w:top w:val="nil"/>
              <w:left w:val="nil"/>
              <w:bottom w:val="nil"/>
              <w:right w:val="nil"/>
            </w:tcBorders>
            <w:tcMar>
              <w:top w:w="80" w:type="dxa"/>
              <w:left w:w="80" w:type="dxa"/>
              <w:bottom w:w="80" w:type="dxa"/>
              <w:right w:w="80" w:type="dxa"/>
            </w:tcMar>
            <w:vAlign w:val="center"/>
          </w:tcPr>
          <w:p>
            <w:r>
              <w:t>Submit as stated; retain ethics approval and consent documentation for editorial verification if requested.</w:t>
            </w:r>
          </w:p>
        </w:tc>
      </w:tr>
      <w:tr w14:paraId="7B67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3679CAA5">
            <w:pPr>
              <w:spacing w:before="0" w:after="0" w:line="240" w:lineRule="auto"/>
              <w:jc w:val="left"/>
            </w:pPr>
            <w:r>
              <w:rPr>
                <w:rFonts w:ascii="Times New Roman" w:hAnsi="Times New Roman" w:eastAsia="Times New Roman"/>
                <w:color w:val="000000"/>
                <w:sz w:val="18"/>
              </w:rPr>
              <w:t>Restricted reproducibility archive</w:t>
            </w:r>
          </w:p>
        </w:tc>
        <w:tc>
          <w:tcPr>
            <w:tcW w:w="6700" w:type="dxa"/>
            <w:tcBorders>
              <w:top w:val="nil"/>
              <w:left w:val="nil"/>
              <w:bottom w:val="nil"/>
              <w:right w:val="nil"/>
            </w:tcBorders>
            <w:tcMar>
              <w:top w:w="80" w:type="dxa"/>
              <w:left w:w="80" w:type="dxa"/>
              <w:bottom w:w="80" w:type="dxa"/>
              <w:right w:w="80" w:type="dxa"/>
            </w:tcMar>
            <w:vAlign w:val="center"/>
          </w:tcPr>
          <w:p w14:paraId="18BB52F1">
            <w:pPr>
              <w:spacing w:before="0" w:after="0" w:line="240" w:lineRule="auto"/>
              <w:jc w:val="left"/>
            </w:pPr>
            <w:r>
              <w:rPr>
                <w:rFonts w:ascii="Times New Roman" w:hAnsi="Times New Roman" w:eastAsia="Times New Roman"/>
                <w:color w:val="000000"/>
                <w:sz w:val="18"/>
              </w:rPr>
              <w:t>Specified in supplement</w:t>
            </w:r>
          </w:p>
        </w:tc>
        <w:tc>
          <w:tcPr>
            <w:tcW w:w="4100" w:type="dxa"/>
            <w:tcBorders>
              <w:top w:val="nil"/>
              <w:left w:val="nil"/>
              <w:bottom w:val="nil"/>
              <w:right w:val="nil"/>
            </w:tcBorders>
            <w:tcMar>
              <w:top w:w="80" w:type="dxa"/>
              <w:left w:w="80" w:type="dxa"/>
              <w:bottom w:w="80" w:type="dxa"/>
              <w:right w:w="80" w:type="dxa"/>
            </w:tcMar>
            <w:vAlign w:val="center"/>
          </w:tcPr>
          <w:p w14:paraId="79A41881">
            <w:pPr>
              <w:spacing w:before="0" w:after="0" w:line="240" w:lineRule="auto"/>
              <w:jc w:val="left"/>
            </w:pPr>
            <w:r>
              <w:rPr>
                <w:rFonts w:ascii="Times New Roman" w:hAnsi="Times New Roman" w:eastAsia="Times New Roman"/>
                <w:color w:val="000000"/>
                <w:sz w:val="18"/>
              </w:rPr>
              <w:t>Ensure raw data, syntax, logs, and randomization files are actually retained</w:t>
            </w:r>
          </w:p>
        </w:tc>
      </w:tr>
      <w:tr w14:paraId="1602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nil"/>
              <w:right w:val="nil"/>
            </w:tcBorders>
            <w:tcMar>
              <w:top w:w="80" w:type="dxa"/>
              <w:left w:w="80" w:type="dxa"/>
              <w:bottom w:w="80" w:type="dxa"/>
              <w:right w:w="80" w:type="dxa"/>
            </w:tcMar>
            <w:vAlign w:val="center"/>
          </w:tcPr>
          <w:p w14:paraId="142425CB">
            <w:pPr>
              <w:spacing w:before="0" w:after="0" w:line="240" w:lineRule="auto"/>
              <w:jc w:val="left"/>
            </w:pPr>
            <w:r>
              <w:rPr>
                <w:rFonts w:ascii="Times New Roman" w:hAnsi="Times New Roman" w:eastAsia="Times New Roman"/>
                <w:color w:val="000000"/>
                <w:sz w:val="18"/>
              </w:rPr>
              <w:t>Data availability statement</w:t>
            </w:r>
          </w:p>
        </w:tc>
        <w:tc>
          <w:tcPr>
            <w:tcW w:w="6700" w:type="dxa"/>
            <w:tcBorders>
              <w:top w:val="nil"/>
              <w:left w:val="nil"/>
              <w:bottom w:val="nil"/>
              <w:right w:val="nil"/>
            </w:tcBorders>
            <w:tcMar>
              <w:top w:w="80" w:type="dxa"/>
              <w:left w:w="80" w:type="dxa"/>
              <w:bottom w:w="80" w:type="dxa"/>
              <w:right w:w="80" w:type="dxa"/>
            </w:tcMar>
            <w:vAlign w:val="center"/>
          </w:tcPr>
          <w:p>
            <w:r>
              <w:t>Updated to the same controlled-access wording used in the main manuscript.</w:t>
            </w:r>
          </w:p>
        </w:tc>
        <w:tc>
          <w:tcPr>
            <w:tcW w:w="4100" w:type="dxa"/>
            <w:tcBorders>
              <w:top w:val="nil"/>
              <w:left w:val="nil"/>
              <w:bottom w:val="nil"/>
              <w:right w:val="nil"/>
            </w:tcBorders>
            <w:tcMar>
              <w:top w:w="80" w:type="dxa"/>
              <w:left w:w="80" w:type="dxa"/>
              <w:bottom w:w="80" w:type="dxa"/>
              <w:right w:w="80" w:type="dxa"/>
            </w:tcMar>
            <w:vAlign w:val="center"/>
          </w:tcPr>
          <w:p>
            <w:r>
              <w:t>In the submission system, select Data Availability = Yes and paste the manuscript statement exactly.</w:t>
            </w:r>
          </w:p>
        </w:tc>
      </w:tr>
      <w:tr w14:paraId="06E6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00" w:type="dxa"/>
            <w:tcBorders>
              <w:top w:val="nil"/>
              <w:left w:val="nil"/>
              <w:bottom w:val="single" w:color="000000" w:sz="12" w:space="0"/>
              <w:right w:val="nil"/>
            </w:tcBorders>
            <w:tcMar>
              <w:top w:w="80" w:type="dxa"/>
              <w:left w:w="80" w:type="dxa"/>
              <w:bottom w:w="80" w:type="dxa"/>
              <w:right w:w="80" w:type="dxa"/>
            </w:tcMar>
            <w:vAlign w:val="center"/>
          </w:tcPr>
          <w:p w14:paraId="6F4E345F">
            <w:pPr>
              <w:spacing w:before="0" w:after="0" w:line="240" w:lineRule="auto"/>
              <w:jc w:val="left"/>
            </w:pPr>
            <w:r>
              <w:rPr>
                <w:rFonts w:ascii="Times New Roman" w:hAnsi="Times New Roman" w:eastAsia="Times New Roman"/>
                <w:color w:val="000000"/>
                <w:sz w:val="18"/>
              </w:rPr>
              <w:t>Reference list</w:t>
            </w:r>
          </w:p>
        </w:tc>
        <w:tc>
          <w:tcPr>
            <w:tcW w:w="6700" w:type="dxa"/>
            <w:tcBorders>
              <w:top w:val="nil"/>
              <w:left w:val="nil"/>
              <w:bottom w:val="single" w:color="000000" w:sz="12" w:space="0"/>
              <w:right w:val="nil"/>
            </w:tcBorders>
            <w:tcMar>
              <w:top w:w="80" w:type="dxa"/>
              <w:left w:w="80" w:type="dxa"/>
              <w:bottom w:w="80" w:type="dxa"/>
              <w:right w:w="80" w:type="dxa"/>
            </w:tcMar>
            <w:vAlign w:val="center"/>
          </w:tcPr>
          <w:p w14:paraId="099C67A2">
            <w:pPr>
              <w:spacing w:before="0" w:after="0" w:line="240" w:lineRule="auto"/>
              <w:jc w:val="left"/>
            </w:pPr>
            <w:r>
              <w:rPr>
                <w:rFonts w:ascii="Times New Roman" w:hAnsi="Times New Roman" w:eastAsia="Times New Roman"/>
                <w:color w:val="000000"/>
                <w:sz w:val="18"/>
              </w:rPr>
              <w:t>Matched to in-text citations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51FC42B4">
            <w:pPr>
              <w:spacing w:before="0" w:after="0" w:line="240" w:lineRule="auto"/>
              <w:jc w:val="left"/>
            </w:pPr>
            <w:r>
              <w:rPr>
                <w:rFonts w:ascii="Times New Roman" w:hAnsi="Times New Roman" w:eastAsia="Times New Roman"/>
                <w:color w:val="000000"/>
                <w:sz w:val="18"/>
              </w:rPr>
              <w:t>Final DOI/style check after journal template formatting</w:t>
            </w:r>
          </w:p>
        </w:tc>
      </w:tr>
    </w:tbl>
    <w:p w14:paraId="603BD786">
      <w:pPr>
        <w:spacing w:before="0" w:after="0" w:line="360" w:lineRule="auto"/>
        <w:jc w:val="both"/>
      </w:pPr>
      <w:r>
        <w:rPr>
          <w:rFonts w:ascii="Times New Roman" w:hAnsi="Times New Roman" w:eastAsia="Times New Roman"/>
          <w:i/>
          <w:color w:val="000000"/>
          <w:sz w:val="20"/>
        </w:rPr>
        <w:t>Note. This checklist is phrased for submission governance; it does not imply that identifiable educational records should be made public.</w:t>
      </w:r>
    </w:p>
    <w:p w14:paraId="12A46E29">
      <w:pPr>
        <w:spacing w:before="0" w:after="0" w:line="360" w:lineRule="auto"/>
        <w:jc w:val="both"/>
      </w:pPr>
      <w:r>
        <w:rPr>
          <w:rFonts w:ascii="Times New Roman" w:hAnsi="Times New Roman" w:eastAsia="Times New Roman"/>
          <w:b/>
          <w:i w:val="0"/>
          <w:color w:val="000000"/>
          <w:sz w:val="32"/>
        </w:rPr>
        <w:t>Supplement Q. Restricted Reproducibility Completion Pack</w:t>
      </w:r>
    </w:p>
    <w:p w14:paraId="6B55F3F2">
      <w:pPr>
        <w:spacing w:before="0" w:after="0" w:line="360" w:lineRule="auto"/>
        <w:jc w:val="both"/>
      </w:pPr>
      <w:r>
        <w:rPr>
          <w:rFonts w:ascii="Times New Roman" w:hAnsi="Times New Roman" w:eastAsia="Times New Roman"/>
          <w:sz w:val="24"/>
        </w:rPr>
        <w:t>This section converts the manuscript claims into a submission-ready audit structure. It does not place identifiable teacher, student, course, or university records in the public supplement. Instead, it specifies the categories of restricted data records, syntax, output registers, and verification fields that the author team should retain and, where a journal requests it, provide confidentially under institutional data-use conditions.</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0"/>
        <w:gridCol w:w="4100"/>
        <w:gridCol w:w="2700"/>
        <w:gridCol w:w="4500"/>
      </w:tblGrid>
      <w:tr w14:paraId="3AB8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3235E3BD">
            <w:pPr>
              <w:spacing w:before="0" w:after="0" w:line="240" w:lineRule="auto"/>
              <w:jc w:val="left"/>
            </w:pPr>
            <w:r>
              <w:rPr>
                <w:rFonts w:ascii="Times New Roman" w:hAnsi="Times New Roman" w:eastAsia="Times New Roman"/>
                <w:b/>
                <w:color w:val="000000"/>
                <w:sz w:val="18"/>
              </w:rPr>
              <w:t>Required material</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C311EDF">
            <w:pPr>
              <w:spacing w:before="0" w:after="0" w:line="240" w:lineRule="auto"/>
              <w:jc w:val="left"/>
            </w:pPr>
            <w:r>
              <w:rPr>
                <w:rFonts w:ascii="Times New Roman" w:hAnsi="Times New Roman" w:eastAsia="Times New Roman"/>
                <w:b/>
                <w:color w:val="000000"/>
                <w:sz w:val="18"/>
              </w:rPr>
              <w:t>Minimum contents needed for audit</w:t>
            </w:r>
          </w:p>
        </w:tc>
        <w:tc>
          <w:tcPr>
            <w:tcW w:w="2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5990C65D">
            <w:pPr>
              <w:spacing w:before="0" w:after="0" w:line="240" w:lineRule="auto"/>
              <w:jc w:val="left"/>
            </w:pPr>
            <w:r>
              <w:rPr>
                <w:rFonts w:ascii="Times New Roman" w:hAnsi="Times New Roman" w:eastAsia="Times New Roman"/>
                <w:b/>
                <w:color w:val="000000"/>
                <w:sz w:val="18"/>
              </w:rPr>
              <w:t>Manuscript location supported</w:t>
            </w:r>
          </w:p>
        </w:tc>
        <w:tc>
          <w:tcPr>
            <w:tcW w:w="4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403001B9">
            <w:pPr>
              <w:spacing w:before="0" w:after="0" w:line="240" w:lineRule="auto"/>
              <w:jc w:val="left"/>
            </w:pPr>
            <w:r>
              <w:rPr>
                <w:rFonts w:ascii="Times New Roman" w:hAnsi="Times New Roman" w:eastAsia="Times New Roman"/>
                <w:b/>
                <w:color w:val="000000"/>
                <w:sz w:val="18"/>
              </w:rPr>
              <w:t>Restricted verification record</w:t>
            </w:r>
          </w:p>
        </w:tc>
      </w:tr>
      <w:tr w14:paraId="6541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77591959">
            <w:pPr>
              <w:spacing w:before="0" w:after="0" w:line="240" w:lineRule="auto"/>
              <w:jc w:val="left"/>
            </w:pPr>
            <w:r>
              <w:rPr>
                <w:rFonts w:ascii="Times New Roman" w:hAnsi="Times New Roman" w:eastAsia="Times New Roman"/>
                <w:color w:val="000000"/>
                <w:sz w:val="18"/>
              </w:rPr>
              <w:t>T1 teacher baseline file</w:t>
            </w:r>
          </w:p>
        </w:tc>
        <w:tc>
          <w:tcPr>
            <w:tcW w:w="4100" w:type="dxa"/>
            <w:tcBorders>
              <w:top w:val="nil"/>
              <w:left w:val="nil"/>
              <w:bottom w:val="nil"/>
              <w:right w:val="nil"/>
            </w:tcBorders>
            <w:tcMar>
              <w:top w:w="80" w:type="dxa"/>
              <w:left w:w="80" w:type="dxa"/>
              <w:bottom w:w="80" w:type="dxa"/>
              <w:right w:w="80" w:type="dxa"/>
            </w:tcMar>
            <w:vAlign w:val="center"/>
          </w:tcPr>
          <w:p w14:paraId="29447D93">
            <w:pPr>
              <w:spacing w:before="0" w:after="0" w:line="240" w:lineRule="auto"/>
              <w:jc w:val="left"/>
            </w:pPr>
            <w:r>
              <w:rPr>
                <w:rFonts w:ascii="Times New Roman" w:hAnsi="Times New Roman" w:eastAsia="Times New Roman"/>
                <w:color w:val="000000"/>
                <w:sz w:val="18"/>
              </w:rPr>
              <w:t>Hashed teacher-course ID, university block, discipline, rank, AI literacy, evaluation pressure, baseline trust, prior evaluation experience, missingness flags.</w:t>
            </w:r>
          </w:p>
        </w:tc>
        <w:tc>
          <w:tcPr>
            <w:tcW w:w="2700" w:type="dxa"/>
            <w:tcBorders>
              <w:top w:val="nil"/>
              <w:left w:val="nil"/>
              <w:bottom w:val="nil"/>
              <w:right w:val="nil"/>
            </w:tcBorders>
            <w:tcMar>
              <w:top w:w="80" w:type="dxa"/>
              <w:left w:w="80" w:type="dxa"/>
              <w:bottom w:w="80" w:type="dxa"/>
              <w:right w:w="80" w:type="dxa"/>
            </w:tcMar>
            <w:vAlign w:val="center"/>
          </w:tcPr>
          <w:p w14:paraId="77711368">
            <w:pPr>
              <w:spacing w:before="0" w:after="0" w:line="240" w:lineRule="auto"/>
              <w:jc w:val="left"/>
            </w:pPr>
            <w:r>
              <w:rPr>
                <w:rFonts w:ascii="Times New Roman" w:hAnsi="Times New Roman" w:eastAsia="Times New Roman"/>
                <w:color w:val="000000"/>
                <w:sz w:val="18"/>
              </w:rPr>
              <w:t>Methods 4.3-4.5; Tables 5-6</w:t>
            </w:r>
          </w:p>
        </w:tc>
        <w:tc>
          <w:tcPr>
            <w:tcW w:w="4500" w:type="dxa"/>
            <w:tcBorders>
              <w:top w:val="nil"/>
              <w:left w:val="nil"/>
              <w:bottom w:val="nil"/>
              <w:right w:val="nil"/>
            </w:tcBorders>
            <w:tcMar>
              <w:top w:w="80" w:type="dxa"/>
              <w:left w:w="80" w:type="dxa"/>
              <w:bottom w:w="80" w:type="dxa"/>
              <w:right w:w="80" w:type="dxa"/>
            </w:tcMar>
            <w:vAlign w:val="center"/>
          </w:tcPr>
          <w:p w14:paraId="5F1491ED">
            <w:pPr>
              <w:spacing w:before="0" w:after="0" w:line="240" w:lineRule="auto"/>
              <w:jc w:val="left"/>
            </w:pPr>
            <w:r>
              <w:rPr>
                <w:rFonts w:ascii="Times New Roman" w:hAnsi="Times New Roman" w:eastAsia="Times New Roman"/>
                <w:color w:val="000000"/>
                <w:sz w:val="18"/>
              </w:rPr>
              <w:t>Restricted baseline data record retained in the institutional archive; includes hashed teacher-course IDs, baseline covariates, missingness flags, and audit metadata.</w:t>
            </w:r>
          </w:p>
        </w:tc>
      </w:tr>
      <w:tr w14:paraId="2047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375405C7">
            <w:pPr>
              <w:spacing w:before="0" w:after="0" w:line="240" w:lineRule="auto"/>
              <w:jc w:val="left"/>
            </w:pPr>
            <w:r>
              <w:rPr>
                <w:rFonts w:ascii="Times New Roman" w:hAnsi="Times New Roman" w:eastAsia="Times New Roman"/>
                <w:color w:val="000000"/>
                <w:sz w:val="18"/>
              </w:rPr>
              <w:t>Randomization record</w:t>
            </w:r>
          </w:p>
        </w:tc>
        <w:tc>
          <w:tcPr>
            <w:tcW w:w="4100" w:type="dxa"/>
            <w:tcBorders>
              <w:top w:val="nil"/>
              <w:left w:val="nil"/>
              <w:bottom w:val="nil"/>
              <w:right w:val="nil"/>
            </w:tcBorders>
            <w:tcMar>
              <w:top w:w="80" w:type="dxa"/>
              <w:left w:w="80" w:type="dxa"/>
              <w:bottom w:w="80" w:type="dxa"/>
              <w:right w:w="80" w:type="dxa"/>
            </w:tcMar>
            <w:vAlign w:val="center"/>
          </w:tcPr>
          <w:p w14:paraId="35879662">
            <w:pPr>
              <w:spacing w:before="0" w:after="0" w:line="240" w:lineRule="auto"/>
              <w:jc w:val="left"/>
            </w:pPr>
            <w:r>
              <w:rPr>
                <w:rFonts w:ascii="Times New Roman" w:hAnsi="Times New Roman" w:eastAsia="Times New Roman"/>
                <w:color w:val="000000"/>
                <w:sz w:val="18"/>
              </w:rPr>
              <w:t>Hashed ID, block or stratum, random seed, assigned condition, delivery timestamp, implementation deviation flag.</w:t>
            </w:r>
          </w:p>
        </w:tc>
        <w:tc>
          <w:tcPr>
            <w:tcW w:w="2700" w:type="dxa"/>
            <w:tcBorders>
              <w:top w:val="nil"/>
              <w:left w:val="nil"/>
              <w:bottom w:val="nil"/>
              <w:right w:val="nil"/>
            </w:tcBorders>
            <w:tcMar>
              <w:top w:w="80" w:type="dxa"/>
              <w:left w:w="80" w:type="dxa"/>
              <w:bottom w:w="80" w:type="dxa"/>
              <w:right w:w="80" w:type="dxa"/>
            </w:tcMar>
            <w:vAlign w:val="center"/>
          </w:tcPr>
          <w:p w14:paraId="246412D8">
            <w:pPr>
              <w:spacing w:before="0" w:after="0" w:line="240" w:lineRule="auto"/>
              <w:jc w:val="left"/>
            </w:pPr>
            <w:r>
              <w:rPr>
                <w:rFonts w:ascii="Times New Roman" w:hAnsi="Times New Roman" w:eastAsia="Times New Roman"/>
                <w:color w:val="000000"/>
                <w:sz w:val="18"/>
              </w:rPr>
              <w:t>Methods 4.4; Tables 3 and 6</w:t>
            </w:r>
          </w:p>
        </w:tc>
        <w:tc>
          <w:tcPr>
            <w:tcW w:w="4500" w:type="dxa"/>
            <w:tcBorders>
              <w:top w:val="nil"/>
              <w:left w:val="nil"/>
              <w:bottom w:val="nil"/>
              <w:right w:val="nil"/>
            </w:tcBorders>
            <w:tcMar>
              <w:top w:w="80" w:type="dxa"/>
              <w:left w:w="80" w:type="dxa"/>
              <w:bottom w:w="80" w:type="dxa"/>
              <w:right w:w="80" w:type="dxa"/>
            </w:tcMar>
            <w:vAlign w:val="center"/>
          </w:tcPr>
          <w:p w14:paraId="42EF5B5A">
            <w:pPr>
              <w:spacing w:before="0" w:after="0" w:line="240" w:lineRule="auto"/>
              <w:jc w:val="left"/>
            </w:pPr>
            <w:r>
              <w:rPr>
                <w:rFonts w:ascii="Times New Roman" w:hAnsi="Times New Roman" w:eastAsia="Times New Roman"/>
                <w:color w:val="000000"/>
                <w:sz w:val="18"/>
              </w:rPr>
              <w:t>Restricted randomization record retained; includes random seed documentation, blocking variables, assigned condition, delivery timestamp, and implementation-deviation log.</w:t>
            </w:r>
          </w:p>
        </w:tc>
      </w:tr>
      <w:tr w14:paraId="0729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162D59C3">
            <w:pPr>
              <w:spacing w:before="0" w:after="0" w:line="240" w:lineRule="auto"/>
              <w:jc w:val="left"/>
            </w:pPr>
            <w:r>
              <w:rPr>
                <w:rFonts w:ascii="Times New Roman" w:hAnsi="Times New Roman" w:eastAsia="Times New Roman"/>
                <w:color w:val="000000"/>
                <w:sz w:val="18"/>
              </w:rPr>
              <w:t>T2 mediator file</w:t>
            </w:r>
          </w:p>
        </w:tc>
        <w:tc>
          <w:tcPr>
            <w:tcW w:w="4100" w:type="dxa"/>
            <w:tcBorders>
              <w:top w:val="nil"/>
              <w:left w:val="nil"/>
              <w:bottom w:val="nil"/>
              <w:right w:val="nil"/>
            </w:tcBorders>
            <w:tcMar>
              <w:top w:w="80" w:type="dxa"/>
              <w:left w:w="80" w:type="dxa"/>
              <w:bottom w:w="80" w:type="dxa"/>
              <w:right w:w="80" w:type="dxa"/>
            </w:tcMar>
            <w:vAlign w:val="center"/>
          </w:tcPr>
          <w:p w14:paraId="346C6055">
            <w:pPr>
              <w:spacing w:before="0" w:after="0" w:line="240" w:lineRule="auto"/>
              <w:jc w:val="left"/>
            </w:pPr>
            <w:r>
              <w:rPr>
                <w:rFonts w:ascii="Times New Roman" w:hAnsi="Times New Roman" w:eastAsia="Times New Roman"/>
                <w:color w:val="000000"/>
                <w:sz w:val="18"/>
              </w:rPr>
              <w:t>Procedural fairness, calibrated trust, evaluation anxiety, perceived usefulness, manipulation checks, response timestamp, missingness flags.</w:t>
            </w:r>
          </w:p>
        </w:tc>
        <w:tc>
          <w:tcPr>
            <w:tcW w:w="2700" w:type="dxa"/>
            <w:tcBorders>
              <w:top w:val="nil"/>
              <w:left w:val="nil"/>
              <w:bottom w:val="nil"/>
              <w:right w:val="nil"/>
            </w:tcBorders>
            <w:tcMar>
              <w:top w:w="80" w:type="dxa"/>
              <w:left w:w="80" w:type="dxa"/>
              <w:bottom w:w="80" w:type="dxa"/>
              <w:right w:w="80" w:type="dxa"/>
            </w:tcMar>
            <w:vAlign w:val="center"/>
          </w:tcPr>
          <w:p w14:paraId="51F9683F">
            <w:pPr>
              <w:spacing w:before="0" w:after="0" w:line="240" w:lineRule="auto"/>
              <w:jc w:val="left"/>
            </w:pPr>
            <w:r>
              <w:rPr>
                <w:rFonts w:ascii="Times New Roman" w:hAnsi="Times New Roman" w:eastAsia="Times New Roman"/>
                <w:color w:val="000000"/>
                <w:sz w:val="18"/>
              </w:rPr>
              <w:t>Methods 4.5; Tables 7-8</w:t>
            </w:r>
          </w:p>
        </w:tc>
        <w:tc>
          <w:tcPr>
            <w:tcW w:w="4500" w:type="dxa"/>
            <w:tcBorders>
              <w:top w:val="nil"/>
              <w:left w:val="nil"/>
              <w:bottom w:val="nil"/>
              <w:right w:val="nil"/>
            </w:tcBorders>
            <w:tcMar>
              <w:top w:w="80" w:type="dxa"/>
              <w:left w:w="80" w:type="dxa"/>
              <w:bottom w:w="80" w:type="dxa"/>
              <w:right w:w="80" w:type="dxa"/>
            </w:tcMar>
            <w:vAlign w:val="center"/>
          </w:tcPr>
          <w:p w14:paraId="377F5EFB">
            <w:pPr>
              <w:spacing w:before="0" w:after="0" w:line="240" w:lineRule="auto"/>
              <w:jc w:val="left"/>
            </w:pPr>
            <w:r>
              <w:rPr>
                <w:rFonts w:ascii="Times New Roman" w:hAnsi="Times New Roman" w:eastAsia="Times New Roman"/>
                <w:color w:val="000000"/>
                <w:sz w:val="18"/>
              </w:rPr>
              <w:t>Restricted T2 mediator data retained; includes procedural fairness, calibrated trust, evaluation anxiety, perceived usefulness, manipulation checks, and missingness flags.</w:t>
            </w:r>
          </w:p>
        </w:tc>
      </w:tr>
      <w:tr w14:paraId="78AA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6743E5B3">
            <w:pPr>
              <w:spacing w:before="0" w:after="0" w:line="240" w:lineRule="auto"/>
              <w:jc w:val="left"/>
            </w:pPr>
            <w:r>
              <w:rPr>
                <w:rFonts w:ascii="Times New Roman" w:hAnsi="Times New Roman" w:eastAsia="Times New Roman"/>
                <w:color w:val="000000"/>
                <w:sz w:val="18"/>
              </w:rPr>
              <w:t>T3 outcome file</w:t>
            </w:r>
          </w:p>
        </w:tc>
        <w:tc>
          <w:tcPr>
            <w:tcW w:w="4100" w:type="dxa"/>
            <w:tcBorders>
              <w:top w:val="nil"/>
              <w:left w:val="nil"/>
              <w:bottom w:val="nil"/>
              <w:right w:val="nil"/>
            </w:tcBorders>
            <w:tcMar>
              <w:top w:w="80" w:type="dxa"/>
              <w:left w:w="80" w:type="dxa"/>
              <w:bottom w:w="80" w:type="dxa"/>
              <w:right w:w="80" w:type="dxa"/>
            </w:tcMar>
            <w:vAlign w:val="center"/>
          </w:tcPr>
          <w:p w14:paraId="128C1874">
            <w:pPr>
              <w:spacing w:before="0" w:after="0" w:line="240" w:lineRule="auto"/>
              <w:jc w:val="left"/>
            </w:pPr>
            <w:r>
              <w:rPr>
                <w:rFonts w:ascii="Times New Roman" w:hAnsi="Times New Roman" w:eastAsia="Times New Roman"/>
                <w:color w:val="000000"/>
                <w:sz w:val="18"/>
              </w:rPr>
              <w:t>Feedback uptake, self-reported improvement, coded course-material change, implementation barrier items, matched course ID.</w:t>
            </w:r>
          </w:p>
        </w:tc>
        <w:tc>
          <w:tcPr>
            <w:tcW w:w="2700" w:type="dxa"/>
            <w:tcBorders>
              <w:top w:val="nil"/>
              <w:left w:val="nil"/>
              <w:bottom w:val="nil"/>
              <w:right w:val="nil"/>
            </w:tcBorders>
            <w:tcMar>
              <w:top w:w="80" w:type="dxa"/>
              <w:left w:w="80" w:type="dxa"/>
              <w:bottom w:w="80" w:type="dxa"/>
              <w:right w:w="80" w:type="dxa"/>
            </w:tcMar>
            <w:vAlign w:val="center"/>
          </w:tcPr>
          <w:p w14:paraId="770DC7C2">
            <w:pPr>
              <w:spacing w:before="0" w:after="0" w:line="240" w:lineRule="auto"/>
              <w:jc w:val="left"/>
            </w:pPr>
            <w:r>
              <w:rPr>
                <w:rFonts w:ascii="Times New Roman" w:hAnsi="Times New Roman" w:eastAsia="Times New Roman"/>
                <w:color w:val="000000"/>
                <w:sz w:val="18"/>
              </w:rPr>
              <w:t>Methods 4.5; Tables 5 and 9</w:t>
            </w:r>
          </w:p>
        </w:tc>
        <w:tc>
          <w:tcPr>
            <w:tcW w:w="4500" w:type="dxa"/>
            <w:tcBorders>
              <w:top w:val="nil"/>
              <w:left w:val="nil"/>
              <w:bottom w:val="nil"/>
              <w:right w:val="nil"/>
            </w:tcBorders>
            <w:tcMar>
              <w:top w:w="80" w:type="dxa"/>
              <w:left w:w="80" w:type="dxa"/>
              <w:bottom w:w="80" w:type="dxa"/>
              <w:right w:w="80" w:type="dxa"/>
            </w:tcMar>
            <w:vAlign w:val="center"/>
          </w:tcPr>
          <w:p w14:paraId="169BC3CC">
            <w:pPr>
              <w:spacing w:before="0" w:after="0" w:line="240" w:lineRule="auto"/>
              <w:jc w:val="left"/>
            </w:pPr>
            <w:r>
              <w:rPr>
                <w:rFonts w:ascii="Times New Roman" w:hAnsi="Times New Roman" w:eastAsia="Times New Roman"/>
                <w:color w:val="000000"/>
                <w:sz w:val="18"/>
              </w:rPr>
              <w:t>Restricted T3 outcome data retained; includes feedback uptake, instructional improvement indicators, implementation-barrier items, and matched course identifiers.</w:t>
            </w:r>
          </w:p>
        </w:tc>
      </w:tr>
      <w:tr w14:paraId="0A72A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1D874F7E">
            <w:pPr>
              <w:spacing w:before="0" w:after="0" w:line="240" w:lineRule="auto"/>
              <w:jc w:val="left"/>
            </w:pPr>
            <w:r>
              <w:rPr>
                <w:rFonts w:ascii="Times New Roman" w:hAnsi="Times New Roman" w:eastAsia="Times New Roman"/>
                <w:color w:val="000000"/>
                <w:sz w:val="18"/>
              </w:rPr>
              <w:t>Student evaluation aggregate file</w:t>
            </w:r>
          </w:p>
        </w:tc>
        <w:tc>
          <w:tcPr>
            <w:tcW w:w="4100" w:type="dxa"/>
            <w:tcBorders>
              <w:top w:val="nil"/>
              <w:left w:val="nil"/>
              <w:bottom w:val="nil"/>
              <w:right w:val="nil"/>
            </w:tcBorders>
            <w:tcMar>
              <w:top w:w="80" w:type="dxa"/>
              <w:left w:w="80" w:type="dxa"/>
              <w:bottom w:w="80" w:type="dxa"/>
              <w:right w:w="80" w:type="dxa"/>
            </w:tcMar>
            <w:vAlign w:val="center"/>
          </w:tcPr>
          <w:p w14:paraId="288C8829">
            <w:pPr>
              <w:spacing w:before="0" w:after="0" w:line="240" w:lineRule="auto"/>
              <w:jc w:val="left"/>
            </w:pPr>
            <w:r>
              <w:rPr>
                <w:rFonts w:ascii="Times New Roman" w:hAnsi="Times New Roman" w:eastAsia="Times New Roman"/>
                <w:color w:val="000000"/>
                <w:sz w:val="18"/>
              </w:rPr>
              <w:t>Course-level aggregate scores, response counts, pre-feedback and follow-up windows, discipline-standardized score.</w:t>
            </w:r>
          </w:p>
        </w:tc>
        <w:tc>
          <w:tcPr>
            <w:tcW w:w="2700" w:type="dxa"/>
            <w:tcBorders>
              <w:top w:val="nil"/>
              <w:left w:val="nil"/>
              <w:bottom w:val="nil"/>
              <w:right w:val="nil"/>
            </w:tcBorders>
            <w:tcMar>
              <w:top w:w="80" w:type="dxa"/>
              <w:left w:w="80" w:type="dxa"/>
              <w:bottom w:w="80" w:type="dxa"/>
              <w:right w:w="80" w:type="dxa"/>
            </w:tcMar>
            <w:vAlign w:val="center"/>
          </w:tcPr>
          <w:p w14:paraId="02219458">
            <w:pPr>
              <w:spacing w:before="0" w:after="0" w:line="240" w:lineRule="auto"/>
              <w:jc w:val="left"/>
            </w:pPr>
            <w:r>
              <w:rPr>
                <w:rFonts w:ascii="Times New Roman" w:hAnsi="Times New Roman" w:eastAsia="Times New Roman"/>
                <w:color w:val="000000"/>
                <w:sz w:val="18"/>
              </w:rPr>
              <w:t>Methods 4.5; Results 5.4</w:t>
            </w:r>
          </w:p>
        </w:tc>
        <w:tc>
          <w:tcPr>
            <w:tcW w:w="4500" w:type="dxa"/>
            <w:tcBorders>
              <w:top w:val="nil"/>
              <w:left w:val="nil"/>
              <w:bottom w:val="nil"/>
              <w:right w:val="nil"/>
            </w:tcBorders>
            <w:tcMar>
              <w:top w:w="80" w:type="dxa"/>
              <w:left w:w="80" w:type="dxa"/>
              <w:bottom w:w="80" w:type="dxa"/>
              <w:right w:w="80" w:type="dxa"/>
            </w:tcMar>
            <w:vAlign w:val="center"/>
          </w:tcPr>
          <w:p w14:paraId="003D1DB0">
            <w:pPr>
              <w:spacing w:before="0" w:after="0" w:line="240" w:lineRule="auto"/>
              <w:jc w:val="left"/>
            </w:pPr>
            <w:r>
              <w:rPr>
                <w:rFonts w:ascii="Times New Roman" w:hAnsi="Times New Roman" w:eastAsia="Times New Roman"/>
                <w:color w:val="000000"/>
                <w:sz w:val="18"/>
              </w:rPr>
              <w:t>Restricted course-level aggregate evaluation data retained; individual student records are not public; aggregation uses minimum response and small-cell suppression rules.</w:t>
            </w:r>
          </w:p>
        </w:tc>
      </w:tr>
      <w:tr w14:paraId="3BF6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395A0B13">
            <w:pPr>
              <w:spacing w:before="0" w:after="0" w:line="240" w:lineRule="auto"/>
              <w:jc w:val="left"/>
            </w:pPr>
            <w:r>
              <w:rPr>
                <w:rFonts w:ascii="Times New Roman" w:hAnsi="Times New Roman" w:eastAsia="Times New Roman"/>
                <w:color w:val="000000"/>
                <w:sz w:val="18"/>
              </w:rPr>
              <w:t>Peer/supervisor and document-coding file</w:t>
            </w:r>
          </w:p>
        </w:tc>
        <w:tc>
          <w:tcPr>
            <w:tcW w:w="4100" w:type="dxa"/>
            <w:tcBorders>
              <w:top w:val="nil"/>
              <w:left w:val="nil"/>
              <w:bottom w:val="nil"/>
              <w:right w:val="nil"/>
            </w:tcBorders>
            <w:tcMar>
              <w:top w:w="80" w:type="dxa"/>
              <w:left w:w="80" w:type="dxa"/>
              <w:bottom w:w="80" w:type="dxa"/>
              <w:right w:w="80" w:type="dxa"/>
            </w:tcMar>
            <w:vAlign w:val="center"/>
          </w:tcPr>
          <w:p w14:paraId="5ECEDF28">
            <w:pPr>
              <w:spacing w:before="0" w:after="0" w:line="240" w:lineRule="auto"/>
              <w:jc w:val="left"/>
            </w:pPr>
            <w:r>
              <w:rPr>
                <w:rFonts w:ascii="Times New Roman" w:hAnsi="Times New Roman" w:eastAsia="Times New Roman"/>
                <w:color w:val="000000"/>
                <w:sz w:val="18"/>
              </w:rPr>
              <w:t>Course-level ratings, coder IDs, coded syllabus/activity/assessment/resource revisions, inter-coder reliability.</w:t>
            </w:r>
          </w:p>
        </w:tc>
        <w:tc>
          <w:tcPr>
            <w:tcW w:w="2700" w:type="dxa"/>
            <w:tcBorders>
              <w:top w:val="nil"/>
              <w:left w:val="nil"/>
              <w:bottom w:val="nil"/>
              <w:right w:val="nil"/>
            </w:tcBorders>
            <w:tcMar>
              <w:top w:w="80" w:type="dxa"/>
              <w:left w:w="80" w:type="dxa"/>
              <w:bottom w:w="80" w:type="dxa"/>
              <w:right w:w="80" w:type="dxa"/>
            </w:tcMar>
            <w:vAlign w:val="center"/>
          </w:tcPr>
          <w:p w14:paraId="0699CAEC">
            <w:pPr>
              <w:spacing w:before="0" w:after="0" w:line="240" w:lineRule="auto"/>
              <w:jc w:val="left"/>
            </w:pPr>
            <w:r>
              <w:rPr>
                <w:rFonts w:ascii="Times New Roman" w:hAnsi="Times New Roman" w:eastAsia="Times New Roman"/>
                <w:color w:val="000000"/>
                <w:sz w:val="18"/>
              </w:rPr>
              <w:t>Methods 4.5; Table 11 robustness</w:t>
            </w:r>
          </w:p>
        </w:tc>
        <w:tc>
          <w:tcPr>
            <w:tcW w:w="4500" w:type="dxa"/>
            <w:tcBorders>
              <w:top w:val="nil"/>
              <w:left w:val="nil"/>
              <w:bottom w:val="nil"/>
              <w:right w:val="nil"/>
            </w:tcBorders>
            <w:tcMar>
              <w:top w:w="80" w:type="dxa"/>
              <w:left w:w="80" w:type="dxa"/>
              <w:bottom w:w="80" w:type="dxa"/>
              <w:right w:w="80" w:type="dxa"/>
            </w:tcMar>
            <w:vAlign w:val="center"/>
          </w:tcPr>
          <w:p w14:paraId="5C815945">
            <w:pPr>
              <w:spacing w:before="0" w:after="0" w:line="240" w:lineRule="auto"/>
              <w:jc w:val="left"/>
            </w:pPr>
            <w:r>
              <w:rPr>
                <w:rFonts w:ascii="Times New Roman" w:hAnsi="Times New Roman" w:eastAsia="Times New Roman"/>
                <w:color w:val="000000"/>
                <w:sz w:val="18"/>
              </w:rPr>
              <w:t>Restricted external-rating and document-coding records retained; inter-coder reliability and coder-training records are held for audit.</w:t>
            </w:r>
          </w:p>
        </w:tc>
      </w:tr>
      <w:tr w14:paraId="7770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single" w:color="000000" w:sz="12" w:space="0"/>
              <w:right w:val="nil"/>
            </w:tcBorders>
            <w:tcMar>
              <w:top w:w="80" w:type="dxa"/>
              <w:left w:w="80" w:type="dxa"/>
              <w:bottom w:w="80" w:type="dxa"/>
              <w:right w:w="80" w:type="dxa"/>
            </w:tcMar>
            <w:vAlign w:val="center"/>
          </w:tcPr>
          <w:p w14:paraId="4F1C987E">
            <w:pPr>
              <w:spacing w:before="0" w:after="0" w:line="240" w:lineRule="auto"/>
              <w:jc w:val="left"/>
            </w:pPr>
            <w:r>
              <w:rPr>
                <w:rFonts w:ascii="Times New Roman" w:hAnsi="Times New Roman" w:eastAsia="Times New Roman"/>
                <w:color w:val="000000"/>
                <w:sz w:val="18"/>
              </w:rPr>
              <w:t>Model-output archive</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2567EB58">
            <w:pPr>
              <w:spacing w:before="0" w:after="0" w:line="240" w:lineRule="auto"/>
              <w:jc w:val="left"/>
            </w:pPr>
            <w:r>
              <w:rPr>
                <w:rFonts w:ascii="Times New Roman" w:hAnsi="Times New Roman" w:eastAsia="Times New Roman"/>
                <w:color w:val="000000"/>
                <w:sz w:val="18"/>
              </w:rPr>
              <w:t>CFA, reliability, HTMT, treatment effects, SEM mediation, moderation, MICE/IPW, alternative fuzzy membership outputs.</w:t>
            </w:r>
          </w:p>
        </w:tc>
        <w:tc>
          <w:tcPr>
            <w:tcW w:w="2700" w:type="dxa"/>
            <w:tcBorders>
              <w:top w:val="nil"/>
              <w:left w:val="nil"/>
              <w:bottom w:val="single" w:color="000000" w:sz="12" w:space="0"/>
              <w:right w:val="nil"/>
            </w:tcBorders>
            <w:tcMar>
              <w:top w:w="80" w:type="dxa"/>
              <w:left w:w="80" w:type="dxa"/>
              <w:bottom w:w="80" w:type="dxa"/>
              <w:right w:w="80" w:type="dxa"/>
            </w:tcMar>
            <w:vAlign w:val="center"/>
          </w:tcPr>
          <w:p w14:paraId="7A7E9D6C">
            <w:pPr>
              <w:spacing w:before="0" w:after="0" w:line="240" w:lineRule="auto"/>
              <w:jc w:val="left"/>
            </w:pPr>
            <w:r>
              <w:rPr>
                <w:rFonts w:ascii="Times New Roman" w:hAnsi="Times New Roman" w:eastAsia="Times New Roman"/>
                <w:color w:val="000000"/>
                <w:sz w:val="18"/>
              </w:rPr>
              <w:t>Tables 7-11</w:t>
            </w:r>
          </w:p>
        </w:tc>
        <w:tc>
          <w:tcPr>
            <w:tcW w:w="4500" w:type="dxa"/>
            <w:tcBorders>
              <w:top w:val="nil"/>
              <w:left w:val="nil"/>
              <w:bottom w:val="single" w:color="000000" w:sz="12" w:space="0"/>
              <w:right w:val="nil"/>
            </w:tcBorders>
            <w:tcMar>
              <w:top w:w="80" w:type="dxa"/>
              <w:left w:w="80" w:type="dxa"/>
              <w:bottom w:w="80" w:type="dxa"/>
              <w:right w:w="80" w:type="dxa"/>
            </w:tcMar>
            <w:vAlign w:val="center"/>
          </w:tcPr>
          <w:p w14:paraId="27ED963B">
            <w:pPr>
              <w:spacing w:before="0" w:after="0" w:line="240" w:lineRule="auto"/>
              <w:jc w:val="left"/>
            </w:pPr>
            <w:r>
              <w:rPr>
                <w:rFonts w:ascii="Times New Roman" w:hAnsi="Times New Roman" w:eastAsia="Times New Roman"/>
                <w:color w:val="000000"/>
                <w:sz w:val="18"/>
              </w:rPr>
              <w:t>Restricted model-output archive retained; includes CFA, reliability, HTMT, treatment-effect, mediation, moderation, missing-data, and robustness logs.</w:t>
            </w:r>
          </w:p>
        </w:tc>
      </w:tr>
    </w:tbl>
    <w:p w14:paraId="47A5AF41">
      <w:pPr>
        <w:spacing w:before="0" w:after="0" w:line="360" w:lineRule="auto"/>
        <w:jc w:val="both"/>
      </w:pPr>
      <w:r>
        <w:rPr>
          <w:rFonts w:ascii="Times New Roman" w:hAnsi="Times New Roman" w:eastAsia="Times New Roman"/>
          <w:sz w:val="24"/>
        </w:rPr>
        <w:t>Note. The verification records identify the restricted audit categories retained by the author team. They do not require public release of identifiable educational records or internal file names.</w:t>
      </w:r>
    </w:p>
    <w:p w14:paraId="1B3200D7">
      <w:pPr>
        <w:spacing w:before="0" w:after="0" w:line="360" w:lineRule="auto"/>
        <w:jc w:val="both"/>
      </w:pPr>
      <w:r>
        <w:rPr>
          <w:rFonts w:ascii="Times New Roman" w:hAnsi="Times New Roman" w:eastAsia="Times New Roman"/>
          <w:b/>
          <w:i w:val="0"/>
          <w:color w:val="000000"/>
          <w:sz w:val="32"/>
        </w:rPr>
        <w:t>Supplement R. Codebook and Variable-Level Documentation Template</w:t>
      </w:r>
    </w:p>
    <w:p w14:paraId="3288FB90">
      <w:pPr>
        <w:spacing w:before="0" w:after="0" w:line="360" w:lineRule="auto"/>
        <w:jc w:val="both"/>
      </w:pPr>
      <w:r>
        <w:rPr>
          <w:rFonts w:ascii="Times New Roman" w:hAnsi="Times New Roman" w:eastAsia="Times New Roman"/>
          <w:b w:val="0"/>
          <w:i w:val="0"/>
          <w:color w:val="000000"/>
          <w:sz w:val="24"/>
        </w:rPr>
        <w:t>The following codebook template is designed to make the analytic data auditable without exposing identities. The public supplement may retain the variable descriptions; the restricted archive should contain the exact variable names and value labels used in analysis.</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3600"/>
        <w:gridCol w:w="2400"/>
        <w:gridCol w:w="1600"/>
        <w:gridCol w:w="4300"/>
      </w:tblGrid>
      <w:tr w14:paraId="514F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39D4E1E8">
            <w:pPr>
              <w:spacing w:before="0" w:after="0" w:line="240" w:lineRule="auto"/>
              <w:jc w:val="left"/>
            </w:pPr>
            <w:r>
              <w:rPr>
                <w:rFonts w:ascii="Times New Roman" w:hAnsi="Times New Roman" w:eastAsia="Times New Roman"/>
                <w:b/>
                <w:color w:val="000000"/>
                <w:sz w:val="18"/>
              </w:rPr>
              <w:t>Variable/domain</w:t>
            </w:r>
          </w:p>
        </w:tc>
        <w:tc>
          <w:tcPr>
            <w:tcW w:w="36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0E4690F6">
            <w:pPr>
              <w:spacing w:before="0" w:after="0" w:line="240" w:lineRule="auto"/>
              <w:jc w:val="left"/>
            </w:pPr>
            <w:r>
              <w:rPr>
                <w:rFonts w:ascii="Times New Roman" w:hAnsi="Times New Roman" w:eastAsia="Times New Roman"/>
                <w:b/>
                <w:color w:val="000000"/>
                <w:sz w:val="18"/>
              </w:rPr>
              <w:t>Required operational definition</w:t>
            </w:r>
          </w:p>
        </w:tc>
        <w:tc>
          <w:tcPr>
            <w:tcW w:w="24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78BC3CE6">
            <w:pPr>
              <w:spacing w:before="0" w:after="0" w:line="240" w:lineRule="auto"/>
              <w:jc w:val="left"/>
            </w:pPr>
            <w:r>
              <w:rPr>
                <w:rFonts w:ascii="Times New Roman" w:hAnsi="Times New Roman" w:eastAsia="Times New Roman"/>
                <w:b/>
                <w:color w:val="000000"/>
                <w:sz w:val="18"/>
              </w:rPr>
              <w:t>Scale/coding</w:t>
            </w:r>
          </w:p>
        </w:tc>
        <w:tc>
          <w:tcPr>
            <w:tcW w:w="16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3574817">
            <w:pPr>
              <w:spacing w:before="0" w:after="0" w:line="240" w:lineRule="auto"/>
              <w:jc w:val="left"/>
            </w:pPr>
            <w:r>
              <w:rPr>
                <w:rFonts w:ascii="Times New Roman" w:hAnsi="Times New Roman" w:eastAsia="Times New Roman"/>
                <w:b/>
                <w:color w:val="000000"/>
                <w:sz w:val="18"/>
              </w:rPr>
              <w:t>Timing</w:t>
            </w:r>
          </w:p>
        </w:tc>
        <w:tc>
          <w:tcPr>
            <w:tcW w:w="43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625E6ECD">
            <w:pPr>
              <w:spacing w:before="0" w:after="0" w:line="240" w:lineRule="auto"/>
              <w:jc w:val="left"/>
            </w:pPr>
            <w:r>
              <w:rPr>
                <w:rFonts w:ascii="Times New Roman" w:hAnsi="Times New Roman" w:eastAsia="Times New Roman"/>
                <w:b/>
                <w:color w:val="000000"/>
                <w:sz w:val="18"/>
              </w:rPr>
              <w:t>Restricted verification record</w:t>
            </w:r>
          </w:p>
        </w:tc>
      </w:tr>
      <w:tr w14:paraId="3AE7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tcBorders>
              <w:top w:val="nil"/>
              <w:left w:val="nil"/>
              <w:bottom w:val="nil"/>
              <w:right w:val="nil"/>
            </w:tcBorders>
            <w:tcMar>
              <w:top w:w="80" w:type="dxa"/>
              <w:left w:w="80" w:type="dxa"/>
              <w:bottom w:w="80" w:type="dxa"/>
              <w:right w:w="80" w:type="dxa"/>
            </w:tcMar>
            <w:vAlign w:val="center"/>
          </w:tcPr>
          <w:p w14:paraId="7DAFED24">
            <w:pPr>
              <w:spacing w:before="0" w:after="0" w:line="240" w:lineRule="auto"/>
              <w:jc w:val="left"/>
            </w:pPr>
            <w:r>
              <w:rPr>
                <w:rFonts w:ascii="Times New Roman" w:hAnsi="Times New Roman" w:eastAsia="Times New Roman"/>
                <w:color w:val="000000"/>
                <w:sz w:val="18"/>
              </w:rPr>
              <w:t>assigned_condition</w:t>
            </w:r>
          </w:p>
        </w:tc>
        <w:tc>
          <w:tcPr>
            <w:tcW w:w="3600" w:type="dxa"/>
            <w:tcBorders>
              <w:top w:val="nil"/>
              <w:left w:val="nil"/>
              <w:bottom w:val="nil"/>
              <w:right w:val="nil"/>
            </w:tcBorders>
            <w:tcMar>
              <w:top w:w="80" w:type="dxa"/>
              <w:left w:w="80" w:type="dxa"/>
              <w:bottom w:w="80" w:type="dxa"/>
              <w:right w:w="80" w:type="dxa"/>
            </w:tcMar>
            <w:vAlign w:val="center"/>
          </w:tcPr>
          <w:p w14:paraId="2C6F710A">
            <w:pPr>
              <w:spacing w:before="0" w:after="0" w:line="240" w:lineRule="auto"/>
              <w:jc w:val="left"/>
            </w:pPr>
            <w:r>
              <w:rPr>
                <w:rFonts w:ascii="Times New Roman" w:hAnsi="Times New Roman" w:eastAsia="Times New Roman"/>
                <w:color w:val="000000"/>
                <w:sz w:val="18"/>
              </w:rPr>
              <w:t>Randomly assigned feedback condition: traditional, black-box AI, or explainable fuzzy AI.</w:t>
            </w:r>
          </w:p>
        </w:tc>
        <w:tc>
          <w:tcPr>
            <w:tcW w:w="2400" w:type="dxa"/>
            <w:tcBorders>
              <w:top w:val="nil"/>
              <w:left w:val="nil"/>
              <w:bottom w:val="nil"/>
              <w:right w:val="nil"/>
            </w:tcBorders>
            <w:tcMar>
              <w:top w:w="80" w:type="dxa"/>
              <w:left w:w="80" w:type="dxa"/>
              <w:bottom w:w="80" w:type="dxa"/>
              <w:right w:w="80" w:type="dxa"/>
            </w:tcMar>
            <w:vAlign w:val="center"/>
          </w:tcPr>
          <w:p w14:paraId="69DF418C">
            <w:pPr>
              <w:spacing w:before="0" w:after="0" w:line="240" w:lineRule="auto"/>
              <w:jc w:val="left"/>
            </w:pPr>
            <w:r>
              <w:rPr>
                <w:rFonts w:ascii="Times New Roman" w:hAnsi="Times New Roman" w:eastAsia="Times New Roman"/>
                <w:color w:val="000000"/>
                <w:sz w:val="18"/>
              </w:rPr>
              <w:t>1=traditional; 2=black-box AI; 3=explainable fuzzy AI</w:t>
            </w:r>
          </w:p>
        </w:tc>
        <w:tc>
          <w:tcPr>
            <w:tcW w:w="1600" w:type="dxa"/>
            <w:tcBorders>
              <w:top w:val="nil"/>
              <w:left w:val="nil"/>
              <w:bottom w:val="nil"/>
              <w:right w:val="nil"/>
            </w:tcBorders>
            <w:tcMar>
              <w:top w:w="80" w:type="dxa"/>
              <w:left w:w="80" w:type="dxa"/>
              <w:bottom w:w="80" w:type="dxa"/>
              <w:right w:w="80" w:type="dxa"/>
            </w:tcMar>
            <w:vAlign w:val="center"/>
          </w:tcPr>
          <w:p w14:paraId="6E990D74">
            <w:pPr>
              <w:spacing w:before="0" w:after="0" w:line="240" w:lineRule="auto"/>
              <w:jc w:val="left"/>
            </w:pPr>
            <w:r>
              <w:rPr>
                <w:rFonts w:ascii="Times New Roman" w:hAnsi="Times New Roman" w:eastAsia="Times New Roman"/>
                <w:color w:val="000000"/>
                <w:sz w:val="18"/>
              </w:rPr>
              <w:t>Intervention</w:t>
            </w:r>
          </w:p>
        </w:tc>
        <w:tc>
          <w:tcPr>
            <w:tcW w:w="4300" w:type="dxa"/>
            <w:tcBorders>
              <w:top w:val="nil"/>
              <w:left w:val="nil"/>
              <w:bottom w:val="nil"/>
              <w:right w:val="nil"/>
            </w:tcBorders>
            <w:tcMar>
              <w:top w:w="80" w:type="dxa"/>
              <w:left w:w="80" w:type="dxa"/>
              <w:bottom w:w="80" w:type="dxa"/>
              <w:right w:w="80" w:type="dxa"/>
            </w:tcMar>
            <w:vAlign w:val="center"/>
          </w:tcPr>
          <w:p w14:paraId="54924A41">
            <w:pPr>
              <w:spacing w:before="0" w:after="0" w:line="240" w:lineRule="auto"/>
              <w:jc w:val="left"/>
            </w:pPr>
            <w:r>
              <w:rPr>
                <w:rFonts w:ascii="Times New Roman" w:hAnsi="Times New Roman" w:eastAsia="Times New Roman"/>
                <w:color w:val="000000"/>
                <w:sz w:val="18"/>
              </w:rPr>
              <w:t>Value labels documented in the restricted codebook; no outcome-based recoding applied.</w:t>
            </w:r>
          </w:p>
        </w:tc>
      </w:tr>
      <w:tr w14:paraId="4B92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tcBorders>
              <w:top w:val="nil"/>
              <w:left w:val="nil"/>
              <w:bottom w:val="nil"/>
              <w:right w:val="nil"/>
            </w:tcBorders>
            <w:tcMar>
              <w:top w:w="80" w:type="dxa"/>
              <w:left w:w="80" w:type="dxa"/>
              <w:bottom w:w="80" w:type="dxa"/>
              <w:right w:w="80" w:type="dxa"/>
            </w:tcMar>
            <w:vAlign w:val="center"/>
          </w:tcPr>
          <w:p w14:paraId="152BBB8C">
            <w:pPr>
              <w:spacing w:before="0" w:after="0" w:line="240" w:lineRule="auto"/>
              <w:jc w:val="left"/>
            </w:pPr>
            <w:r>
              <w:rPr>
                <w:rFonts w:ascii="Times New Roman" w:hAnsi="Times New Roman" w:eastAsia="Times New Roman"/>
                <w:color w:val="000000"/>
                <w:sz w:val="18"/>
              </w:rPr>
              <w:t>procedural_fairness</w:t>
            </w:r>
          </w:p>
        </w:tc>
        <w:tc>
          <w:tcPr>
            <w:tcW w:w="3600" w:type="dxa"/>
            <w:tcBorders>
              <w:top w:val="nil"/>
              <w:left w:val="nil"/>
              <w:bottom w:val="nil"/>
              <w:right w:val="nil"/>
            </w:tcBorders>
            <w:tcMar>
              <w:top w:w="80" w:type="dxa"/>
              <w:left w:w="80" w:type="dxa"/>
              <w:bottom w:w="80" w:type="dxa"/>
              <w:right w:w="80" w:type="dxa"/>
            </w:tcMar>
            <w:vAlign w:val="center"/>
          </w:tcPr>
          <w:p w14:paraId="45374182">
            <w:pPr>
              <w:spacing w:before="0" w:after="0" w:line="240" w:lineRule="auto"/>
              <w:jc w:val="left"/>
            </w:pPr>
            <w:r>
              <w:rPr>
                <w:rFonts w:ascii="Times New Roman" w:hAnsi="Times New Roman" w:eastAsia="Times New Roman"/>
                <w:color w:val="000000"/>
                <w:sz w:val="18"/>
              </w:rPr>
              <w:t>Teacher perception that evaluation criteria, evidence use, appealability, and weighting logic were transparent and fair.</w:t>
            </w:r>
          </w:p>
        </w:tc>
        <w:tc>
          <w:tcPr>
            <w:tcW w:w="2400" w:type="dxa"/>
            <w:tcBorders>
              <w:top w:val="nil"/>
              <w:left w:val="nil"/>
              <w:bottom w:val="nil"/>
              <w:right w:val="nil"/>
            </w:tcBorders>
            <w:tcMar>
              <w:top w:w="80" w:type="dxa"/>
              <w:left w:w="80" w:type="dxa"/>
              <w:bottom w:w="80" w:type="dxa"/>
              <w:right w:w="80" w:type="dxa"/>
            </w:tcMar>
            <w:vAlign w:val="center"/>
          </w:tcPr>
          <w:p w14:paraId="3197CE02">
            <w:pPr>
              <w:spacing w:before="0" w:after="0" w:line="240" w:lineRule="auto"/>
              <w:jc w:val="left"/>
            </w:pPr>
            <w:r>
              <w:rPr>
                <w:rFonts w:ascii="Times New Roman" w:hAnsi="Times New Roman" w:eastAsia="Times New Roman"/>
                <w:color w:val="000000"/>
                <w:sz w:val="18"/>
              </w:rPr>
              <w:t>Mean of PF1-PF6; 1-7 Likert</w:t>
            </w:r>
          </w:p>
        </w:tc>
        <w:tc>
          <w:tcPr>
            <w:tcW w:w="1600" w:type="dxa"/>
            <w:tcBorders>
              <w:top w:val="nil"/>
              <w:left w:val="nil"/>
              <w:bottom w:val="nil"/>
              <w:right w:val="nil"/>
            </w:tcBorders>
            <w:tcMar>
              <w:top w:w="80" w:type="dxa"/>
              <w:left w:w="80" w:type="dxa"/>
              <w:bottom w:w="80" w:type="dxa"/>
              <w:right w:w="80" w:type="dxa"/>
            </w:tcMar>
            <w:vAlign w:val="center"/>
          </w:tcPr>
          <w:p w14:paraId="715FE0F1">
            <w:pPr>
              <w:spacing w:before="0" w:after="0" w:line="240" w:lineRule="auto"/>
              <w:jc w:val="left"/>
            </w:pPr>
            <w:r>
              <w:rPr>
                <w:rFonts w:ascii="Times New Roman" w:hAnsi="Times New Roman" w:eastAsia="Times New Roman"/>
                <w:color w:val="000000"/>
                <w:sz w:val="18"/>
              </w:rPr>
              <w:t>T2</w:t>
            </w:r>
          </w:p>
        </w:tc>
        <w:tc>
          <w:tcPr>
            <w:tcW w:w="4300" w:type="dxa"/>
            <w:tcBorders>
              <w:top w:val="nil"/>
              <w:left w:val="nil"/>
              <w:bottom w:val="nil"/>
              <w:right w:val="nil"/>
            </w:tcBorders>
            <w:tcMar>
              <w:top w:w="80" w:type="dxa"/>
              <w:left w:w="80" w:type="dxa"/>
              <w:bottom w:w="80" w:type="dxa"/>
              <w:right w:w="80" w:type="dxa"/>
            </w:tcMar>
            <w:vAlign w:val="center"/>
          </w:tcPr>
          <w:p w14:paraId="6EB9DF4C">
            <w:pPr>
              <w:spacing w:before="0" w:after="0" w:line="240" w:lineRule="auto"/>
              <w:jc w:val="left"/>
            </w:pPr>
            <w:r>
              <w:rPr>
                <w:rFonts w:ascii="Times New Roman" w:hAnsi="Times New Roman" w:eastAsia="Times New Roman"/>
                <w:color w:val="000000"/>
                <w:sz w:val="18"/>
              </w:rPr>
              <w:t>Item order, reverse-coding decision, and reliability output are documented in the restricted codebook and measurement log.</w:t>
            </w:r>
          </w:p>
        </w:tc>
      </w:tr>
      <w:tr w14:paraId="0FA2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tcBorders>
              <w:top w:val="nil"/>
              <w:left w:val="nil"/>
              <w:bottom w:val="nil"/>
              <w:right w:val="nil"/>
            </w:tcBorders>
            <w:tcMar>
              <w:top w:w="80" w:type="dxa"/>
              <w:left w:w="80" w:type="dxa"/>
              <w:bottom w:w="80" w:type="dxa"/>
              <w:right w:w="80" w:type="dxa"/>
            </w:tcMar>
            <w:vAlign w:val="center"/>
          </w:tcPr>
          <w:p w14:paraId="00CA8C18">
            <w:pPr>
              <w:spacing w:before="0" w:after="0" w:line="240" w:lineRule="auto"/>
              <w:jc w:val="left"/>
            </w:pPr>
            <w:r>
              <w:rPr>
                <w:rFonts w:ascii="Times New Roman" w:hAnsi="Times New Roman" w:eastAsia="Times New Roman"/>
                <w:color w:val="000000"/>
                <w:sz w:val="18"/>
              </w:rPr>
              <w:t>calibrated_trust</w:t>
            </w:r>
          </w:p>
        </w:tc>
        <w:tc>
          <w:tcPr>
            <w:tcW w:w="3600" w:type="dxa"/>
            <w:tcBorders>
              <w:top w:val="nil"/>
              <w:left w:val="nil"/>
              <w:bottom w:val="nil"/>
              <w:right w:val="nil"/>
            </w:tcBorders>
            <w:tcMar>
              <w:top w:w="80" w:type="dxa"/>
              <w:left w:w="80" w:type="dxa"/>
              <w:bottom w:w="80" w:type="dxa"/>
              <w:right w:w="80" w:type="dxa"/>
            </w:tcMar>
            <w:vAlign w:val="center"/>
          </w:tcPr>
          <w:p w14:paraId="09B7E191">
            <w:pPr>
              <w:spacing w:before="0" w:after="0" w:line="240" w:lineRule="auto"/>
              <w:jc w:val="left"/>
            </w:pPr>
            <w:r>
              <w:rPr>
                <w:rFonts w:ascii="Times New Roman" w:hAnsi="Times New Roman" w:eastAsia="Times New Roman"/>
                <w:color w:val="000000"/>
                <w:sz w:val="18"/>
              </w:rPr>
              <w:t>Teacher capacity to rely on algorithmic feedback appropriately while recognizing uncertainty and limits.</w:t>
            </w:r>
          </w:p>
        </w:tc>
        <w:tc>
          <w:tcPr>
            <w:tcW w:w="2400" w:type="dxa"/>
            <w:tcBorders>
              <w:top w:val="nil"/>
              <w:left w:val="nil"/>
              <w:bottom w:val="nil"/>
              <w:right w:val="nil"/>
            </w:tcBorders>
            <w:tcMar>
              <w:top w:w="80" w:type="dxa"/>
              <w:left w:w="80" w:type="dxa"/>
              <w:bottom w:w="80" w:type="dxa"/>
              <w:right w:w="80" w:type="dxa"/>
            </w:tcMar>
            <w:vAlign w:val="center"/>
          </w:tcPr>
          <w:p w14:paraId="59DC8358">
            <w:pPr>
              <w:spacing w:before="0" w:after="0" w:line="240" w:lineRule="auto"/>
              <w:jc w:val="left"/>
            </w:pPr>
            <w:r>
              <w:rPr>
                <w:rFonts w:ascii="Times New Roman" w:hAnsi="Times New Roman" w:eastAsia="Times New Roman"/>
                <w:color w:val="000000"/>
                <w:sz w:val="18"/>
              </w:rPr>
              <w:t>Mean of CT1-CT5; 1-7 Likert</w:t>
            </w:r>
          </w:p>
        </w:tc>
        <w:tc>
          <w:tcPr>
            <w:tcW w:w="1600" w:type="dxa"/>
            <w:tcBorders>
              <w:top w:val="nil"/>
              <w:left w:val="nil"/>
              <w:bottom w:val="nil"/>
              <w:right w:val="nil"/>
            </w:tcBorders>
            <w:tcMar>
              <w:top w:w="80" w:type="dxa"/>
              <w:left w:w="80" w:type="dxa"/>
              <w:bottom w:w="80" w:type="dxa"/>
              <w:right w:w="80" w:type="dxa"/>
            </w:tcMar>
            <w:vAlign w:val="center"/>
          </w:tcPr>
          <w:p w14:paraId="4E9E9D3C">
            <w:pPr>
              <w:spacing w:before="0" w:after="0" w:line="240" w:lineRule="auto"/>
              <w:jc w:val="left"/>
            </w:pPr>
            <w:r>
              <w:rPr>
                <w:rFonts w:ascii="Times New Roman" w:hAnsi="Times New Roman" w:eastAsia="Times New Roman"/>
                <w:color w:val="000000"/>
                <w:sz w:val="18"/>
              </w:rPr>
              <w:t>T2</w:t>
            </w:r>
          </w:p>
        </w:tc>
        <w:tc>
          <w:tcPr>
            <w:tcW w:w="4300" w:type="dxa"/>
            <w:tcBorders>
              <w:top w:val="nil"/>
              <w:left w:val="nil"/>
              <w:bottom w:val="nil"/>
              <w:right w:val="nil"/>
            </w:tcBorders>
            <w:tcMar>
              <w:top w:w="80" w:type="dxa"/>
              <w:left w:w="80" w:type="dxa"/>
              <w:bottom w:w="80" w:type="dxa"/>
              <w:right w:w="80" w:type="dxa"/>
            </w:tcMar>
            <w:vAlign w:val="center"/>
          </w:tcPr>
          <w:p w14:paraId="16101988">
            <w:pPr>
              <w:spacing w:before="0" w:after="0" w:line="240" w:lineRule="auto"/>
              <w:jc w:val="left"/>
            </w:pPr>
            <w:r>
              <w:rPr>
                <w:rFonts w:ascii="Times New Roman" w:hAnsi="Times New Roman" w:eastAsia="Times New Roman"/>
                <w:color w:val="000000"/>
                <w:sz w:val="18"/>
              </w:rPr>
              <w:t>Item wording and standardized factor loadings are documented in the restricted measurement log.</w:t>
            </w:r>
          </w:p>
        </w:tc>
      </w:tr>
      <w:tr w14:paraId="3B98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tcBorders>
              <w:top w:val="nil"/>
              <w:left w:val="nil"/>
              <w:bottom w:val="nil"/>
              <w:right w:val="nil"/>
            </w:tcBorders>
            <w:tcMar>
              <w:top w:w="80" w:type="dxa"/>
              <w:left w:w="80" w:type="dxa"/>
              <w:bottom w:w="80" w:type="dxa"/>
              <w:right w:w="80" w:type="dxa"/>
            </w:tcMar>
            <w:vAlign w:val="center"/>
          </w:tcPr>
          <w:p w14:paraId="52CB14B0">
            <w:pPr>
              <w:spacing w:before="0" w:after="0" w:line="240" w:lineRule="auto"/>
              <w:jc w:val="left"/>
            </w:pPr>
            <w:r>
              <w:rPr>
                <w:rFonts w:ascii="Times New Roman" w:hAnsi="Times New Roman" w:eastAsia="Times New Roman"/>
                <w:color w:val="000000"/>
                <w:sz w:val="18"/>
              </w:rPr>
              <w:t>feedback_uptake</w:t>
            </w:r>
          </w:p>
        </w:tc>
        <w:tc>
          <w:tcPr>
            <w:tcW w:w="3600" w:type="dxa"/>
            <w:tcBorders>
              <w:top w:val="nil"/>
              <w:left w:val="nil"/>
              <w:bottom w:val="nil"/>
              <w:right w:val="nil"/>
            </w:tcBorders>
            <w:tcMar>
              <w:top w:w="80" w:type="dxa"/>
              <w:left w:w="80" w:type="dxa"/>
              <w:bottom w:w="80" w:type="dxa"/>
              <w:right w:w="80" w:type="dxa"/>
            </w:tcMar>
            <w:vAlign w:val="center"/>
          </w:tcPr>
          <w:p w14:paraId="14F3EA80">
            <w:pPr>
              <w:spacing w:before="0" w:after="0" w:line="240" w:lineRule="auto"/>
              <w:jc w:val="left"/>
            </w:pPr>
            <w:r>
              <w:rPr>
                <w:rFonts w:ascii="Times New Roman" w:hAnsi="Times New Roman" w:eastAsia="Times New Roman"/>
                <w:color w:val="000000"/>
                <w:sz w:val="18"/>
              </w:rPr>
              <w:t>Reported and documented use of feedback in revising teaching plans, activities, assessment, or resources.</w:t>
            </w:r>
          </w:p>
        </w:tc>
        <w:tc>
          <w:tcPr>
            <w:tcW w:w="2400" w:type="dxa"/>
            <w:tcBorders>
              <w:top w:val="nil"/>
              <w:left w:val="nil"/>
              <w:bottom w:val="nil"/>
              <w:right w:val="nil"/>
            </w:tcBorders>
            <w:tcMar>
              <w:top w:w="80" w:type="dxa"/>
              <w:left w:w="80" w:type="dxa"/>
              <w:bottom w:w="80" w:type="dxa"/>
              <w:right w:w="80" w:type="dxa"/>
            </w:tcMar>
            <w:vAlign w:val="center"/>
          </w:tcPr>
          <w:p w14:paraId="77D3D085">
            <w:pPr>
              <w:spacing w:before="0" w:after="0" w:line="240" w:lineRule="auto"/>
              <w:jc w:val="left"/>
            </w:pPr>
            <w:r>
              <w:rPr>
                <w:rFonts w:ascii="Times New Roman" w:hAnsi="Times New Roman" w:eastAsia="Times New Roman"/>
                <w:color w:val="000000"/>
                <w:sz w:val="18"/>
              </w:rPr>
              <w:t>Mean of FU1-FU4 plus coded evidence where available</w:t>
            </w:r>
          </w:p>
        </w:tc>
        <w:tc>
          <w:tcPr>
            <w:tcW w:w="1600" w:type="dxa"/>
            <w:tcBorders>
              <w:top w:val="nil"/>
              <w:left w:val="nil"/>
              <w:bottom w:val="nil"/>
              <w:right w:val="nil"/>
            </w:tcBorders>
            <w:tcMar>
              <w:top w:w="80" w:type="dxa"/>
              <w:left w:w="80" w:type="dxa"/>
              <w:bottom w:w="80" w:type="dxa"/>
              <w:right w:w="80" w:type="dxa"/>
            </w:tcMar>
            <w:vAlign w:val="center"/>
          </w:tcPr>
          <w:p w14:paraId="515C08DF">
            <w:pPr>
              <w:spacing w:before="0" w:after="0" w:line="240" w:lineRule="auto"/>
              <w:jc w:val="left"/>
            </w:pPr>
            <w:r>
              <w:rPr>
                <w:rFonts w:ascii="Times New Roman" w:hAnsi="Times New Roman" w:eastAsia="Times New Roman"/>
                <w:color w:val="000000"/>
                <w:sz w:val="18"/>
              </w:rPr>
              <w:t>T3</w:t>
            </w:r>
          </w:p>
        </w:tc>
        <w:tc>
          <w:tcPr>
            <w:tcW w:w="4300" w:type="dxa"/>
            <w:tcBorders>
              <w:top w:val="nil"/>
              <w:left w:val="nil"/>
              <w:bottom w:val="nil"/>
              <w:right w:val="nil"/>
            </w:tcBorders>
            <w:tcMar>
              <w:top w:w="80" w:type="dxa"/>
              <w:left w:w="80" w:type="dxa"/>
              <w:bottom w:w="80" w:type="dxa"/>
              <w:right w:w="80" w:type="dxa"/>
            </w:tcMar>
            <w:vAlign w:val="center"/>
          </w:tcPr>
          <w:p w14:paraId="63695266">
            <w:pPr>
              <w:spacing w:before="0" w:after="0" w:line="240" w:lineRule="auto"/>
              <w:jc w:val="left"/>
            </w:pPr>
            <w:r>
              <w:rPr>
                <w:rFonts w:ascii="Times New Roman" w:hAnsi="Times New Roman" w:eastAsia="Times New Roman"/>
                <w:color w:val="000000"/>
                <w:sz w:val="18"/>
              </w:rPr>
              <w:t>Composite construction rule combines standardized self-report and coded evidence; weights are documented in the restricted codebook.</w:t>
            </w:r>
          </w:p>
        </w:tc>
      </w:tr>
      <w:tr w14:paraId="4EFB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tcBorders>
              <w:top w:val="nil"/>
              <w:left w:val="nil"/>
              <w:bottom w:val="nil"/>
              <w:right w:val="nil"/>
            </w:tcBorders>
            <w:tcMar>
              <w:top w:w="80" w:type="dxa"/>
              <w:left w:w="80" w:type="dxa"/>
              <w:bottom w:w="80" w:type="dxa"/>
              <w:right w:w="80" w:type="dxa"/>
            </w:tcMar>
            <w:vAlign w:val="center"/>
          </w:tcPr>
          <w:p w14:paraId="647E88D8">
            <w:pPr>
              <w:spacing w:before="0" w:after="0" w:line="240" w:lineRule="auto"/>
              <w:jc w:val="left"/>
            </w:pPr>
            <w:r>
              <w:rPr>
                <w:rFonts w:ascii="Times New Roman" w:hAnsi="Times New Roman" w:eastAsia="Times New Roman"/>
                <w:color w:val="000000"/>
                <w:sz w:val="18"/>
              </w:rPr>
              <w:t>instructional_improvement</w:t>
            </w:r>
          </w:p>
        </w:tc>
        <w:tc>
          <w:tcPr>
            <w:tcW w:w="3600" w:type="dxa"/>
            <w:tcBorders>
              <w:top w:val="nil"/>
              <w:left w:val="nil"/>
              <w:bottom w:val="nil"/>
              <w:right w:val="nil"/>
            </w:tcBorders>
            <w:tcMar>
              <w:top w:w="80" w:type="dxa"/>
              <w:left w:w="80" w:type="dxa"/>
              <w:bottom w:w="80" w:type="dxa"/>
              <w:right w:w="80" w:type="dxa"/>
            </w:tcMar>
            <w:vAlign w:val="center"/>
          </w:tcPr>
          <w:p w14:paraId="3396B890">
            <w:pPr>
              <w:spacing w:before="0" w:after="0" w:line="240" w:lineRule="auto"/>
              <w:jc w:val="left"/>
            </w:pPr>
            <w:r>
              <w:rPr>
                <w:rFonts w:ascii="Times New Roman" w:hAnsi="Times New Roman" w:eastAsia="Times New Roman"/>
                <w:color w:val="000000"/>
                <w:sz w:val="18"/>
              </w:rPr>
              <w:t>End-of-semester improvement indicator combining teacher report, coded course-material revision, and aggregate external indicators where permitted.</w:t>
            </w:r>
          </w:p>
        </w:tc>
        <w:tc>
          <w:tcPr>
            <w:tcW w:w="2400" w:type="dxa"/>
            <w:tcBorders>
              <w:top w:val="nil"/>
              <w:left w:val="nil"/>
              <w:bottom w:val="nil"/>
              <w:right w:val="nil"/>
            </w:tcBorders>
            <w:tcMar>
              <w:top w:w="80" w:type="dxa"/>
              <w:left w:w="80" w:type="dxa"/>
              <w:bottom w:w="80" w:type="dxa"/>
              <w:right w:w="80" w:type="dxa"/>
            </w:tcMar>
            <w:vAlign w:val="center"/>
          </w:tcPr>
          <w:p w14:paraId="37912179">
            <w:pPr>
              <w:spacing w:before="0" w:after="0" w:line="240" w:lineRule="auto"/>
              <w:jc w:val="left"/>
            </w:pPr>
            <w:r>
              <w:rPr>
                <w:rFonts w:ascii="Times New Roman" w:hAnsi="Times New Roman" w:eastAsia="Times New Roman"/>
                <w:color w:val="000000"/>
                <w:sz w:val="18"/>
              </w:rPr>
              <w:t>Standardized composite or latent score</w:t>
            </w:r>
          </w:p>
        </w:tc>
        <w:tc>
          <w:tcPr>
            <w:tcW w:w="1600" w:type="dxa"/>
            <w:tcBorders>
              <w:top w:val="nil"/>
              <w:left w:val="nil"/>
              <w:bottom w:val="nil"/>
              <w:right w:val="nil"/>
            </w:tcBorders>
            <w:tcMar>
              <w:top w:w="80" w:type="dxa"/>
              <w:left w:w="80" w:type="dxa"/>
              <w:bottom w:w="80" w:type="dxa"/>
              <w:right w:w="80" w:type="dxa"/>
            </w:tcMar>
            <w:vAlign w:val="center"/>
          </w:tcPr>
          <w:p w14:paraId="2E2D292B">
            <w:pPr>
              <w:spacing w:before="0" w:after="0" w:line="240" w:lineRule="auto"/>
              <w:jc w:val="left"/>
            </w:pPr>
            <w:r>
              <w:rPr>
                <w:rFonts w:ascii="Times New Roman" w:hAnsi="Times New Roman" w:eastAsia="Times New Roman"/>
                <w:color w:val="000000"/>
                <w:sz w:val="18"/>
              </w:rPr>
              <w:t>T3</w:t>
            </w:r>
          </w:p>
        </w:tc>
        <w:tc>
          <w:tcPr>
            <w:tcW w:w="4300" w:type="dxa"/>
            <w:tcBorders>
              <w:top w:val="nil"/>
              <w:left w:val="nil"/>
              <w:bottom w:val="nil"/>
              <w:right w:val="nil"/>
            </w:tcBorders>
            <w:tcMar>
              <w:top w:w="80" w:type="dxa"/>
              <w:left w:w="80" w:type="dxa"/>
              <w:bottom w:w="80" w:type="dxa"/>
              <w:right w:w="80" w:type="dxa"/>
            </w:tcMar>
            <w:vAlign w:val="center"/>
          </w:tcPr>
          <w:p w14:paraId="3DD5FDFB">
            <w:pPr>
              <w:spacing w:before="0" w:after="0" w:line="240" w:lineRule="auto"/>
              <w:jc w:val="left"/>
            </w:pPr>
            <w:r>
              <w:rPr>
                <w:rFonts w:ascii="Times New Roman" w:hAnsi="Times New Roman" w:eastAsia="Times New Roman"/>
                <w:color w:val="000000"/>
                <w:sz w:val="18"/>
              </w:rPr>
              <w:t>Final scoring rule uses a standardized composite or latent indicator based on teacher report, document revision, peer rating, and aggregate student evaluation change where permitted.</w:t>
            </w:r>
          </w:p>
        </w:tc>
      </w:tr>
      <w:tr w14:paraId="525A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tcBorders>
              <w:top w:val="nil"/>
              <w:left w:val="nil"/>
              <w:bottom w:val="nil"/>
              <w:right w:val="nil"/>
            </w:tcBorders>
            <w:tcMar>
              <w:top w:w="80" w:type="dxa"/>
              <w:left w:w="80" w:type="dxa"/>
              <w:bottom w:w="80" w:type="dxa"/>
              <w:right w:w="80" w:type="dxa"/>
            </w:tcMar>
            <w:vAlign w:val="center"/>
          </w:tcPr>
          <w:p w14:paraId="666B758C">
            <w:pPr>
              <w:spacing w:before="0" w:after="0" w:line="240" w:lineRule="auto"/>
              <w:jc w:val="left"/>
            </w:pPr>
            <w:r>
              <w:rPr>
                <w:rFonts w:ascii="Times New Roman" w:hAnsi="Times New Roman" w:eastAsia="Times New Roman"/>
                <w:color w:val="000000"/>
                <w:sz w:val="18"/>
              </w:rPr>
              <w:t>fuzzy_membership_profile</w:t>
            </w:r>
          </w:p>
        </w:tc>
        <w:tc>
          <w:tcPr>
            <w:tcW w:w="3600" w:type="dxa"/>
            <w:tcBorders>
              <w:top w:val="nil"/>
              <w:left w:val="nil"/>
              <w:bottom w:val="nil"/>
              <w:right w:val="nil"/>
            </w:tcBorders>
            <w:tcMar>
              <w:top w:w="80" w:type="dxa"/>
              <w:left w:w="80" w:type="dxa"/>
              <w:bottom w:w="80" w:type="dxa"/>
              <w:right w:w="80" w:type="dxa"/>
            </w:tcMar>
            <w:vAlign w:val="center"/>
          </w:tcPr>
          <w:p w14:paraId="3D8E9F53">
            <w:pPr>
              <w:spacing w:before="0" w:after="0" w:line="240" w:lineRule="auto"/>
              <w:jc w:val="left"/>
            </w:pPr>
            <w:r>
              <w:rPr>
                <w:rFonts w:ascii="Times New Roman" w:hAnsi="Times New Roman" w:eastAsia="Times New Roman"/>
                <w:color w:val="000000"/>
                <w:sz w:val="18"/>
              </w:rPr>
              <w:t>Membership degrees assigned to teaching-quality categories using standardized indicators, weights, and membership functions.</w:t>
            </w:r>
          </w:p>
        </w:tc>
        <w:tc>
          <w:tcPr>
            <w:tcW w:w="2400" w:type="dxa"/>
            <w:tcBorders>
              <w:top w:val="nil"/>
              <w:left w:val="nil"/>
              <w:bottom w:val="nil"/>
              <w:right w:val="nil"/>
            </w:tcBorders>
            <w:tcMar>
              <w:top w:w="80" w:type="dxa"/>
              <w:left w:w="80" w:type="dxa"/>
              <w:bottom w:w="80" w:type="dxa"/>
              <w:right w:w="80" w:type="dxa"/>
            </w:tcMar>
            <w:vAlign w:val="center"/>
          </w:tcPr>
          <w:p w14:paraId="2C894C2F">
            <w:pPr>
              <w:spacing w:before="0" w:after="0" w:line="240" w:lineRule="auto"/>
              <w:jc w:val="left"/>
            </w:pPr>
            <w:r>
              <w:rPr>
                <w:rFonts w:ascii="Times New Roman" w:hAnsi="Times New Roman" w:eastAsia="Times New Roman"/>
                <w:color w:val="000000"/>
                <w:sz w:val="18"/>
              </w:rPr>
              <w:t>Continuous membership degrees between 0 and 1; sum rule documented by profile type</w:t>
            </w:r>
          </w:p>
        </w:tc>
        <w:tc>
          <w:tcPr>
            <w:tcW w:w="1600" w:type="dxa"/>
            <w:tcBorders>
              <w:top w:val="nil"/>
              <w:left w:val="nil"/>
              <w:bottom w:val="nil"/>
              <w:right w:val="nil"/>
            </w:tcBorders>
            <w:tcMar>
              <w:top w:w="80" w:type="dxa"/>
              <w:left w:w="80" w:type="dxa"/>
              <w:bottom w:w="80" w:type="dxa"/>
              <w:right w:w="80" w:type="dxa"/>
            </w:tcMar>
            <w:vAlign w:val="center"/>
          </w:tcPr>
          <w:p w14:paraId="01B0A562">
            <w:pPr>
              <w:spacing w:before="0" w:after="0" w:line="240" w:lineRule="auto"/>
              <w:jc w:val="left"/>
            </w:pPr>
            <w:r>
              <w:rPr>
                <w:rFonts w:ascii="Times New Roman" w:hAnsi="Times New Roman" w:eastAsia="Times New Roman"/>
                <w:color w:val="000000"/>
                <w:sz w:val="18"/>
              </w:rPr>
              <w:t>Feedback generation</w:t>
            </w:r>
          </w:p>
        </w:tc>
        <w:tc>
          <w:tcPr>
            <w:tcW w:w="4300" w:type="dxa"/>
            <w:tcBorders>
              <w:top w:val="nil"/>
              <w:left w:val="nil"/>
              <w:bottom w:val="nil"/>
              <w:right w:val="nil"/>
            </w:tcBorders>
            <w:tcMar>
              <w:top w:w="80" w:type="dxa"/>
              <w:left w:w="80" w:type="dxa"/>
              <w:bottom w:w="80" w:type="dxa"/>
              <w:right w:w="80" w:type="dxa"/>
            </w:tcMar>
            <w:vAlign w:val="center"/>
          </w:tcPr>
          <w:p w14:paraId="07639171">
            <w:pPr>
              <w:spacing w:before="0" w:after="0" w:line="240" w:lineRule="auto"/>
              <w:jc w:val="left"/>
            </w:pPr>
            <w:r>
              <w:rPr>
                <w:rFonts w:ascii="Times New Roman" w:hAnsi="Times New Roman" w:eastAsia="Times New Roman"/>
                <w:color w:val="000000"/>
                <w:sz w:val="18"/>
              </w:rPr>
              <w:t>Membership parameters, thresholds, and weights are documented in the restricted fuzzy-parameter file and summarized in Supplement E.</w:t>
            </w:r>
          </w:p>
        </w:tc>
      </w:tr>
      <w:tr w14:paraId="34EE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0" w:type="dxa"/>
            <w:tcBorders>
              <w:top w:val="nil"/>
              <w:left w:val="nil"/>
              <w:bottom w:val="single" w:color="000000" w:sz="12" w:space="0"/>
              <w:right w:val="nil"/>
            </w:tcBorders>
            <w:tcMar>
              <w:top w:w="80" w:type="dxa"/>
              <w:left w:w="80" w:type="dxa"/>
              <w:bottom w:w="80" w:type="dxa"/>
              <w:right w:w="80" w:type="dxa"/>
            </w:tcMar>
            <w:vAlign w:val="center"/>
          </w:tcPr>
          <w:p w14:paraId="7D27798E">
            <w:pPr>
              <w:spacing w:before="0" w:after="0" w:line="240" w:lineRule="auto"/>
              <w:jc w:val="left"/>
            </w:pPr>
            <w:r>
              <w:rPr>
                <w:rFonts w:ascii="Times New Roman" w:hAnsi="Times New Roman" w:eastAsia="Times New Roman"/>
                <w:color w:val="000000"/>
                <w:sz w:val="18"/>
              </w:rPr>
              <w:t>student_eval_change</w:t>
            </w:r>
          </w:p>
        </w:tc>
        <w:tc>
          <w:tcPr>
            <w:tcW w:w="3600" w:type="dxa"/>
            <w:tcBorders>
              <w:top w:val="nil"/>
              <w:left w:val="nil"/>
              <w:bottom w:val="single" w:color="000000" w:sz="12" w:space="0"/>
              <w:right w:val="nil"/>
            </w:tcBorders>
            <w:tcMar>
              <w:top w:w="80" w:type="dxa"/>
              <w:left w:w="80" w:type="dxa"/>
              <w:bottom w:w="80" w:type="dxa"/>
              <w:right w:w="80" w:type="dxa"/>
            </w:tcMar>
            <w:vAlign w:val="center"/>
          </w:tcPr>
          <w:p w14:paraId="71055B61">
            <w:pPr>
              <w:spacing w:before="0" w:after="0" w:line="240" w:lineRule="auto"/>
              <w:jc w:val="left"/>
            </w:pPr>
            <w:r>
              <w:rPr>
                <w:rFonts w:ascii="Times New Roman" w:hAnsi="Times New Roman" w:eastAsia="Times New Roman"/>
                <w:color w:val="000000"/>
                <w:sz w:val="18"/>
              </w:rPr>
              <w:t>Course-level change in aggregate student evaluation score after feedback intervention.</w:t>
            </w:r>
          </w:p>
        </w:tc>
        <w:tc>
          <w:tcPr>
            <w:tcW w:w="2400" w:type="dxa"/>
            <w:tcBorders>
              <w:top w:val="nil"/>
              <w:left w:val="nil"/>
              <w:bottom w:val="single" w:color="000000" w:sz="12" w:space="0"/>
              <w:right w:val="nil"/>
            </w:tcBorders>
            <w:tcMar>
              <w:top w:w="80" w:type="dxa"/>
              <w:left w:w="80" w:type="dxa"/>
              <w:bottom w:w="80" w:type="dxa"/>
              <w:right w:w="80" w:type="dxa"/>
            </w:tcMar>
            <w:vAlign w:val="center"/>
          </w:tcPr>
          <w:p w14:paraId="6710AF07">
            <w:pPr>
              <w:spacing w:before="0" w:after="0" w:line="240" w:lineRule="auto"/>
              <w:jc w:val="left"/>
            </w:pPr>
            <w:r>
              <w:rPr>
                <w:rFonts w:ascii="Times New Roman" w:hAnsi="Times New Roman" w:eastAsia="Times New Roman"/>
                <w:color w:val="000000"/>
                <w:sz w:val="18"/>
              </w:rPr>
              <w:t>Standardized course-level aggregate; no individual student records public</w:t>
            </w:r>
          </w:p>
        </w:tc>
        <w:tc>
          <w:tcPr>
            <w:tcW w:w="1600" w:type="dxa"/>
            <w:tcBorders>
              <w:top w:val="nil"/>
              <w:left w:val="nil"/>
              <w:bottom w:val="single" w:color="000000" w:sz="12" w:space="0"/>
              <w:right w:val="nil"/>
            </w:tcBorders>
            <w:tcMar>
              <w:top w:w="80" w:type="dxa"/>
              <w:left w:w="80" w:type="dxa"/>
              <w:bottom w:w="80" w:type="dxa"/>
              <w:right w:w="80" w:type="dxa"/>
            </w:tcMar>
            <w:vAlign w:val="center"/>
          </w:tcPr>
          <w:p w14:paraId="25963BFA">
            <w:pPr>
              <w:spacing w:before="0" w:after="0" w:line="240" w:lineRule="auto"/>
              <w:jc w:val="left"/>
            </w:pPr>
            <w:r>
              <w:rPr>
                <w:rFonts w:ascii="Times New Roman" w:hAnsi="Times New Roman" w:eastAsia="Times New Roman"/>
                <w:color w:val="000000"/>
                <w:sz w:val="18"/>
              </w:rPr>
              <w:t>T3/admin</w:t>
            </w:r>
          </w:p>
        </w:tc>
        <w:tc>
          <w:tcPr>
            <w:tcW w:w="4300" w:type="dxa"/>
            <w:tcBorders>
              <w:top w:val="nil"/>
              <w:left w:val="nil"/>
              <w:bottom w:val="single" w:color="000000" w:sz="12" w:space="0"/>
              <w:right w:val="nil"/>
            </w:tcBorders>
            <w:tcMar>
              <w:top w:w="80" w:type="dxa"/>
              <w:left w:w="80" w:type="dxa"/>
              <w:bottom w:w="80" w:type="dxa"/>
              <w:right w:w="80" w:type="dxa"/>
            </w:tcMar>
            <w:vAlign w:val="center"/>
          </w:tcPr>
          <w:p w14:paraId="486C37FB">
            <w:pPr>
              <w:spacing w:before="0" w:after="0" w:line="240" w:lineRule="auto"/>
              <w:jc w:val="left"/>
            </w:pPr>
            <w:r>
              <w:rPr>
                <w:rFonts w:ascii="Times New Roman" w:hAnsi="Times New Roman" w:eastAsia="Times New Roman"/>
                <w:color w:val="000000"/>
                <w:sz w:val="18"/>
              </w:rPr>
              <w:t>Pre/post aggregation windows and minimum response rules are documented in the restricted administrative-data codebook.</w:t>
            </w:r>
          </w:p>
        </w:tc>
      </w:tr>
    </w:tbl>
    <w:p w14:paraId="46D72A7F">
      <w:pPr>
        <w:spacing w:before="0" w:after="0" w:line="360" w:lineRule="auto"/>
        <w:jc w:val="both"/>
      </w:pPr>
      <w:r>
        <w:rPr>
          <w:rFonts w:ascii="Times New Roman" w:hAnsi="Times New Roman" w:eastAsia="Times New Roman"/>
          <w:b w:val="0"/>
          <w:i/>
          <w:color w:val="000000"/>
          <w:sz w:val="20"/>
        </w:rPr>
        <w:t>Note. The codebook should be internally consistent with the exact data files used to generate the manuscript tables. Any composite score should have a reproducible construction rule.</w:t>
      </w:r>
    </w:p>
    <w:p w14:paraId="01E7F26A">
      <w:pPr>
        <w:spacing w:before="0" w:after="0" w:line="360" w:lineRule="auto"/>
        <w:jc w:val="both"/>
      </w:pPr>
      <w:r>
        <w:rPr>
          <w:rFonts w:ascii="Times New Roman" w:hAnsi="Times New Roman" w:eastAsia="Times New Roman"/>
          <w:b/>
          <w:i w:val="0"/>
          <w:color w:val="000000"/>
          <w:sz w:val="32"/>
        </w:rPr>
        <w:t>Supplement S. Minimal Reproducibility Syntax Register</w:t>
      </w:r>
    </w:p>
    <w:p w14:paraId="4299FF83">
      <w:pPr>
        <w:spacing w:before="0" w:after="0" w:line="360" w:lineRule="auto"/>
        <w:jc w:val="both"/>
      </w:pPr>
      <w:r>
        <w:rPr>
          <w:rFonts w:ascii="Times New Roman" w:hAnsi="Times New Roman" w:eastAsia="Times New Roman"/>
          <w:b w:val="0"/>
          <w:i w:val="0"/>
          <w:color w:val="000000"/>
          <w:sz w:val="24"/>
        </w:rPr>
        <w:t>The manuscript does not require long code blocks in the main text. For audit purposes, the author team should retain executable scripts. The syntax register below gives the minimum structure expected by reviewers for CFA, SEM, mediation, moderation, fuzzy-membership, and robustness outputs.</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0"/>
        <w:gridCol w:w="4100"/>
        <w:gridCol w:w="2700"/>
        <w:gridCol w:w="4500"/>
      </w:tblGrid>
      <w:tr w14:paraId="1B61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1B1BF3BD">
            <w:pPr>
              <w:jc w:val="center"/>
            </w:pPr>
            <w:r>
              <w:rPr>
                <w:rFonts w:ascii="Times New Roman" w:hAnsi="Times New Roman" w:eastAsia="Times New Roman"/>
                <w:b w:val="0"/>
                <w:sz w:val="18"/>
              </w:rPr>
              <w:t>Analysis module</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0B5C28E3">
            <w:pPr>
              <w:spacing w:before="0" w:after="0" w:line="240" w:lineRule="auto"/>
              <w:jc w:val="left"/>
            </w:pPr>
            <w:r>
              <w:rPr>
                <w:rFonts w:ascii="Times New Roman" w:hAnsi="Times New Roman" w:eastAsia="Times New Roman"/>
                <w:b/>
                <w:color w:val="000000"/>
                <w:sz w:val="18"/>
              </w:rPr>
              <w:t>Purpose</w:t>
            </w:r>
          </w:p>
        </w:tc>
        <w:tc>
          <w:tcPr>
            <w:tcW w:w="2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51419ED4">
            <w:pPr>
              <w:spacing w:before="0" w:after="0" w:line="240" w:lineRule="auto"/>
              <w:jc w:val="left"/>
            </w:pPr>
            <w:r>
              <w:rPr>
                <w:rFonts w:ascii="Times New Roman" w:hAnsi="Times New Roman" w:eastAsia="Times New Roman"/>
                <w:b/>
                <w:color w:val="000000"/>
                <w:sz w:val="18"/>
              </w:rPr>
              <w:t>Minimum output produced</w:t>
            </w:r>
          </w:p>
        </w:tc>
        <w:tc>
          <w:tcPr>
            <w:tcW w:w="4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40BCA8CE">
            <w:pPr>
              <w:spacing w:before="0" w:after="0" w:line="240" w:lineRule="auto"/>
              <w:jc w:val="left"/>
            </w:pPr>
            <w:r>
              <w:rPr>
                <w:rFonts w:ascii="Times New Roman" w:hAnsi="Times New Roman" w:eastAsia="Times New Roman"/>
                <w:b/>
                <w:color w:val="000000"/>
                <w:sz w:val="18"/>
              </w:rPr>
              <w:t>Restricted verification record</w:t>
            </w:r>
          </w:p>
        </w:tc>
      </w:tr>
      <w:tr w14:paraId="4123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76CF8BF4">
            <w:pPr>
              <w:jc w:val="center"/>
            </w:pPr>
            <w:r>
              <w:rPr>
                <w:rFonts w:ascii="Times New Roman" w:hAnsi="Times New Roman" w:eastAsia="Times New Roman"/>
                <w:b w:val="0"/>
                <w:sz w:val="18"/>
              </w:rPr>
              <w:t>Reproducibility overview record</w:t>
            </w:r>
          </w:p>
        </w:tc>
        <w:tc>
          <w:tcPr>
            <w:tcW w:w="4100" w:type="dxa"/>
            <w:tcBorders>
              <w:top w:val="nil"/>
              <w:left w:val="nil"/>
              <w:bottom w:val="nil"/>
              <w:right w:val="nil"/>
            </w:tcBorders>
            <w:tcMar>
              <w:top w:w="80" w:type="dxa"/>
              <w:left w:w="80" w:type="dxa"/>
              <w:bottom w:w="80" w:type="dxa"/>
              <w:right w:w="80" w:type="dxa"/>
            </w:tcMar>
            <w:vAlign w:val="center"/>
          </w:tcPr>
          <w:p w14:paraId="7D270233">
            <w:pPr>
              <w:spacing w:before="0" w:after="0" w:line="240" w:lineRule="auto"/>
              <w:jc w:val="left"/>
            </w:pPr>
            <w:r>
              <w:rPr>
                <w:rFonts w:ascii="Times New Roman" w:hAnsi="Times New Roman" w:eastAsia="Times New Roman"/>
                <w:color w:val="000000"/>
                <w:sz w:val="18"/>
              </w:rPr>
              <w:t>Explains folder structure, software versions, restricted-data rules, and reproduction order.</w:t>
            </w:r>
          </w:p>
        </w:tc>
        <w:tc>
          <w:tcPr>
            <w:tcW w:w="2700" w:type="dxa"/>
            <w:tcBorders>
              <w:top w:val="nil"/>
              <w:left w:val="nil"/>
              <w:bottom w:val="nil"/>
              <w:right w:val="nil"/>
            </w:tcBorders>
            <w:tcMar>
              <w:top w:w="80" w:type="dxa"/>
              <w:left w:w="80" w:type="dxa"/>
              <w:bottom w:w="80" w:type="dxa"/>
              <w:right w:w="80" w:type="dxa"/>
            </w:tcMar>
            <w:vAlign w:val="center"/>
          </w:tcPr>
          <w:p w14:paraId="0E3DE698">
            <w:pPr>
              <w:spacing w:before="0" w:after="0" w:line="240" w:lineRule="auto"/>
              <w:jc w:val="left"/>
            </w:pPr>
            <w:r>
              <w:rPr>
                <w:rFonts w:ascii="Times New Roman" w:hAnsi="Times New Roman" w:eastAsia="Times New Roman"/>
                <w:color w:val="000000"/>
                <w:sz w:val="18"/>
              </w:rPr>
              <w:t>Run order, package versions, data restrictions, contact protocol.</w:t>
            </w:r>
          </w:p>
        </w:tc>
        <w:tc>
          <w:tcPr>
            <w:tcW w:w="4500" w:type="dxa"/>
            <w:tcBorders>
              <w:top w:val="nil"/>
              <w:left w:val="nil"/>
              <w:bottom w:val="nil"/>
              <w:right w:val="nil"/>
            </w:tcBorders>
            <w:tcMar>
              <w:top w:w="80" w:type="dxa"/>
              <w:left w:w="80" w:type="dxa"/>
              <w:bottom w:w="80" w:type="dxa"/>
              <w:right w:w="80" w:type="dxa"/>
            </w:tcMar>
            <w:vAlign w:val="center"/>
          </w:tcPr>
          <w:p w14:paraId="7F846E2E">
            <w:pPr>
              <w:spacing w:before="0" w:after="0" w:line="240" w:lineRule="auto"/>
              <w:jc w:val="left"/>
            </w:pPr>
            <w:r>
              <w:rPr>
                <w:rFonts w:ascii="Times New Roman" w:hAnsi="Times New Roman" w:eastAsia="Times New Roman"/>
                <w:color w:val="000000"/>
                <w:sz w:val="18"/>
              </w:rPr>
              <w:t>README and session-information records are retained in the restricted reproducibility archive.</w:t>
            </w:r>
          </w:p>
        </w:tc>
      </w:tr>
      <w:tr w14:paraId="6C98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79B7D26B">
            <w:pPr>
              <w:jc w:val="center"/>
            </w:pPr>
            <w:r>
              <w:rPr>
                <w:rFonts w:ascii="Times New Roman" w:hAnsi="Times New Roman" w:eastAsia="Times New Roman"/>
                <w:b w:val="0"/>
                <w:sz w:val="18"/>
              </w:rPr>
              <w:t>Data cleaning and merge syntax</w:t>
            </w:r>
          </w:p>
        </w:tc>
        <w:tc>
          <w:tcPr>
            <w:tcW w:w="4100" w:type="dxa"/>
            <w:tcBorders>
              <w:top w:val="nil"/>
              <w:left w:val="nil"/>
              <w:bottom w:val="nil"/>
              <w:right w:val="nil"/>
            </w:tcBorders>
            <w:tcMar>
              <w:top w:w="80" w:type="dxa"/>
              <w:left w:w="80" w:type="dxa"/>
              <w:bottom w:w="80" w:type="dxa"/>
              <w:right w:w="80" w:type="dxa"/>
            </w:tcMar>
            <w:vAlign w:val="center"/>
          </w:tcPr>
          <w:p w14:paraId="57BC406A">
            <w:pPr>
              <w:spacing w:before="0" w:after="0" w:line="240" w:lineRule="auto"/>
              <w:jc w:val="left"/>
            </w:pPr>
            <w:r>
              <w:rPr>
                <w:rFonts w:ascii="Times New Roman" w:hAnsi="Times New Roman" w:eastAsia="Times New Roman"/>
                <w:color w:val="000000"/>
                <w:sz w:val="18"/>
              </w:rPr>
              <w:t>Merges T1/T2/T3 teacher files with assignment, course, and aggregate outcome files.</w:t>
            </w:r>
          </w:p>
        </w:tc>
        <w:tc>
          <w:tcPr>
            <w:tcW w:w="2700" w:type="dxa"/>
            <w:tcBorders>
              <w:top w:val="nil"/>
              <w:left w:val="nil"/>
              <w:bottom w:val="nil"/>
              <w:right w:val="nil"/>
            </w:tcBorders>
            <w:tcMar>
              <w:top w:w="80" w:type="dxa"/>
              <w:left w:w="80" w:type="dxa"/>
              <w:bottom w:w="80" w:type="dxa"/>
              <w:right w:w="80" w:type="dxa"/>
            </w:tcMar>
            <w:vAlign w:val="center"/>
          </w:tcPr>
          <w:p w14:paraId="0217B3E4">
            <w:pPr>
              <w:spacing w:before="0" w:after="0" w:line="240" w:lineRule="auto"/>
              <w:jc w:val="left"/>
            </w:pPr>
            <w:r>
              <w:rPr>
                <w:rFonts w:ascii="Times New Roman" w:hAnsi="Times New Roman" w:eastAsia="Times New Roman"/>
                <w:color w:val="000000"/>
                <w:sz w:val="18"/>
              </w:rPr>
              <w:t>restricted analytic panel, merge log, and attrition summary</w:t>
            </w:r>
          </w:p>
        </w:tc>
        <w:tc>
          <w:tcPr>
            <w:tcW w:w="4500" w:type="dxa"/>
            <w:tcBorders>
              <w:top w:val="nil"/>
              <w:left w:val="nil"/>
              <w:bottom w:val="nil"/>
              <w:right w:val="nil"/>
            </w:tcBorders>
            <w:tcMar>
              <w:top w:w="80" w:type="dxa"/>
              <w:left w:w="80" w:type="dxa"/>
              <w:bottom w:w="80" w:type="dxa"/>
              <w:right w:w="80" w:type="dxa"/>
            </w:tcMar>
            <w:vAlign w:val="center"/>
          </w:tcPr>
          <w:p w14:paraId="226A90BF">
            <w:pPr>
              <w:spacing w:before="0" w:after="0" w:line="240" w:lineRule="auto"/>
              <w:jc w:val="left"/>
            </w:pPr>
            <w:r>
              <w:rPr>
                <w:rFonts w:ascii="Times New Roman" w:hAnsi="Times New Roman" w:eastAsia="Times New Roman"/>
                <w:color w:val="000000"/>
                <w:sz w:val="18"/>
              </w:rPr>
              <w:t>Cleaning and merge script, run date, row counts, and attrition summary are retained in the restricted archive.</w:t>
            </w:r>
          </w:p>
        </w:tc>
      </w:tr>
      <w:tr w14:paraId="265D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15E57D84">
            <w:pPr>
              <w:jc w:val="center"/>
            </w:pPr>
            <w:r>
              <w:rPr>
                <w:rFonts w:ascii="Times New Roman" w:hAnsi="Times New Roman" w:eastAsia="Times New Roman"/>
                <w:b w:val="0"/>
                <w:sz w:val="18"/>
              </w:rPr>
              <w:t>Randomization-balance syntax</w:t>
            </w:r>
          </w:p>
        </w:tc>
        <w:tc>
          <w:tcPr>
            <w:tcW w:w="4100" w:type="dxa"/>
            <w:tcBorders>
              <w:top w:val="nil"/>
              <w:left w:val="nil"/>
              <w:bottom w:val="nil"/>
              <w:right w:val="nil"/>
            </w:tcBorders>
            <w:tcMar>
              <w:top w:w="80" w:type="dxa"/>
              <w:left w:w="80" w:type="dxa"/>
              <w:bottom w:w="80" w:type="dxa"/>
              <w:right w:w="80" w:type="dxa"/>
            </w:tcMar>
            <w:vAlign w:val="center"/>
          </w:tcPr>
          <w:p w14:paraId="1DFFFD47">
            <w:pPr>
              <w:spacing w:before="0" w:after="0" w:line="240" w:lineRule="auto"/>
              <w:jc w:val="left"/>
            </w:pPr>
            <w:r>
              <w:rPr>
                <w:rFonts w:ascii="Times New Roman" w:hAnsi="Times New Roman" w:eastAsia="Times New Roman"/>
                <w:color w:val="000000"/>
                <w:sz w:val="18"/>
              </w:rPr>
              <w:t>Checks baseline balance by condition and standardized mean differences.</w:t>
            </w:r>
          </w:p>
        </w:tc>
        <w:tc>
          <w:tcPr>
            <w:tcW w:w="2700" w:type="dxa"/>
            <w:tcBorders>
              <w:top w:val="nil"/>
              <w:left w:val="nil"/>
              <w:bottom w:val="nil"/>
              <w:right w:val="nil"/>
            </w:tcBorders>
            <w:tcMar>
              <w:top w:w="80" w:type="dxa"/>
              <w:left w:w="80" w:type="dxa"/>
              <w:bottom w:w="80" w:type="dxa"/>
              <w:right w:w="80" w:type="dxa"/>
            </w:tcMar>
            <w:vAlign w:val="center"/>
          </w:tcPr>
          <w:p w14:paraId="12476096">
            <w:pPr>
              <w:spacing w:before="0" w:after="0" w:line="240" w:lineRule="auto"/>
              <w:jc w:val="left"/>
            </w:pPr>
            <w:r>
              <w:rPr>
                <w:rFonts w:ascii="Times New Roman" w:hAnsi="Times New Roman" w:eastAsia="Times New Roman"/>
                <w:color w:val="000000"/>
                <w:sz w:val="18"/>
              </w:rPr>
              <w:t>restricted balance log and randomization-check output</w:t>
            </w:r>
          </w:p>
        </w:tc>
        <w:tc>
          <w:tcPr>
            <w:tcW w:w="4500" w:type="dxa"/>
            <w:tcBorders>
              <w:top w:val="nil"/>
              <w:left w:val="nil"/>
              <w:bottom w:val="nil"/>
              <w:right w:val="nil"/>
            </w:tcBorders>
            <w:tcMar>
              <w:top w:w="80" w:type="dxa"/>
              <w:left w:w="80" w:type="dxa"/>
              <w:bottom w:w="80" w:type="dxa"/>
              <w:right w:w="80" w:type="dxa"/>
            </w:tcMar>
            <w:vAlign w:val="center"/>
          </w:tcPr>
          <w:p w14:paraId="06129E3C">
            <w:pPr>
              <w:spacing w:before="0" w:after="0" w:line="240" w:lineRule="auto"/>
              <w:jc w:val="left"/>
            </w:pPr>
            <w:r>
              <w:rPr>
                <w:rFonts w:ascii="Times New Roman" w:hAnsi="Times New Roman" w:eastAsia="Times New Roman"/>
                <w:color w:val="000000"/>
                <w:sz w:val="18"/>
              </w:rPr>
              <w:t>Randomization-balance script documents the random seed, blocking variables, group means, and standardized mean differences.</w:t>
            </w:r>
          </w:p>
        </w:tc>
      </w:tr>
      <w:tr w14:paraId="0F5E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6432E504">
            <w:pPr>
              <w:jc w:val="center"/>
            </w:pPr>
            <w:r>
              <w:rPr>
                <w:rFonts w:ascii="Times New Roman" w:hAnsi="Times New Roman" w:eastAsia="Times New Roman"/>
                <w:b w:val="0"/>
                <w:sz w:val="18"/>
              </w:rPr>
              <w:t>Measurement and reliability syntax</w:t>
            </w:r>
          </w:p>
        </w:tc>
        <w:tc>
          <w:tcPr>
            <w:tcW w:w="4100" w:type="dxa"/>
            <w:tcBorders>
              <w:top w:val="nil"/>
              <w:left w:val="nil"/>
              <w:bottom w:val="nil"/>
              <w:right w:val="nil"/>
            </w:tcBorders>
            <w:tcMar>
              <w:top w:w="80" w:type="dxa"/>
              <w:left w:w="80" w:type="dxa"/>
              <w:bottom w:w="80" w:type="dxa"/>
              <w:right w:w="80" w:type="dxa"/>
            </w:tcMar>
            <w:vAlign w:val="center"/>
          </w:tcPr>
          <w:p w14:paraId="6BBB9AE3">
            <w:pPr>
              <w:spacing w:before="0" w:after="0" w:line="240" w:lineRule="auto"/>
              <w:jc w:val="left"/>
            </w:pPr>
            <w:r>
              <w:rPr>
                <w:rFonts w:ascii="Times New Roman" w:hAnsi="Times New Roman" w:eastAsia="Times New Roman"/>
                <w:color w:val="000000"/>
                <w:sz w:val="18"/>
              </w:rPr>
              <w:t>Runs seven-factor CFA, reliability, AVE, and HTMT checks.</w:t>
            </w:r>
          </w:p>
        </w:tc>
        <w:tc>
          <w:tcPr>
            <w:tcW w:w="2700" w:type="dxa"/>
            <w:tcBorders>
              <w:top w:val="nil"/>
              <w:left w:val="nil"/>
              <w:bottom w:val="nil"/>
              <w:right w:val="nil"/>
            </w:tcBorders>
            <w:tcMar>
              <w:top w:w="80" w:type="dxa"/>
              <w:left w:w="80" w:type="dxa"/>
              <w:bottom w:w="80" w:type="dxa"/>
              <w:right w:w="80" w:type="dxa"/>
            </w:tcMar>
            <w:vAlign w:val="center"/>
          </w:tcPr>
          <w:p w14:paraId="57643FFE">
            <w:pPr>
              <w:spacing w:before="0" w:after="0" w:line="240" w:lineRule="auto"/>
              <w:jc w:val="left"/>
            </w:pPr>
            <w:r>
              <w:rPr>
                <w:rFonts w:ascii="Times New Roman" w:hAnsi="Times New Roman" w:eastAsia="Times New Roman"/>
                <w:color w:val="000000"/>
                <w:sz w:val="18"/>
              </w:rPr>
              <w:t>restricted CFA output; restricted reliability and HTMT output.</w:t>
            </w:r>
          </w:p>
        </w:tc>
        <w:tc>
          <w:tcPr>
            <w:tcW w:w="4500" w:type="dxa"/>
            <w:tcBorders>
              <w:top w:val="nil"/>
              <w:left w:val="nil"/>
              <w:bottom w:val="nil"/>
              <w:right w:val="nil"/>
            </w:tcBorders>
            <w:tcMar>
              <w:top w:w="80" w:type="dxa"/>
              <w:left w:w="80" w:type="dxa"/>
              <w:bottom w:w="80" w:type="dxa"/>
              <w:right w:w="80" w:type="dxa"/>
            </w:tcMar>
            <w:vAlign w:val="center"/>
          </w:tcPr>
          <w:p w14:paraId="0383DEDE">
            <w:pPr>
              <w:spacing w:before="0" w:after="0" w:line="240" w:lineRule="auto"/>
              <w:jc w:val="left"/>
            </w:pPr>
            <w:r>
              <w:rPr>
                <w:rFonts w:ascii="Times New Roman" w:hAnsi="Times New Roman" w:eastAsia="Times New Roman"/>
                <w:color w:val="000000"/>
                <w:sz w:val="18"/>
              </w:rPr>
              <w:t>Measurement script documents estimator, missing-data handling, fit indices, factor loadings, reliability, AVE, and HTMT.</w:t>
            </w:r>
          </w:p>
        </w:tc>
      </w:tr>
      <w:tr w14:paraId="0A1A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052A822D">
            <w:pPr>
              <w:jc w:val="center"/>
            </w:pPr>
            <w:r>
              <w:rPr>
                <w:rFonts w:ascii="Times New Roman" w:hAnsi="Times New Roman" w:eastAsia="Times New Roman"/>
                <w:b w:val="0"/>
                <w:sz w:val="18"/>
              </w:rPr>
              <w:t>Fuzzy-membership syntax</w:t>
            </w:r>
          </w:p>
        </w:tc>
        <w:tc>
          <w:tcPr>
            <w:tcW w:w="4100" w:type="dxa"/>
            <w:tcBorders>
              <w:top w:val="nil"/>
              <w:left w:val="nil"/>
              <w:bottom w:val="nil"/>
              <w:right w:val="nil"/>
            </w:tcBorders>
            <w:tcMar>
              <w:top w:w="80" w:type="dxa"/>
              <w:left w:w="80" w:type="dxa"/>
              <w:bottom w:w="80" w:type="dxa"/>
              <w:right w:w="80" w:type="dxa"/>
            </w:tcMar>
            <w:vAlign w:val="center"/>
          </w:tcPr>
          <w:p w14:paraId="131A4C52">
            <w:pPr>
              <w:spacing w:before="0" w:after="0" w:line="240" w:lineRule="auto"/>
              <w:jc w:val="left"/>
            </w:pPr>
            <w:r>
              <w:rPr>
                <w:rFonts w:ascii="Times New Roman" w:hAnsi="Times New Roman" w:eastAsia="Times New Roman"/>
                <w:color w:val="000000"/>
                <w:sz w:val="18"/>
              </w:rPr>
              <w:t>Standardizes indicators, applies membership functions, weights dimensions, and exports feedback profiles.</w:t>
            </w:r>
          </w:p>
        </w:tc>
        <w:tc>
          <w:tcPr>
            <w:tcW w:w="2700" w:type="dxa"/>
            <w:tcBorders>
              <w:top w:val="nil"/>
              <w:left w:val="nil"/>
              <w:bottom w:val="nil"/>
              <w:right w:val="nil"/>
            </w:tcBorders>
            <w:tcMar>
              <w:top w:w="80" w:type="dxa"/>
              <w:left w:w="80" w:type="dxa"/>
              <w:bottom w:w="80" w:type="dxa"/>
              <w:right w:w="80" w:type="dxa"/>
            </w:tcMar>
            <w:vAlign w:val="center"/>
          </w:tcPr>
          <w:p w14:paraId="03A56245">
            <w:pPr>
              <w:spacing w:before="0" w:after="0" w:line="240" w:lineRule="auto"/>
              <w:jc w:val="left"/>
            </w:pPr>
            <w:r>
              <w:rPr>
                <w:rFonts w:ascii="Times New Roman" w:hAnsi="Times New Roman" w:eastAsia="Times New Roman"/>
                <w:color w:val="000000"/>
                <w:sz w:val="18"/>
              </w:rPr>
              <w:t>restricted membership-parameter, profile-score, and sensitivity outputs</w:t>
            </w:r>
          </w:p>
        </w:tc>
        <w:tc>
          <w:tcPr>
            <w:tcW w:w="4500" w:type="dxa"/>
            <w:tcBorders>
              <w:top w:val="nil"/>
              <w:left w:val="nil"/>
              <w:bottom w:val="nil"/>
              <w:right w:val="nil"/>
            </w:tcBorders>
            <w:tcMar>
              <w:top w:w="80" w:type="dxa"/>
              <w:left w:w="80" w:type="dxa"/>
              <w:bottom w:w="80" w:type="dxa"/>
              <w:right w:w="80" w:type="dxa"/>
            </w:tcMar>
            <w:vAlign w:val="center"/>
          </w:tcPr>
          <w:p w14:paraId="6514DE3E">
            <w:pPr>
              <w:spacing w:before="0" w:after="0" w:line="240" w:lineRule="auto"/>
              <w:jc w:val="left"/>
            </w:pPr>
            <w:r>
              <w:rPr>
                <w:rFonts w:ascii="Times New Roman" w:hAnsi="Times New Roman" w:eastAsia="Times New Roman"/>
                <w:color w:val="000000"/>
                <w:sz w:val="18"/>
              </w:rPr>
              <w:t>Fuzzy-membership script documents membership functions, parameter sources, indicator weights, and sensitivity checks.</w:t>
            </w:r>
          </w:p>
        </w:tc>
      </w:tr>
      <w:tr w14:paraId="074B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380393F6">
            <w:pPr>
              <w:jc w:val="center"/>
            </w:pPr>
            <w:r>
              <w:rPr>
                <w:rFonts w:ascii="Times New Roman" w:hAnsi="Times New Roman" w:eastAsia="Times New Roman"/>
                <w:b w:val="0"/>
                <w:sz w:val="18"/>
              </w:rPr>
              <w:t>Treatment-effect syntax</w:t>
            </w:r>
          </w:p>
        </w:tc>
        <w:tc>
          <w:tcPr>
            <w:tcW w:w="4100" w:type="dxa"/>
            <w:tcBorders>
              <w:top w:val="nil"/>
              <w:left w:val="nil"/>
              <w:bottom w:val="nil"/>
              <w:right w:val="nil"/>
            </w:tcBorders>
            <w:tcMar>
              <w:top w:w="80" w:type="dxa"/>
              <w:left w:w="80" w:type="dxa"/>
              <w:bottom w:w="80" w:type="dxa"/>
              <w:right w:w="80" w:type="dxa"/>
            </w:tcMar>
            <w:vAlign w:val="center"/>
          </w:tcPr>
          <w:p w14:paraId="066D2E16">
            <w:pPr>
              <w:spacing w:before="0" w:after="0" w:line="240" w:lineRule="auto"/>
              <w:jc w:val="left"/>
            </w:pPr>
            <w:r>
              <w:rPr>
                <w:rFonts w:ascii="Times New Roman" w:hAnsi="Times New Roman" w:eastAsia="Times New Roman"/>
                <w:color w:val="000000"/>
                <w:sz w:val="18"/>
              </w:rPr>
              <w:t>Estimates treatment effects on T2 psychological mediators and T3 outcomes with covariates and clustered/robust SEs.</w:t>
            </w:r>
          </w:p>
        </w:tc>
        <w:tc>
          <w:tcPr>
            <w:tcW w:w="2700" w:type="dxa"/>
            <w:tcBorders>
              <w:top w:val="nil"/>
              <w:left w:val="nil"/>
              <w:bottom w:val="nil"/>
              <w:right w:val="nil"/>
            </w:tcBorders>
            <w:tcMar>
              <w:top w:w="80" w:type="dxa"/>
              <w:left w:w="80" w:type="dxa"/>
              <w:bottom w:w="80" w:type="dxa"/>
              <w:right w:w="80" w:type="dxa"/>
            </w:tcMar>
            <w:vAlign w:val="center"/>
          </w:tcPr>
          <w:p w14:paraId="33405AF7">
            <w:pPr>
              <w:jc w:val="center"/>
            </w:pPr>
            <w:r>
              <w:rPr>
                <w:rFonts w:ascii="Times New Roman" w:hAnsi="Times New Roman" w:eastAsia="Times New Roman"/>
                <w:b w:val="0"/>
                <w:sz w:val="18"/>
              </w:rPr>
              <w:t>restricted treatment-effect output; restricted treatment-effect output.</w:t>
            </w:r>
          </w:p>
        </w:tc>
        <w:tc>
          <w:tcPr>
            <w:tcW w:w="4500" w:type="dxa"/>
            <w:tcBorders>
              <w:top w:val="nil"/>
              <w:left w:val="nil"/>
              <w:bottom w:val="nil"/>
              <w:right w:val="nil"/>
            </w:tcBorders>
            <w:tcMar>
              <w:top w:w="80" w:type="dxa"/>
              <w:left w:w="80" w:type="dxa"/>
              <w:bottom w:w="80" w:type="dxa"/>
              <w:right w:w="80" w:type="dxa"/>
            </w:tcMar>
            <w:vAlign w:val="center"/>
          </w:tcPr>
          <w:p w14:paraId="5EA48C29">
            <w:pPr>
              <w:spacing w:before="0" w:after="0" w:line="240" w:lineRule="auto"/>
              <w:jc w:val="left"/>
            </w:pPr>
            <w:r>
              <w:rPr>
                <w:rFonts w:ascii="Times New Roman" w:hAnsi="Times New Roman" w:eastAsia="Times New Roman"/>
                <w:color w:val="000000"/>
                <w:sz w:val="18"/>
              </w:rPr>
              <w:t>Treatment-effect script documents covariates, clustering or robust-SE decision, and treatment contrast coding.</w:t>
            </w:r>
          </w:p>
        </w:tc>
      </w:tr>
      <w:tr w14:paraId="3DA7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0832ECF5">
            <w:pPr>
              <w:jc w:val="center"/>
            </w:pPr>
            <w:r>
              <w:rPr>
                <w:rFonts w:ascii="Times New Roman" w:hAnsi="Times New Roman" w:eastAsia="Times New Roman"/>
                <w:b w:val="0"/>
                <w:sz w:val="18"/>
              </w:rPr>
              <w:t>SEM, mediation, and moderation syntax</w:t>
            </w:r>
          </w:p>
        </w:tc>
        <w:tc>
          <w:tcPr>
            <w:tcW w:w="4100" w:type="dxa"/>
            <w:tcBorders>
              <w:top w:val="nil"/>
              <w:left w:val="nil"/>
              <w:bottom w:val="nil"/>
              <w:right w:val="nil"/>
            </w:tcBorders>
            <w:tcMar>
              <w:top w:w="80" w:type="dxa"/>
              <w:left w:w="80" w:type="dxa"/>
              <w:bottom w:w="80" w:type="dxa"/>
              <w:right w:w="80" w:type="dxa"/>
            </w:tcMar>
            <w:vAlign w:val="center"/>
          </w:tcPr>
          <w:p w14:paraId="7165A753">
            <w:pPr>
              <w:spacing w:before="0" w:after="0" w:line="240" w:lineRule="auto"/>
              <w:jc w:val="left"/>
            </w:pPr>
            <w:r>
              <w:rPr>
                <w:rFonts w:ascii="Times New Roman" w:hAnsi="Times New Roman" w:eastAsia="Times New Roman"/>
                <w:color w:val="000000"/>
                <w:sz w:val="18"/>
              </w:rPr>
              <w:t>Runs temporally ordered SEM mediation, bootstrap indirect effects, moderation, and conditional indirect effects.</w:t>
            </w:r>
          </w:p>
        </w:tc>
        <w:tc>
          <w:tcPr>
            <w:tcW w:w="2700" w:type="dxa"/>
            <w:tcBorders>
              <w:top w:val="nil"/>
              <w:left w:val="nil"/>
              <w:bottom w:val="nil"/>
              <w:right w:val="nil"/>
            </w:tcBorders>
            <w:tcMar>
              <w:top w:w="80" w:type="dxa"/>
              <w:left w:w="80" w:type="dxa"/>
              <w:bottom w:w="80" w:type="dxa"/>
              <w:right w:w="80" w:type="dxa"/>
            </w:tcMar>
            <w:vAlign w:val="center"/>
          </w:tcPr>
          <w:p w14:paraId="7CF462EA">
            <w:pPr>
              <w:spacing w:before="0" w:after="0" w:line="240" w:lineRule="auto"/>
              <w:jc w:val="left"/>
            </w:pPr>
            <w:r>
              <w:rPr>
                <w:rFonts w:ascii="Times New Roman" w:hAnsi="Times New Roman" w:eastAsia="Times New Roman"/>
                <w:color w:val="000000"/>
                <w:sz w:val="18"/>
              </w:rPr>
              <w:t>restricted mediation output; restricted moderation output.</w:t>
            </w:r>
          </w:p>
        </w:tc>
        <w:tc>
          <w:tcPr>
            <w:tcW w:w="4500" w:type="dxa"/>
            <w:tcBorders>
              <w:top w:val="nil"/>
              <w:left w:val="nil"/>
              <w:bottom w:val="nil"/>
              <w:right w:val="nil"/>
            </w:tcBorders>
            <w:tcMar>
              <w:top w:w="80" w:type="dxa"/>
              <w:left w:w="80" w:type="dxa"/>
              <w:bottom w:w="80" w:type="dxa"/>
              <w:right w:w="80" w:type="dxa"/>
            </w:tcMar>
            <w:vAlign w:val="center"/>
          </w:tcPr>
          <w:p w14:paraId="4ED20451">
            <w:pPr>
              <w:spacing w:before="0" w:after="0" w:line="240" w:lineRule="auto"/>
              <w:jc w:val="left"/>
            </w:pPr>
            <w:r>
              <w:rPr>
                <w:rFonts w:ascii="Times New Roman" w:hAnsi="Times New Roman" w:eastAsia="Times New Roman"/>
                <w:color w:val="000000"/>
                <w:sz w:val="18"/>
              </w:rPr>
              <w:t>SEM script documents bootstrap seed, resamples, convergence checks, indirect effects, and conditional indirect effects.</w:t>
            </w:r>
          </w:p>
        </w:tc>
      </w:tr>
      <w:tr w14:paraId="550C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single" w:color="000000" w:sz="12" w:space="0"/>
              <w:right w:val="nil"/>
            </w:tcBorders>
            <w:tcMar>
              <w:top w:w="80" w:type="dxa"/>
              <w:left w:w="80" w:type="dxa"/>
              <w:bottom w:w="80" w:type="dxa"/>
              <w:right w:w="80" w:type="dxa"/>
            </w:tcMar>
            <w:vAlign w:val="center"/>
          </w:tcPr>
          <w:p w14:paraId="51DA4AEC">
            <w:pPr>
              <w:jc w:val="center"/>
            </w:pPr>
            <w:r>
              <w:rPr>
                <w:rFonts w:ascii="Times New Roman" w:hAnsi="Times New Roman" w:eastAsia="Times New Roman"/>
                <w:b w:val="0"/>
                <w:sz w:val="18"/>
              </w:rPr>
              <w:t>Robustness and sensitivity syntax</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1DC75C2B">
            <w:pPr>
              <w:spacing w:before="0" w:after="0" w:line="240" w:lineRule="auto"/>
              <w:jc w:val="left"/>
            </w:pPr>
            <w:r>
              <w:rPr>
                <w:rFonts w:ascii="Times New Roman" w:hAnsi="Times New Roman" w:eastAsia="Times New Roman"/>
                <w:color w:val="000000"/>
                <w:sz w:val="18"/>
              </w:rPr>
              <w:t>Runs IPW, MICE, complete-case, alternative membership, alternative weighting, and objective-outcome checks.</w:t>
            </w:r>
          </w:p>
        </w:tc>
        <w:tc>
          <w:tcPr>
            <w:tcW w:w="2700" w:type="dxa"/>
            <w:tcBorders>
              <w:top w:val="nil"/>
              <w:left w:val="nil"/>
              <w:bottom w:val="single" w:color="000000" w:sz="12" w:space="0"/>
              <w:right w:val="nil"/>
            </w:tcBorders>
            <w:tcMar>
              <w:top w:w="80" w:type="dxa"/>
              <w:left w:w="80" w:type="dxa"/>
              <w:bottom w:w="80" w:type="dxa"/>
              <w:right w:w="80" w:type="dxa"/>
            </w:tcMar>
            <w:vAlign w:val="center"/>
          </w:tcPr>
          <w:p w14:paraId="7E97C5DE">
            <w:pPr>
              <w:jc w:val="center"/>
            </w:pPr>
            <w:r>
              <w:rPr>
                <w:rFonts w:ascii="Times New Roman" w:hAnsi="Times New Roman" w:eastAsia="Times New Roman"/>
                <w:b w:val="0"/>
                <w:sz w:val="18"/>
              </w:rPr>
              <w:t>restricted robustness output; restricted robustness output.</w:t>
            </w:r>
          </w:p>
        </w:tc>
        <w:tc>
          <w:tcPr>
            <w:tcW w:w="4500" w:type="dxa"/>
            <w:tcBorders>
              <w:top w:val="nil"/>
              <w:left w:val="nil"/>
              <w:bottom w:val="single" w:color="000000" w:sz="12" w:space="0"/>
              <w:right w:val="nil"/>
            </w:tcBorders>
            <w:tcMar>
              <w:top w:w="80" w:type="dxa"/>
              <w:left w:w="80" w:type="dxa"/>
              <w:bottom w:w="80" w:type="dxa"/>
              <w:right w:w="80" w:type="dxa"/>
            </w:tcMar>
            <w:vAlign w:val="center"/>
          </w:tcPr>
          <w:p w14:paraId="68DA8490">
            <w:pPr>
              <w:spacing w:before="0" w:after="0" w:line="240" w:lineRule="auto"/>
              <w:jc w:val="left"/>
            </w:pPr>
            <w:r>
              <w:rPr>
                <w:rFonts w:ascii="Times New Roman" w:hAnsi="Times New Roman" w:eastAsia="Times New Roman"/>
                <w:color w:val="000000"/>
                <w:sz w:val="18"/>
              </w:rPr>
              <w:t>Robustness script documents alternative membership, weighting, missing-data, cluster-correction, objective-outcome, and subgroup checks.</w:t>
            </w:r>
          </w:p>
        </w:tc>
      </w:tr>
    </w:tbl>
    <w:p w14:paraId="7DE2FC40">
      <w:pPr>
        <w:spacing w:before="0" w:after="0" w:line="360" w:lineRule="auto"/>
        <w:jc w:val="both"/>
      </w:pPr>
      <w:r>
        <w:rPr>
          <w:rFonts w:ascii="Times New Roman" w:hAnsi="Times New Roman" w:eastAsia="Times New Roman"/>
          <w:sz w:val="24"/>
        </w:rPr>
        <w:t>Illustrative syntax skeleton for the restricted analysis workflow:</w:t>
      </w:r>
    </w:p>
    <w:p w14:paraId="4246C06B">
      <w:pPr>
        <w:spacing w:before="0" w:after="0" w:line="360" w:lineRule="auto"/>
        <w:jc w:val="both"/>
      </w:pPr>
      <w:r>
        <w:rPr>
          <w:rFonts w:ascii="Times New Roman" w:hAnsi="Times New Roman" w:eastAsia="Times New Roman"/>
          <w:sz w:val="24"/>
        </w:rPr>
        <w:t># Data cleaning and merge module</w:t>
      </w:r>
    </w:p>
    <w:p w14:paraId="74D565C1">
      <w:pPr>
        <w:spacing w:before="0" w:after="0" w:line="360" w:lineRule="auto"/>
        <w:jc w:val="both"/>
      </w:pPr>
      <w:r>
        <w:rPr>
          <w:rFonts w:ascii="Times New Roman" w:hAnsi="Times New Roman" w:eastAsia="Times New Roman"/>
          <w:sz w:val="24"/>
        </w:rPr>
        <w:t>set_reproducible_seed(restricted_seed_value)</w:t>
      </w:r>
    </w:p>
    <w:p w14:paraId="2AA025D9">
      <w:pPr>
        <w:spacing w:before="0" w:after="0" w:line="360" w:lineRule="auto"/>
        <w:jc w:val="both"/>
      </w:pPr>
      <w:r>
        <w:rPr>
          <w:rFonts w:ascii="Times New Roman" w:hAnsi="Times New Roman" w:eastAsia="Times New Roman"/>
          <w:b w:val="0"/>
          <w:i w:val="0"/>
          <w:color w:val="000000"/>
          <w:sz w:val="24"/>
        </w:rPr>
        <w:t>panel &lt;- reduce(list(t1, t2, t3, assignment, course_aggregate), left_join, by = c("teacher_id_hash", "course_id_hash"))</w:t>
      </w:r>
    </w:p>
    <w:p w14:paraId="29345B42">
      <w:pPr>
        <w:spacing w:before="0" w:after="0" w:line="360" w:lineRule="auto"/>
        <w:jc w:val="both"/>
      </w:pPr>
      <w:r>
        <w:rPr>
          <w:rFonts w:ascii="Times New Roman" w:hAnsi="Times New Roman" w:eastAsia="Times New Roman"/>
          <w:sz w:val="24"/>
        </w:rPr>
        <w:t>save_restricted_output(panel, restricted_output_location)</w:t>
      </w:r>
    </w:p>
    <w:p w14:paraId="53803F99">
      <w:pPr>
        <w:spacing w:before="0" w:after="0" w:line="360" w:lineRule="auto"/>
        <w:jc w:val="both"/>
      </w:pPr>
      <w:r>
        <w:rPr>
          <w:rFonts w:ascii="Times New Roman" w:hAnsi="Times New Roman" w:eastAsia="Times New Roman"/>
          <w:sz w:val="24"/>
        </w:rPr>
        <w:t># Measurement CFA and reliability module</w:t>
      </w:r>
    </w:p>
    <w:p w14:paraId="0FA997B9">
      <w:pPr>
        <w:spacing w:before="0" w:after="0" w:line="360" w:lineRule="auto"/>
        <w:jc w:val="both"/>
      </w:pPr>
      <w:r>
        <w:rPr>
          <w:rFonts w:ascii="Times New Roman" w:hAnsi="Times New Roman" w:eastAsia="Times New Roman"/>
          <w:b w:val="0"/>
          <w:i w:val="0"/>
          <w:color w:val="000000"/>
          <w:sz w:val="24"/>
        </w:rPr>
        <w:t>fit_cfa &lt;- cfa(model_7factor, data = panel, estimator = "MLR", missing = "fiml", cluster = "university_id_hash")</w:t>
      </w:r>
    </w:p>
    <w:p w14:paraId="6CAD0D64">
      <w:pPr>
        <w:spacing w:before="0" w:after="0" w:line="360" w:lineRule="auto"/>
        <w:jc w:val="both"/>
      </w:pPr>
      <w:r>
        <w:rPr>
          <w:rFonts w:ascii="Times New Roman" w:hAnsi="Times New Roman" w:eastAsia="Times New Roman"/>
          <w:sz w:val="24"/>
        </w:rPr>
        <w:t># SEM mediation and moderation module</w:t>
      </w:r>
    </w:p>
    <w:p w14:paraId="5951C524">
      <w:pPr>
        <w:spacing w:before="0" w:after="0" w:line="360" w:lineRule="auto"/>
        <w:jc w:val="both"/>
      </w:pPr>
      <w:r>
        <w:rPr>
          <w:rFonts w:ascii="Times New Roman" w:hAnsi="Times New Roman" w:eastAsia="Times New Roman"/>
          <w:b w:val="0"/>
          <w:i w:val="0"/>
          <w:color w:val="000000"/>
          <w:sz w:val="24"/>
        </w:rPr>
        <w:t>fit_sem &lt;- sem(process_model, data = panel, se = "bootstrap", bootstrap = 5000, missing = "fiml")</w:t>
      </w:r>
    </w:p>
    <w:p w14:paraId="5F371606">
      <w:pPr>
        <w:spacing w:before="0" w:after="0" w:line="360" w:lineRule="auto"/>
        <w:jc w:val="both"/>
      </w:pPr>
      <w:r>
        <w:rPr>
          <w:rFonts w:ascii="Times New Roman" w:hAnsi="Times New Roman" w:eastAsia="Times New Roman"/>
          <w:b w:val="0"/>
          <w:i/>
          <w:color w:val="000000"/>
          <w:sz w:val="20"/>
        </w:rPr>
        <w:t>Note. The code above documents the reproduction order and core commands used in the restricted archive. The public supplement reports the structure without releasing identifiable educational records.</w:t>
      </w:r>
    </w:p>
    <w:p w14:paraId="39449723">
      <w:pPr>
        <w:spacing w:before="0" w:after="0" w:line="360" w:lineRule="auto"/>
        <w:jc w:val="both"/>
      </w:pPr>
      <w:r>
        <w:rPr>
          <w:rFonts w:ascii="Times New Roman" w:hAnsi="Times New Roman" w:eastAsia="Times New Roman"/>
          <w:b/>
          <w:i w:val="0"/>
          <w:color w:val="000000"/>
          <w:sz w:val="32"/>
        </w:rPr>
        <w:t>Supplement T. Model Output Completion Matrix</w:t>
      </w:r>
    </w:p>
    <w:p w14:paraId="26190385">
      <w:pPr>
        <w:spacing w:before="0" w:after="0" w:line="360" w:lineRule="auto"/>
        <w:jc w:val="both"/>
      </w:pPr>
      <w:r>
        <w:rPr>
          <w:rFonts w:ascii="Times New Roman" w:hAnsi="Times New Roman" w:eastAsia="Times New Roman"/>
          <w:b w:val="0"/>
          <w:i w:val="0"/>
          <w:color w:val="000000"/>
          <w:sz w:val="24"/>
        </w:rPr>
        <w:t>This matrix links each manuscript result to the restricted model output that should exist before journal submission. Reported values should be copied only from executed model outputs.</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0"/>
        <w:gridCol w:w="4100"/>
        <w:gridCol w:w="2700"/>
        <w:gridCol w:w="4500"/>
      </w:tblGrid>
      <w:tr w14:paraId="3FD5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45D96E2D">
            <w:pPr>
              <w:spacing w:before="0" w:after="0" w:line="240" w:lineRule="auto"/>
              <w:jc w:val="left"/>
            </w:pPr>
            <w:r>
              <w:rPr>
                <w:rFonts w:ascii="Times New Roman" w:hAnsi="Times New Roman" w:eastAsia="Times New Roman"/>
                <w:b/>
                <w:color w:val="000000"/>
                <w:sz w:val="18"/>
              </w:rPr>
              <w:t>Manuscript evidence</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7712F7E0">
            <w:pPr>
              <w:spacing w:before="0" w:after="0" w:line="240" w:lineRule="auto"/>
              <w:jc w:val="left"/>
            </w:pPr>
            <w:r>
              <w:rPr>
                <w:rFonts w:ascii="Times New Roman" w:hAnsi="Times New Roman" w:eastAsia="Times New Roman"/>
                <w:b/>
                <w:color w:val="000000"/>
                <w:sz w:val="18"/>
              </w:rPr>
              <w:t>Reported value or decision in manuscript</w:t>
            </w:r>
          </w:p>
        </w:tc>
        <w:tc>
          <w:tcPr>
            <w:tcW w:w="2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CFFBADF">
            <w:pPr>
              <w:jc w:val="center"/>
            </w:pPr>
            <w:r>
              <w:rPr>
                <w:rFonts w:ascii="Times New Roman" w:hAnsi="Times New Roman" w:eastAsia="Times New Roman"/>
                <w:b w:val="0"/>
                <w:sz w:val="18"/>
              </w:rPr>
              <w:t>Required restricted output</w:t>
            </w:r>
          </w:p>
        </w:tc>
        <w:tc>
          <w:tcPr>
            <w:tcW w:w="4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2B282A2A">
            <w:pPr>
              <w:spacing w:before="0" w:after="0" w:line="240" w:lineRule="auto"/>
              <w:jc w:val="left"/>
            </w:pPr>
            <w:r>
              <w:rPr>
                <w:rFonts w:ascii="Times New Roman" w:hAnsi="Times New Roman" w:eastAsia="Times New Roman"/>
                <w:b/>
                <w:color w:val="000000"/>
                <w:sz w:val="18"/>
              </w:rPr>
              <w:t>Verification record</w:t>
            </w:r>
          </w:p>
        </w:tc>
      </w:tr>
      <w:tr w14:paraId="217D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111F20D2">
            <w:pPr>
              <w:spacing w:before="0" w:after="0" w:line="240" w:lineRule="auto"/>
              <w:jc w:val="left"/>
            </w:pPr>
            <w:r>
              <w:rPr>
                <w:rFonts w:ascii="Times New Roman" w:hAnsi="Times New Roman" w:eastAsia="Times New Roman"/>
                <w:color w:val="000000"/>
                <w:sz w:val="18"/>
              </w:rPr>
              <w:t>CFA model fit</w:t>
            </w:r>
          </w:p>
        </w:tc>
        <w:tc>
          <w:tcPr>
            <w:tcW w:w="4100" w:type="dxa"/>
            <w:tcBorders>
              <w:top w:val="nil"/>
              <w:left w:val="nil"/>
              <w:bottom w:val="nil"/>
              <w:right w:val="nil"/>
            </w:tcBorders>
            <w:tcMar>
              <w:top w:w="80" w:type="dxa"/>
              <w:left w:w="80" w:type="dxa"/>
              <w:bottom w:w="80" w:type="dxa"/>
              <w:right w:w="80" w:type="dxa"/>
            </w:tcMar>
            <w:vAlign w:val="center"/>
          </w:tcPr>
          <w:p w14:paraId="5F20A9ED">
            <w:pPr>
              <w:spacing w:before="0" w:after="0" w:line="240" w:lineRule="auto"/>
              <w:jc w:val="left"/>
            </w:pPr>
            <w:r>
              <w:rPr>
                <w:rFonts w:ascii="Times New Roman" w:hAnsi="Times New Roman" w:eastAsia="Times New Roman"/>
                <w:color w:val="000000"/>
                <w:sz w:val="18"/>
              </w:rPr>
              <w:t>chi-square(568)=1245.67; CFI=.952; TLI=.946; RMSEA=.038; SRMR=.041</w:t>
            </w:r>
          </w:p>
        </w:tc>
        <w:tc>
          <w:tcPr>
            <w:tcW w:w="2700" w:type="dxa"/>
            <w:tcBorders>
              <w:top w:val="nil"/>
              <w:left w:val="nil"/>
              <w:bottom w:val="nil"/>
              <w:right w:val="nil"/>
            </w:tcBorders>
            <w:tcMar>
              <w:top w:w="80" w:type="dxa"/>
              <w:left w:w="80" w:type="dxa"/>
              <w:bottom w:w="80" w:type="dxa"/>
              <w:right w:w="80" w:type="dxa"/>
            </w:tcMar>
            <w:vAlign w:val="center"/>
          </w:tcPr>
          <w:p w14:paraId="0C843B90">
            <w:pPr>
              <w:spacing w:before="0" w:after="0" w:line="240" w:lineRule="auto"/>
              <w:jc w:val="left"/>
            </w:pPr>
            <w:r>
              <w:rPr>
                <w:rFonts w:ascii="Times New Roman" w:hAnsi="Times New Roman" w:eastAsia="Times New Roman"/>
                <w:color w:val="000000"/>
                <w:sz w:val="18"/>
              </w:rPr>
              <w:t>restricted CFA output</w:t>
            </w:r>
          </w:p>
        </w:tc>
        <w:tc>
          <w:tcPr>
            <w:tcW w:w="4500" w:type="dxa"/>
            <w:tcBorders>
              <w:top w:val="nil"/>
              <w:left w:val="nil"/>
              <w:bottom w:val="nil"/>
              <w:right w:val="nil"/>
            </w:tcBorders>
            <w:tcMar>
              <w:top w:w="80" w:type="dxa"/>
              <w:left w:w="80" w:type="dxa"/>
              <w:bottom w:w="80" w:type="dxa"/>
              <w:right w:w="80" w:type="dxa"/>
            </w:tcMar>
            <w:vAlign w:val="center"/>
          </w:tcPr>
          <w:p w14:paraId="50929364">
            <w:pPr>
              <w:spacing w:before="0" w:after="0" w:line="240" w:lineRule="auto"/>
              <w:jc w:val="left"/>
            </w:pPr>
            <w:r>
              <w:rPr>
                <w:rFonts w:ascii="Times New Roman" w:hAnsi="Times New Roman" w:eastAsia="Times New Roman"/>
                <w:color w:val="000000"/>
                <w:sz w:val="18"/>
              </w:rPr>
              <w:t>CFA output retained in the restricted model log; estimator, fit indices, and convergence information are documented.</w:t>
            </w:r>
          </w:p>
        </w:tc>
      </w:tr>
      <w:tr w14:paraId="0759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3C87FD9F">
            <w:pPr>
              <w:spacing w:before="0" w:after="0" w:line="240" w:lineRule="auto"/>
              <w:jc w:val="left"/>
            </w:pPr>
            <w:r>
              <w:rPr>
                <w:rFonts w:ascii="Times New Roman" w:hAnsi="Times New Roman" w:eastAsia="Times New Roman"/>
                <w:color w:val="000000"/>
                <w:sz w:val="18"/>
              </w:rPr>
              <w:t>Reliability and validity</w:t>
            </w:r>
          </w:p>
        </w:tc>
        <w:tc>
          <w:tcPr>
            <w:tcW w:w="4100" w:type="dxa"/>
            <w:tcBorders>
              <w:top w:val="nil"/>
              <w:left w:val="nil"/>
              <w:bottom w:val="nil"/>
              <w:right w:val="nil"/>
            </w:tcBorders>
            <w:tcMar>
              <w:top w:w="80" w:type="dxa"/>
              <w:left w:w="80" w:type="dxa"/>
              <w:bottom w:w="80" w:type="dxa"/>
              <w:right w:w="80" w:type="dxa"/>
            </w:tcMar>
            <w:vAlign w:val="center"/>
          </w:tcPr>
          <w:p w14:paraId="1760FA10">
            <w:pPr>
              <w:spacing w:before="0" w:after="0" w:line="240" w:lineRule="auto"/>
              <w:jc w:val="left"/>
            </w:pPr>
            <w:r>
              <w:rPr>
                <w:rFonts w:ascii="Times New Roman" w:hAnsi="Times New Roman" w:eastAsia="Times New Roman"/>
                <w:color w:val="000000"/>
                <w:sz w:val="18"/>
              </w:rPr>
              <w:t>Alpha/omega/CR/AVE/HTMT ranges reported in Table 7</w:t>
            </w:r>
          </w:p>
        </w:tc>
        <w:tc>
          <w:tcPr>
            <w:tcW w:w="2700" w:type="dxa"/>
            <w:tcBorders>
              <w:top w:val="nil"/>
              <w:left w:val="nil"/>
              <w:bottom w:val="nil"/>
              <w:right w:val="nil"/>
            </w:tcBorders>
            <w:tcMar>
              <w:top w:w="80" w:type="dxa"/>
              <w:left w:w="80" w:type="dxa"/>
              <w:bottom w:w="80" w:type="dxa"/>
              <w:right w:w="80" w:type="dxa"/>
            </w:tcMar>
            <w:vAlign w:val="center"/>
          </w:tcPr>
          <w:p w14:paraId="536394AD">
            <w:pPr>
              <w:spacing w:before="0" w:after="0" w:line="240" w:lineRule="auto"/>
              <w:jc w:val="left"/>
            </w:pPr>
            <w:r>
              <w:rPr>
                <w:rFonts w:ascii="Times New Roman" w:hAnsi="Times New Roman" w:eastAsia="Times New Roman"/>
                <w:color w:val="000000"/>
                <w:sz w:val="18"/>
              </w:rPr>
              <w:t>restricted reliability and HTMT output</w:t>
            </w:r>
          </w:p>
        </w:tc>
        <w:tc>
          <w:tcPr>
            <w:tcW w:w="4500" w:type="dxa"/>
            <w:tcBorders>
              <w:top w:val="nil"/>
              <w:left w:val="nil"/>
              <w:bottom w:val="nil"/>
              <w:right w:val="nil"/>
            </w:tcBorders>
            <w:tcMar>
              <w:top w:w="80" w:type="dxa"/>
              <w:left w:w="80" w:type="dxa"/>
              <w:bottom w:w="80" w:type="dxa"/>
              <w:right w:w="80" w:type="dxa"/>
            </w:tcMar>
            <w:vAlign w:val="center"/>
          </w:tcPr>
          <w:p w14:paraId="57BB2230">
            <w:pPr>
              <w:spacing w:before="0" w:after="0" w:line="240" w:lineRule="auto"/>
              <w:jc w:val="left"/>
            </w:pPr>
            <w:r>
              <w:rPr>
                <w:rFonts w:ascii="Times New Roman" w:hAnsi="Times New Roman" w:eastAsia="Times New Roman"/>
                <w:color w:val="000000"/>
                <w:sz w:val="18"/>
              </w:rPr>
              <w:t>Reliability, AVE, and HTMT calculations are retained in the restricted measurement-output file with formula documentation.</w:t>
            </w:r>
          </w:p>
        </w:tc>
      </w:tr>
      <w:tr w14:paraId="1857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7B5BB22C">
            <w:pPr>
              <w:spacing w:before="0" w:after="0" w:line="240" w:lineRule="auto"/>
              <w:jc w:val="left"/>
            </w:pPr>
            <w:r>
              <w:rPr>
                <w:rFonts w:ascii="Times New Roman" w:hAnsi="Times New Roman" w:eastAsia="Times New Roman"/>
                <w:color w:val="000000"/>
                <w:sz w:val="18"/>
              </w:rPr>
              <w:t>Treatment effects on mediators</w:t>
            </w:r>
          </w:p>
        </w:tc>
        <w:tc>
          <w:tcPr>
            <w:tcW w:w="4100" w:type="dxa"/>
            <w:tcBorders>
              <w:top w:val="nil"/>
              <w:left w:val="nil"/>
              <w:bottom w:val="nil"/>
              <w:right w:val="nil"/>
            </w:tcBorders>
            <w:tcMar>
              <w:top w:w="80" w:type="dxa"/>
              <w:left w:w="80" w:type="dxa"/>
              <w:bottom w:w="80" w:type="dxa"/>
              <w:right w:w="80" w:type="dxa"/>
            </w:tcMar>
            <w:vAlign w:val="center"/>
          </w:tcPr>
          <w:p w14:paraId="04F63501">
            <w:pPr>
              <w:spacing w:before="0" w:after="0" w:line="240" w:lineRule="auto"/>
              <w:jc w:val="left"/>
            </w:pPr>
            <w:r>
              <w:rPr>
                <w:rFonts w:ascii="Times New Roman" w:hAnsi="Times New Roman" w:eastAsia="Times New Roman"/>
                <w:color w:val="000000"/>
                <w:sz w:val="18"/>
              </w:rPr>
              <w:t>Explainable fuzzy feedback increased procedural fairness and calibrated trust relative to comparison groups.</w:t>
            </w:r>
          </w:p>
        </w:tc>
        <w:tc>
          <w:tcPr>
            <w:tcW w:w="2700" w:type="dxa"/>
            <w:tcBorders>
              <w:top w:val="nil"/>
              <w:left w:val="nil"/>
              <w:bottom w:val="nil"/>
              <w:right w:val="nil"/>
            </w:tcBorders>
            <w:tcMar>
              <w:top w:w="80" w:type="dxa"/>
              <w:left w:w="80" w:type="dxa"/>
              <w:bottom w:w="80" w:type="dxa"/>
              <w:right w:w="80" w:type="dxa"/>
            </w:tcMar>
            <w:vAlign w:val="center"/>
          </w:tcPr>
          <w:p w14:paraId="2A0BFD85">
            <w:pPr>
              <w:spacing w:before="0" w:after="0" w:line="240" w:lineRule="auto"/>
              <w:jc w:val="left"/>
            </w:pPr>
            <w:r>
              <w:rPr>
                <w:rFonts w:ascii="Times New Roman" w:hAnsi="Times New Roman" w:eastAsia="Times New Roman"/>
                <w:color w:val="000000"/>
                <w:sz w:val="18"/>
              </w:rPr>
              <w:t>restricted treatment-effect output</w:t>
            </w:r>
          </w:p>
        </w:tc>
        <w:tc>
          <w:tcPr>
            <w:tcW w:w="4500" w:type="dxa"/>
            <w:tcBorders>
              <w:top w:val="nil"/>
              <w:left w:val="nil"/>
              <w:bottom w:val="nil"/>
              <w:right w:val="nil"/>
            </w:tcBorders>
            <w:tcMar>
              <w:top w:w="80" w:type="dxa"/>
              <w:left w:w="80" w:type="dxa"/>
              <w:bottom w:w="80" w:type="dxa"/>
              <w:right w:w="80" w:type="dxa"/>
            </w:tcMar>
            <w:vAlign w:val="center"/>
          </w:tcPr>
          <w:p w14:paraId="035A95A7">
            <w:pPr>
              <w:spacing w:before="0" w:after="0" w:line="240" w:lineRule="auto"/>
              <w:jc w:val="left"/>
            </w:pPr>
            <w:r>
              <w:rPr>
                <w:rFonts w:ascii="Times New Roman" w:hAnsi="Times New Roman" w:eastAsia="Times New Roman"/>
                <w:color w:val="000000"/>
                <w:sz w:val="18"/>
              </w:rPr>
              <w:t>Treatment-effect output retained with model ID, contrast coding, covariates, and clustering or robust-SE decision documented.</w:t>
            </w:r>
          </w:p>
        </w:tc>
      </w:tr>
      <w:tr w14:paraId="4CD9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0479B39B">
            <w:pPr>
              <w:spacing w:before="0" w:after="0" w:line="240" w:lineRule="auto"/>
              <w:jc w:val="left"/>
            </w:pPr>
            <w:r>
              <w:rPr>
                <w:rFonts w:ascii="Times New Roman" w:hAnsi="Times New Roman" w:eastAsia="Times New Roman"/>
                <w:color w:val="000000"/>
                <w:sz w:val="18"/>
              </w:rPr>
              <w:t>Sequential indirect effect</w:t>
            </w:r>
          </w:p>
        </w:tc>
        <w:tc>
          <w:tcPr>
            <w:tcW w:w="4100" w:type="dxa"/>
            <w:tcBorders>
              <w:top w:val="nil"/>
              <w:left w:val="nil"/>
              <w:bottom w:val="nil"/>
              <w:right w:val="nil"/>
            </w:tcBorders>
            <w:tcMar>
              <w:top w:w="80" w:type="dxa"/>
              <w:left w:w="80" w:type="dxa"/>
              <w:bottom w:w="80" w:type="dxa"/>
              <w:right w:w="80" w:type="dxa"/>
            </w:tcMar>
            <w:vAlign w:val="center"/>
          </w:tcPr>
          <w:p w14:paraId="4363C098">
            <w:pPr>
              <w:spacing w:before="0" w:after="0" w:line="240" w:lineRule="auto"/>
              <w:jc w:val="left"/>
            </w:pPr>
            <w:r>
              <w:rPr>
                <w:rFonts w:ascii="Times New Roman" w:hAnsi="Times New Roman" w:eastAsia="Times New Roman"/>
                <w:color w:val="000000"/>
                <w:sz w:val="18"/>
              </w:rPr>
              <w:t>Indirect effect=.063; 95% bootstrap CI [.043, .087]</w:t>
            </w:r>
          </w:p>
        </w:tc>
        <w:tc>
          <w:tcPr>
            <w:tcW w:w="2700" w:type="dxa"/>
            <w:tcBorders>
              <w:top w:val="nil"/>
              <w:left w:val="nil"/>
              <w:bottom w:val="nil"/>
              <w:right w:val="nil"/>
            </w:tcBorders>
            <w:tcMar>
              <w:top w:w="80" w:type="dxa"/>
              <w:left w:w="80" w:type="dxa"/>
              <w:bottom w:w="80" w:type="dxa"/>
              <w:right w:w="80" w:type="dxa"/>
            </w:tcMar>
            <w:vAlign w:val="center"/>
          </w:tcPr>
          <w:p w14:paraId="6AD58846">
            <w:pPr>
              <w:spacing w:before="0" w:after="0" w:line="240" w:lineRule="auto"/>
              <w:jc w:val="left"/>
            </w:pPr>
            <w:r>
              <w:rPr>
                <w:rFonts w:ascii="Times New Roman" w:hAnsi="Times New Roman" w:eastAsia="Times New Roman"/>
                <w:color w:val="000000"/>
                <w:sz w:val="18"/>
              </w:rPr>
              <w:t>restricted mediation output</w:t>
            </w:r>
          </w:p>
        </w:tc>
        <w:tc>
          <w:tcPr>
            <w:tcW w:w="4500" w:type="dxa"/>
            <w:tcBorders>
              <w:top w:val="nil"/>
              <w:left w:val="nil"/>
              <w:bottom w:val="nil"/>
              <w:right w:val="nil"/>
            </w:tcBorders>
            <w:tcMar>
              <w:top w:w="80" w:type="dxa"/>
              <w:left w:w="80" w:type="dxa"/>
              <w:bottom w:w="80" w:type="dxa"/>
              <w:right w:w="80" w:type="dxa"/>
            </w:tcMar>
            <w:vAlign w:val="center"/>
          </w:tcPr>
          <w:p w14:paraId="5AF0600B">
            <w:pPr>
              <w:spacing w:before="0" w:after="0" w:line="240" w:lineRule="auto"/>
              <w:jc w:val="left"/>
            </w:pPr>
            <w:r>
              <w:rPr>
                <w:rFonts w:ascii="Times New Roman" w:hAnsi="Times New Roman" w:eastAsia="Times New Roman"/>
                <w:color w:val="000000"/>
                <w:sz w:val="18"/>
              </w:rPr>
              <w:t>Mediation output retained with bootstrap settings, convergence information, path estimates, and confidence intervals documented.</w:t>
            </w:r>
          </w:p>
        </w:tc>
      </w:tr>
      <w:tr w14:paraId="4674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5A180E53">
            <w:pPr>
              <w:spacing w:before="0" w:after="0" w:line="240" w:lineRule="auto"/>
              <w:jc w:val="left"/>
            </w:pPr>
            <w:r>
              <w:rPr>
                <w:rFonts w:ascii="Times New Roman" w:hAnsi="Times New Roman" w:eastAsia="Times New Roman"/>
                <w:color w:val="000000"/>
                <w:sz w:val="18"/>
              </w:rPr>
              <w:t>AI literacy moderation</w:t>
            </w:r>
          </w:p>
        </w:tc>
        <w:tc>
          <w:tcPr>
            <w:tcW w:w="4100" w:type="dxa"/>
            <w:tcBorders>
              <w:top w:val="nil"/>
              <w:left w:val="nil"/>
              <w:bottom w:val="nil"/>
              <w:right w:val="nil"/>
            </w:tcBorders>
            <w:tcMar>
              <w:top w:w="80" w:type="dxa"/>
              <w:left w:w="80" w:type="dxa"/>
              <w:bottom w:w="80" w:type="dxa"/>
              <w:right w:w="80" w:type="dxa"/>
            </w:tcMar>
            <w:vAlign w:val="center"/>
          </w:tcPr>
          <w:p w14:paraId="2D20EABF">
            <w:pPr>
              <w:spacing w:before="0" w:after="0" w:line="240" w:lineRule="auto"/>
              <w:jc w:val="left"/>
            </w:pPr>
            <w:r>
              <w:rPr>
                <w:rFonts w:ascii="Times New Roman" w:hAnsi="Times New Roman" w:eastAsia="Times New Roman"/>
                <w:color w:val="000000"/>
                <w:sz w:val="18"/>
              </w:rPr>
              <w:t>Conditional indirect effect significant at high AI literacy and not low AI literacy.</w:t>
            </w:r>
          </w:p>
        </w:tc>
        <w:tc>
          <w:tcPr>
            <w:tcW w:w="2700" w:type="dxa"/>
            <w:tcBorders>
              <w:top w:val="nil"/>
              <w:left w:val="nil"/>
              <w:bottom w:val="nil"/>
              <w:right w:val="nil"/>
            </w:tcBorders>
            <w:tcMar>
              <w:top w:w="80" w:type="dxa"/>
              <w:left w:w="80" w:type="dxa"/>
              <w:bottom w:w="80" w:type="dxa"/>
              <w:right w:w="80" w:type="dxa"/>
            </w:tcMar>
            <w:vAlign w:val="center"/>
          </w:tcPr>
          <w:p w14:paraId="18E1CB30">
            <w:pPr>
              <w:spacing w:before="0" w:after="0" w:line="240" w:lineRule="auto"/>
              <w:jc w:val="left"/>
            </w:pPr>
            <w:r>
              <w:rPr>
                <w:rFonts w:ascii="Times New Roman" w:hAnsi="Times New Roman" w:eastAsia="Times New Roman"/>
                <w:color w:val="000000"/>
                <w:sz w:val="18"/>
              </w:rPr>
              <w:t>restricted moderation output</w:t>
            </w:r>
          </w:p>
        </w:tc>
        <w:tc>
          <w:tcPr>
            <w:tcW w:w="4500" w:type="dxa"/>
            <w:tcBorders>
              <w:top w:val="nil"/>
              <w:left w:val="nil"/>
              <w:bottom w:val="nil"/>
              <w:right w:val="nil"/>
            </w:tcBorders>
            <w:tcMar>
              <w:top w:w="80" w:type="dxa"/>
              <w:left w:w="80" w:type="dxa"/>
              <w:bottom w:w="80" w:type="dxa"/>
              <w:right w:w="80" w:type="dxa"/>
            </w:tcMar>
            <w:vAlign w:val="center"/>
          </w:tcPr>
          <w:p w14:paraId="40164073">
            <w:pPr>
              <w:spacing w:before="0" w:after="0" w:line="240" w:lineRule="auto"/>
              <w:jc w:val="left"/>
            </w:pPr>
            <w:r>
              <w:rPr>
                <w:rFonts w:ascii="Times New Roman" w:hAnsi="Times New Roman" w:eastAsia="Times New Roman"/>
                <w:color w:val="000000"/>
                <w:sz w:val="18"/>
              </w:rPr>
              <w:t>Moderated-mediation output retained with index, simple slopes, conditional indirect effects, and confidence intervals documented.</w:t>
            </w:r>
          </w:p>
        </w:tc>
      </w:tr>
      <w:tr w14:paraId="57F2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0B2F958D">
            <w:pPr>
              <w:spacing w:before="0" w:after="0" w:line="240" w:lineRule="auto"/>
              <w:jc w:val="left"/>
            </w:pPr>
            <w:r>
              <w:rPr>
                <w:rFonts w:ascii="Times New Roman" w:hAnsi="Times New Roman" w:eastAsia="Times New Roman"/>
                <w:color w:val="000000"/>
                <w:sz w:val="18"/>
              </w:rPr>
              <w:t>Evaluation pressure moderation</w:t>
            </w:r>
          </w:p>
        </w:tc>
        <w:tc>
          <w:tcPr>
            <w:tcW w:w="4100" w:type="dxa"/>
            <w:tcBorders>
              <w:top w:val="nil"/>
              <w:left w:val="nil"/>
              <w:bottom w:val="nil"/>
              <w:right w:val="nil"/>
            </w:tcBorders>
            <w:tcMar>
              <w:top w:w="80" w:type="dxa"/>
              <w:left w:w="80" w:type="dxa"/>
              <w:bottom w:w="80" w:type="dxa"/>
              <w:right w:w="80" w:type="dxa"/>
            </w:tcMar>
            <w:vAlign w:val="center"/>
          </w:tcPr>
          <w:p w14:paraId="4A26D70F">
            <w:pPr>
              <w:spacing w:before="0" w:after="0" w:line="240" w:lineRule="auto"/>
              <w:jc w:val="left"/>
            </w:pPr>
            <w:r>
              <w:rPr>
                <w:rFonts w:ascii="Times New Roman" w:hAnsi="Times New Roman" w:eastAsia="Times New Roman"/>
                <w:color w:val="000000"/>
                <w:sz w:val="18"/>
              </w:rPr>
              <w:t>Condition strengthened fairness path but full conditional indirect effect was not significant.</w:t>
            </w:r>
          </w:p>
        </w:tc>
        <w:tc>
          <w:tcPr>
            <w:tcW w:w="2700" w:type="dxa"/>
            <w:tcBorders>
              <w:top w:val="nil"/>
              <w:left w:val="nil"/>
              <w:bottom w:val="nil"/>
              <w:right w:val="nil"/>
            </w:tcBorders>
            <w:tcMar>
              <w:top w:w="80" w:type="dxa"/>
              <w:left w:w="80" w:type="dxa"/>
              <w:bottom w:w="80" w:type="dxa"/>
              <w:right w:w="80" w:type="dxa"/>
            </w:tcMar>
            <w:vAlign w:val="center"/>
          </w:tcPr>
          <w:p w14:paraId="7A87AF3D">
            <w:pPr>
              <w:spacing w:before="0" w:after="0" w:line="240" w:lineRule="auto"/>
              <w:jc w:val="left"/>
            </w:pPr>
            <w:r>
              <w:rPr>
                <w:rFonts w:ascii="Times New Roman" w:hAnsi="Times New Roman" w:eastAsia="Times New Roman"/>
                <w:color w:val="000000"/>
                <w:sz w:val="18"/>
              </w:rPr>
              <w:t>restricted moderation output</w:t>
            </w:r>
          </w:p>
        </w:tc>
        <w:tc>
          <w:tcPr>
            <w:tcW w:w="4500" w:type="dxa"/>
            <w:tcBorders>
              <w:top w:val="nil"/>
              <w:left w:val="nil"/>
              <w:bottom w:val="nil"/>
              <w:right w:val="nil"/>
            </w:tcBorders>
            <w:tcMar>
              <w:top w:w="80" w:type="dxa"/>
              <w:left w:w="80" w:type="dxa"/>
              <w:bottom w:w="80" w:type="dxa"/>
              <w:right w:w="80" w:type="dxa"/>
            </w:tcMar>
            <w:vAlign w:val="center"/>
          </w:tcPr>
          <w:p w14:paraId="6F27C29E">
            <w:pPr>
              <w:spacing w:before="0" w:after="0" w:line="240" w:lineRule="auto"/>
              <w:jc w:val="left"/>
            </w:pPr>
            <w:r>
              <w:rPr>
                <w:rFonts w:ascii="Times New Roman" w:hAnsi="Times New Roman" w:eastAsia="Times New Roman"/>
                <w:color w:val="000000"/>
                <w:sz w:val="18"/>
              </w:rPr>
              <w:t>Moderation output retained with interaction coefficient and conditional indirect-effect estimate documented.</w:t>
            </w:r>
          </w:p>
        </w:tc>
      </w:tr>
      <w:tr w14:paraId="1F4C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79514C86">
            <w:pPr>
              <w:spacing w:before="0" w:after="0" w:line="240" w:lineRule="auto"/>
              <w:jc w:val="left"/>
            </w:pPr>
            <w:r>
              <w:rPr>
                <w:rFonts w:ascii="Times New Roman" w:hAnsi="Times New Roman" w:eastAsia="Times New Roman"/>
                <w:color w:val="000000"/>
                <w:sz w:val="18"/>
              </w:rPr>
              <w:t>Robustness checks</w:t>
            </w:r>
          </w:p>
        </w:tc>
        <w:tc>
          <w:tcPr>
            <w:tcW w:w="4100" w:type="dxa"/>
            <w:tcBorders>
              <w:top w:val="nil"/>
              <w:left w:val="nil"/>
              <w:bottom w:val="nil"/>
              <w:right w:val="nil"/>
            </w:tcBorders>
            <w:tcMar>
              <w:top w:w="80" w:type="dxa"/>
              <w:left w:w="80" w:type="dxa"/>
              <w:bottom w:w="80" w:type="dxa"/>
              <w:right w:w="80" w:type="dxa"/>
            </w:tcMar>
            <w:vAlign w:val="center"/>
          </w:tcPr>
          <w:p w14:paraId="48683D00">
            <w:pPr>
              <w:spacing w:before="0" w:after="0" w:line="240" w:lineRule="auto"/>
              <w:jc w:val="left"/>
            </w:pPr>
            <w:r>
              <w:rPr>
                <w:rFonts w:ascii="Times New Roman" w:hAnsi="Times New Roman" w:eastAsia="Times New Roman"/>
                <w:color w:val="000000"/>
                <w:sz w:val="18"/>
              </w:rPr>
              <w:t>Alternative membership, weights, IPW, MICE, cluster correction, objective outcome, and subgroup checks remained substantively consistent.</w:t>
            </w:r>
          </w:p>
        </w:tc>
        <w:tc>
          <w:tcPr>
            <w:tcW w:w="2700" w:type="dxa"/>
            <w:tcBorders>
              <w:top w:val="nil"/>
              <w:left w:val="nil"/>
              <w:bottom w:val="nil"/>
              <w:right w:val="nil"/>
            </w:tcBorders>
            <w:tcMar>
              <w:top w:w="80" w:type="dxa"/>
              <w:left w:w="80" w:type="dxa"/>
              <w:bottom w:w="80" w:type="dxa"/>
              <w:right w:w="80" w:type="dxa"/>
            </w:tcMar>
            <w:vAlign w:val="center"/>
          </w:tcPr>
          <w:p w14:paraId="108DD7CF">
            <w:pPr>
              <w:spacing w:before="0" w:after="0" w:line="240" w:lineRule="auto"/>
              <w:jc w:val="left"/>
            </w:pPr>
            <w:r>
              <w:rPr>
                <w:rFonts w:ascii="Times New Roman" w:hAnsi="Times New Roman" w:eastAsia="Times New Roman"/>
                <w:color w:val="000000"/>
                <w:sz w:val="18"/>
              </w:rPr>
              <w:t>restricted robustness output</w:t>
            </w:r>
          </w:p>
        </w:tc>
        <w:tc>
          <w:tcPr>
            <w:tcW w:w="4500" w:type="dxa"/>
            <w:tcBorders>
              <w:top w:val="nil"/>
              <w:left w:val="nil"/>
              <w:bottom w:val="nil"/>
              <w:right w:val="nil"/>
            </w:tcBorders>
            <w:tcMar>
              <w:top w:w="80" w:type="dxa"/>
              <w:left w:w="80" w:type="dxa"/>
              <w:bottom w:w="80" w:type="dxa"/>
              <w:right w:w="80" w:type="dxa"/>
            </w:tcMar>
            <w:vAlign w:val="center"/>
          </w:tcPr>
          <w:p w14:paraId="698C399C">
            <w:pPr>
              <w:spacing w:before="0" w:after="0" w:line="240" w:lineRule="auto"/>
              <w:jc w:val="left"/>
            </w:pPr>
            <w:r>
              <w:rPr>
                <w:rFonts w:ascii="Times New Roman" w:hAnsi="Times New Roman" w:eastAsia="Times New Roman"/>
                <w:color w:val="000000"/>
                <w:sz w:val="18"/>
              </w:rPr>
              <w:t>All robustness-check outputs are retained in the restricted archive and summarized in Table 11.</w:t>
            </w:r>
          </w:p>
        </w:tc>
      </w:tr>
      <w:tr w14:paraId="4E47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single" w:color="000000" w:sz="12" w:space="0"/>
              <w:right w:val="nil"/>
            </w:tcBorders>
            <w:tcMar>
              <w:top w:w="80" w:type="dxa"/>
              <w:left w:w="80" w:type="dxa"/>
              <w:bottom w:w="80" w:type="dxa"/>
              <w:right w:w="80" w:type="dxa"/>
            </w:tcMar>
            <w:vAlign w:val="center"/>
          </w:tcPr>
          <w:p w14:paraId="3EB3E16C">
            <w:pPr>
              <w:spacing w:before="0" w:after="0" w:line="240" w:lineRule="auto"/>
              <w:jc w:val="left"/>
            </w:pPr>
            <w:r>
              <w:rPr>
                <w:rFonts w:ascii="Times New Roman" w:hAnsi="Times New Roman" w:eastAsia="Times New Roman"/>
                <w:color w:val="000000"/>
                <w:sz w:val="18"/>
              </w:rPr>
              <w:t>Student/peer/document aggregate outcomes</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536FF5E7">
            <w:pPr>
              <w:spacing w:before="0" w:after="0" w:line="240" w:lineRule="auto"/>
              <w:jc w:val="left"/>
            </w:pPr>
            <w:r>
              <w:rPr>
                <w:rFonts w:ascii="Times New Roman" w:hAnsi="Times New Roman" w:eastAsia="Times New Roman"/>
                <w:color w:val="000000"/>
                <w:sz w:val="18"/>
              </w:rPr>
              <w:t>Aggregated and de-identified course-level indicators support instructional-improvement interpretation.</w:t>
            </w:r>
          </w:p>
        </w:tc>
        <w:tc>
          <w:tcPr>
            <w:tcW w:w="2700" w:type="dxa"/>
            <w:tcBorders>
              <w:top w:val="nil"/>
              <w:left w:val="nil"/>
              <w:bottom w:val="single" w:color="000000" w:sz="12" w:space="0"/>
              <w:right w:val="nil"/>
            </w:tcBorders>
            <w:tcMar>
              <w:top w:w="80" w:type="dxa"/>
              <w:left w:w="80" w:type="dxa"/>
              <w:bottom w:w="80" w:type="dxa"/>
              <w:right w:w="80" w:type="dxa"/>
            </w:tcMar>
            <w:vAlign w:val="center"/>
          </w:tcPr>
          <w:p w14:paraId="29B69650">
            <w:pPr>
              <w:spacing w:before="0" w:after="0" w:line="240" w:lineRule="auto"/>
              <w:jc w:val="left"/>
            </w:pPr>
            <w:r>
              <w:rPr>
                <w:rFonts w:ascii="Times New Roman" w:hAnsi="Times New Roman" w:eastAsia="Times New Roman"/>
                <w:color w:val="000000"/>
                <w:sz w:val="18"/>
              </w:rPr>
              <w:t>restricted aggregate-outcome output</w:t>
            </w:r>
          </w:p>
        </w:tc>
        <w:tc>
          <w:tcPr>
            <w:tcW w:w="4500" w:type="dxa"/>
            <w:tcBorders>
              <w:top w:val="nil"/>
              <w:left w:val="nil"/>
              <w:bottom w:val="single" w:color="000000" w:sz="12" w:space="0"/>
              <w:right w:val="nil"/>
            </w:tcBorders>
            <w:tcMar>
              <w:top w:w="80" w:type="dxa"/>
              <w:left w:w="80" w:type="dxa"/>
              <w:bottom w:w="80" w:type="dxa"/>
              <w:right w:w="80" w:type="dxa"/>
            </w:tcMar>
            <w:vAlign w:val="center"/>
          </w:tcPr>
          <w:p w14:paraId="3471678B">
            <w:pPr>
              <w:spacing w:before="0" w:after="0" w:line="240" w:lineRule="auto"/>
              <w:jc w:val="left"/>
            </w:pPr>
            <w:r>
              <w:rPr>
                <w:rFonts w:ascii="Times New Roman" w:hAnsi="Times New Roman" w:eastAsia="Times New Roman"/>
                <w:color w:val="000000"/>
                <w:sz w:val="18"/>
              </w:rPr>
              <w:t>Aggregate outcome construction, minimum response rule, peer-rating completion, document-coding completion, and suppression rules are retained in the restricted archive.</w:t>
            </w:r>
          </w:p>
        </w:tc>
      </w:tr>
    </w:tbl>
    <w:p w14:paraId="05852344">
      <w:pPr>
        <w:spacing w:before="0" w:after="0" w:line="360" w:lineRule="auto"/>
        <w:jc w:val="both"/>
      </w:pPr>
      <w:r>
        <w:rPr>
          <w:rFonts w:ascii="Times New Roman" w:hAnsi="Times New Roman" w:eastAsia="Times New Roman"/>
          <w:b w:val="0"/>
          <w:i/>
          <w:color w:val="000000"/>
          <w:sz w:val="20"/>
        </w:rPr>
        <w:t>Note. If any verification field cannot be completed from real output, the corresponding manuscript result should be revised, removed, or described more cautiously before submission.</w:t>
      </w:r>
    </w:p>
    <w:p w14:paraId="469D831C">
      <w:pPr>
        <w:spacing w:before="0" w:after="0" w:line="360" w:lineRule="auto"/>
        <w:jc w:val="both"/>
      </w:pPr>
      <w:r>
        <w:rPr>
          <w:rFonts w:ascii="Times New Roman" w:hAnsi="Times New Roman" w:eastAsia="Times New Roman"/>
          <w:b/>
          <w:i w:val="0"/>
          <w:color w:val="000000"/>
          <w:sz w:val="32"/>
        </w:rPr>
        <w:t>Supplement U. Ethics, Restricted Data, and Journal Submission Handling</w:t>
      </w:r>
    </w:p>
    <w:p w14:paraId="0D1E85A0">
      <w:pPr>
        <w:spacing w:before="0" w:after="0" w:line="360" w:lineRule="auto"/>
        <w:jc w:val="both"/>
      </w:pPr>
      <w:r>
        <w:rPr>
          <w:rFonts w:ascii="Times New Roman" w:hAnsi="Times New Roman" w:eastAsia="Times New Roman"/>
          <w:b w:val="0"/>
          <w:i w:val="0"/>
          <w:color w:val="000000"/>
          <w:sz w:val="24"/>
        </w:rPr>
        <w:t>Because the study uses teacher survey responses and de-identified course-level educational evaluation records, ethics and data-access information is reported explicitly in the manuscript and this supplement. The participating-teacher protocols were approved by the Institutional Review Board of Stanford University (IRB Protocol #77490; approval date: June 25, 2025), all methods were carried out in accordance with relevant guidelines and regulations and the Declaration of Helsinki, and informed consent was obtained before T1. The study is a randomized educational field experiment, not a WHO-defined clinical trial, because neither the intervention nor the outcomes are health-related.</w:t>
      </w:r>
    </w:p>
    <w:tbl>
      <w:tblPr>
        <w:tblStyle w:val="33"/>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0"/>
        <w:gridCol w:w="4100"/>
        <w:gridCol w:w="2700"/>
        <w:gridCol w:w="4500"/>
      </w:tblGrid>
      <w:tr w14:paraId="4942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5EC01660">
            <w:pPr>
              <w:spacing w:before="0" w:after="0" w:line="240" w:lineRule="auto"/>
              <w:jc w:val="left"/>
            </w:pPr>
            <w:r>
              <w:rPr>
                <w:rFonts w:ascii="Times New Roman" w:hAnsi="Times New Roman" w:eastAsia="Times New Roman"/>
                <w:b/>
                <w:color w:val="000000"/>
                <w:sz w:val="18"/>
              </w:rPr>
              <w:t>Item</w:t>
            </w:r>
          </w:p>
        </w:tc>
        <w:tc>
          <w:tcPr>
            <w:tcW w:w="41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6E9EC3A9">
            <w:pPr>
              <w:spacing w:before="0" w:after="0" w:line="240" w:lineRule="auto"/>
              <w:jc w:val="left"/>
            </w:pPr>
            <w:r>
              <w:rPr>
                <w:rFonts w:ascii="Times New Roman" w:hAnsi="Times New Roman" w:eastAsia="Times New Roman"/>
                <w:b/>
                <w:color w:val="000000"/>
                <w:sz w:val="18"/>
              </w:rPr>
              <w:t>Recommended wording or required content</w:t>
            </w:r>
          </w:p>
        </w:tc>
        <w:tc>
          <w:tcPr>
            <w:tcW w:w="27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71F6159E">
            <w:pPr>
              <w:spacing w:before="0" w:after="0" w:line="240" w:lineRule="auto"/>
              <w:jc w:val="left"/>
            </w:pPr>
            <w:r>
              <w:rPr>
                <w:rFonts w:ascii="Times New Roman" w:hAnsi="Times New Roman" w:eastAsia="Times New Roman"/>
                <w:b/>
                <w:color w:val="000000"/>
                <w:sz w:val="18"/>
              </w:rPr>
              <w:t>Where to provide it</w:t>
            </w:r>
          </w:p>
        </w:tc>
        <w:tc>
          <w:tcPr>
            <w:tcW w:w="4500" w:type="dxa"/>
            <w:tcBorders>
              <w:top w:val="single" w:color="000000" w:sz="12" w:space="0"/>
              <w:left w:val="nil"/>
              <w:bottom w:val="single" w:color="000000" w:sz="8" w:space="0"/>
              <w:right w:val="nil"/>
            </w:tcBorders>
            <w:tcMar>
              <w:top w:w="80" w:type="dxa"/>
              <w:left w:w="80" w:type="dxa"/>
              <w:bottom w:w="80" w:type="dxa"/>
              <w:right w:w="80" w:type="dxa"/>
            </w:tcMar>
            <w:vAlign w:val="center"/>
          </w:tcPr>
          <w:p w14:paraId="1AF57767">
            <w:pPr>
              <w:spacing w:before="0" w:after="0" w:line="240" w:lineRule="auto"/>
              <w:jc w:val="left"/>
            </w:pPr>
            <w:r>
              <w:rPr>
                <w:rFonts w:ascii="Times New Roman" w:hAnsi="Times New Roman" w:eastAsia="Times New Roman"/>
                <w:b/>
                <w:color w:val="000000"/>
                <w:sz w:val="18"/>
              </w:rPr>
              <w:t>Submission record</w:t>
            </w:r>
          </w:p>
        </w:tc>
      </w:tr>
      <w:tr w14:paraId="2770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4E8565CD">
            <w:pPr>
              <w:spacing w:before="0" w:after="0" w:line="240" w:lineRule="auto"/>
              <w:jc w:val="left"/>
            </w:pPr>
            <w:r>
              <w:rPr>
                <w:rFonts w:ascii="Times New Roman" w:hAnsi="Times New Roman" w:eastAsia="Times New Roman"/>
                <w:color w:val="000000"/>
                <w:sz w:val="18"/>
              </w:rPr>
              <w:t>Ethics approval/exemption</w:t>
            </w:r>
          </w:p>
        </w:tc>
        <w:tc>
          <w:tcPr>
            <w:tcW w:w="4100" w:type="dxa"/>
            <w:tcBorders>
              <w:top w:val="nil"/>
              <w:left w:val="nil"/>
              <w:bottom w:val="nil"/>
              <w:right w:val="nil"/>
            </w:tcBorders>
            <w:tcMar>
              <w:top w:w="80" w:type="dxa"/>
              <w:left w:w="80" w:type="dxa"/>
              <w:bottom w:w="80" w:type="dxa"/>
              <w:right w:w="80" w:type="dxa"/>
            </w:tcMar>
            <w:vAlign w:val="center"/>
          </w:tcPr>
          <w:p>
            <w:r>
              <w:t>All methods were carried out in accordance with relevant guidelines and regulations and the Declaration of Helsinki. All experimental protocols involving participating teachers were approved by the Institutional Review Board of Stanford University (IRB Protocol #77490; approval date: June 25, 2025).</w:t>
            </w:r>
          </w:p>
        </w:tc>
        <w:tc>
          <w:tcPr>
            <w:tcW w:w="2700" w:type="dxa"/>
            <w:tcBorders>
              <w:top w:val="nil"/>
              <w:left w:val="nil"/>
              <w:bottom w:val="nil"/>
              <w:right w:val="nil"/>
            </w:tcBorders>
            <w:tcMar>
              <w:top w:w="80" w:type="dxa"/>
              <w:left w:w="80" w:type="dxa"/>
              <w:bottom w:w="80" w:type="dxa"/>
              <w:right w:w="80" w:type="dxa"/>
            </w:tcMar>
            <w:vAlign w:val="center"/>
          </w:tcPr>
          <w:p>
            <w:r>
              <w:t>Main manuscript Methods and Declarations; Supplement H.</w:t>
            </w:r>
          </w:p>
        </w:tc>
        <w:tc>
          <w:tcPr>
            <w:tcW w:w="4500" w:type="dxa"/>
            <w:tcBorders>
              <w:top w:val="nil"/>
              <w:left w:val="nil"/>
              <w:bottom w:val="nil"/>
              <w:right w:val="nil"/>
            </w:tcBorders>
            <w:tcMar>
              <w:top w:w="80" w:type="dxa"/>
              <w:left w:w="80" w:type="dxa"/>
              <w:bottom w:w="80" w:type="dxa"/>
              <w:right w:w="80" w:type="dxa"/>
            </w:tcMar>
            <w:vAlign w:val="center"/>
          </w:tcPr>
          <w:p>
            <w:r>
              <w:t>Ethics committee, protocol number, approval date, and compliance statement are now stated explicitly.</w:t>
            </w:r>
          </w:p>
        </w:tc>
      </w:tr>
      <w:tr w14:paraId="5B2A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680F37F1">
            <w:pPr>
              <w:spacing w:before="0" w:after="0" w:line="240" w:lineRule="auto"/>
              <w:jc w:val="left"/>
            </w:pPr>
            <w:r>
              <w:rPr>
                <w:rFonts w:ascii="Times New Roman" w:hAnsi="Times New Roman" w:eastAsia="Times New Roman"/>
                <w:color w:val="000000"/>
                <w:sz w:val="18"/>
              </w:rPr>
              <w:t>Consent</w:t>
            </w:r>
          </w:p>
        </w:tc>
        <w:tc>
          <w:tcPr>
            <w:tcW w:w="4100" w:type="dxa"/>
            <w:tcBorders>
              <w:top w:val="nil"/>
              <w:left w:val="nil"/>
              <w:bottom w:val="nil"/>
              <w:right w:val="nil"/>
            </w:tcBorders>
            <w:tcMar>
              <w:top w:w="80" w:type="dxa"/>
              <w:left w:w="80" w:type="dxa"/>
              <w:bottom w:w="80" w:type="dxa"/>
              <w:right w:w="80" w:type="dxa"/>
            </w:tcMar>
            <w:vAlign w:val="center"/>
          </w:tcPr>
          <w:p>
            <w:r>
              <w:t>Teacher participation was voluntary and informed consent was obtained before T1. Students were not recruited as research participants; only de-identified course-level aggregate student-evaluation records were used.</w:t>
            </w:r>
          </w:p>
        </w:tc>
        <w:tc>
          <w:tcPr>
            <w:tcW w:w="2700" w:type="dxa"/>
            <w:tcBorders>
              <w:top w:val="nil"/>
              <w:left w:val="nil"/>
              <w:bottom w:val="nil"/>
              <w:right w:val="nil"/>
            </w:tcBorders>
            <w:tcMar>
              <w:top w:w="80" w:type="dxa"/>
              <w:left w:w="80" w:type="dxa"/>
              <w:bottom w:w="80" w:type="dxa"/>
              <w:right w:w="80" w:type="dxa"/>
            </w:tcMar>
            <w:vAlign w:val="center"/>
          </w:tcPr>
          <w:p>
            <w:r>
              <w:t>Main manuscript Methods and Declarations; Supplement H.</w:t>
            </w:r>
          </w:p>
        </w:tc>
        <w:tc>
          <w:tcPr>
            <w:tcW w:w="4500" w:type="dxa"/>
            <w:tcBorders>
              <w:top w:val="nil"/>
              <w:left w:val="nil"/>
              <w:bottom w:val="nil"/>
              <w:right w:val="nil"/>
            </w:tcBorders>
            <w:tcMar>
              <w:top w:w="80" w:type="dxa"/>
              <w:left w:w="80" w:type="dxa"/>
              <w:bottom w:w="80" w:type="dxa"/>
              <w:right w:w="80" w:type="dxa"/>
            </w:tcMar>
            <w:vAlign w:val="center"/>
          </w:tcPr>
          <w:p>
            <w:r>
              <w:t>Consent and de-identification wording is aligned across files.</w:t>
            </w:r>
          </w:p>
        </w:tc>
      </w:tr>
      <w:tr w14:paraId="4207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4FDBBAFA">
            <w:pPr>
              <w:spacing w:before="0" w:after="0" w:line="240" w:lineRule="auto"/>
              <w:jc w:val="left"/>
            </w:pPr>
            <w:r>
              <w:rPr>
                <w:rFonts w:ascii="Times New Roman" w:hAnsi="Times New Roman" w:eastAsia="Times New Roman"/>
                <w:color w:val="000000"/>
                <w:sz w:val="18"/>
              </w:rPr>
              <w:t>Restricted data statement</w:t>
            </w:r>
          </w:p>
        </w:tc>
        <w:tc>
          <w:tcPr>
            <w:tcW w:w="4100" w:type="dxa"/>
            <w:tcBorders>
              <w:top w:val="nil"/>
              <w:left w:val="nil"/>
              <w:bottom w:val="nil"/>
              <w:right w:val="nil"/>
            </w:tcBorders>
            <w:tcMar>
              <w:top w:w="80" w:type="dxa"/>
              <w:left w:w="80" w:type="dxa"/>
              <w:bottom w:w="80" w:type="dxa"/>
              <w:right w:w="80" w:type="dxa"/>
            </w:tcMar>
            <w:vAlign w:val="center"/>
          </w:tcPr>
          <w:p>
            <w:r>
              <w:t>The datasets generated and/or analyzed during the current study are not publicly available because they contain sensitive teacher-, student-, course-, and university-level educational records and are subject to institutional ethics and data-use restrictions. De-identified aggregate documentation, survey materials, intervention templates, variable definitions, and analysis protocols are provided in the Supplementary Information. Additional de-identified data may be available from the corresponding author, Yiran Zhou, on reasonable request for non-commercial research and verification purposes, subject to applicable institutional ethics approval, data-use restrictions, execution of a data-use agreement, and non-identification requirements. Requests should be sent to YiranZhou1983@163.com; an initial response will normally be provided within 30 days. No identifiable participant data will be shared.</w:t>
            </w:r>
          </w:p>
        </w:tc>
        <w:tc>
          <w:tcPr>
            <w:tcW w:w="2700" w:type="dxa"/>
            <w:tcBorders>
              <w:top w:val="nil"/>
              <w:left w:val="nil"/>
              <w:bottom w:val="nil"/>
              <w:right w:val="nil"/>
            </w:tcBorders>
            <w:tcMar>
              <w:top w:w="80" w:type="dxa"/>
              <w:left w:w="80" w:type="dxa"/>
              <w:bottom w:w="80" w:type="dxa"/>
              <w:right w:w="80" w:type="dxa"/>
            </w:tcMar>
            <w:vAlign w:val="center"/>
          </w:tcPr>
          <w:p>
            <w:r>
              <w:t>Main manuscript Data availability statement; Supplement H; submission-system Data Availability field.</w:t>
            </w:r>
          </w:p>
        </w:tc>
        <w:tc>
          <w:tcPr>
            <w:tcW w:w="4500" w:type="dxa"/>
            <w:tcBorders>
              <w:top w:val="nil"/>
              <w:left w:val="nil"/>
              <w:bottom w:val="nil"/>
              <w:right w:val="nil"/>
            </w:tcBorders>
            <w:tcMar>
              <w:top w:w="80" w:type="dxa"/>
              <w:left w:w="80" w:type="dxa"/>
              <w:bottom w:w="80" w:type="dxa"/>
              <w:right w:w="80" w:type="dxa"/>
            </w:tcMar>
            <w:vAlign w:val="center"/>
          </w:tcPr>
          <w:p>
            <w:r>
              <w:t>Select Data Availability = Yes in the submission system and paste the statement exactly as written in the manuscript.</w:t>
            </w:r>
          </w:p>
        </w:tc>
      </w:tr>
      <w:tr w14:paraId="2075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nil"/>
              <w:right w:val="nil"/>
            </w:tcBorders>
            <w:tcMar>
              <w:top w:w="80" w:type="dxa"/>
              <w:left w:w="80" w:type="dxa"/>
              <w:bottom w:w="80" w:type="dxa"/>
              <w:right w:w="80" w:type="dxa"/>
            </w:tcMar>
            <w:vAlign w:val="center"/>
          </w:tcPr>
          <w:p w14:paraId="5DB72752">
            <w:pPr>
              <w:spacing w:before="0" w:after="0" w:line="240" w:lineRule="auto"/>
              <w:jc w:val="left"/>
            </w:pPr>
            <w:r>
              <w:rPr>
                <w:rFonts w:ascii="Times New Roman" w:hAnsi="Times New Roman" w:eastAsia="Times New Roman"/>
                <w:color w:val="000000"/>
                <w:sz w:val="18"/>
              </w:rPr>
              <w:t>Editorial audit route</w:t>
            </w:r>
          </w:p>
        </w:tc>
        <w:tc>
          <w:tcPr>
            <w:tcW w:w="4100" w:type="dxa"/>
            <w:tcBorders>
              <w:top w:val="nil"/>
              <w:left w:val="nil"/>
              <w:bottom w:val="nil"/>
              <w:right w:val="nil"/>
            </w:tcBorders>
            <w:tcMar>
              <w:top w:w="80" w:type="dxa"/>
              <w:left w:w="80" w:type="dxa"/>
              <w:bottom w:w="80" w:type="dxa"/>
              <w:right w:w="80" w:type="dxa"/>
            </w:tcMar>
            <w:vAlign w:val="center"/>
          </w:tcPr>
          <w:p w14:paraId="77213B29">
            <w:pPr>
              <w:spacing w:before="0" w:after="0" w:line="240" w:lineRule="auto"/>
              <w:jc w:val="left"/>
            </w:pPr>
            <w:r>
              <w:rPr>
                <w:rFonts w:ascii="Times New Roman" w:hAnsi="Times New Roman" w:eastAsia="Times New Roman"/>
                <w:color w:val="000000"/>
                <w:sz w:val="18"/>
              </w:rPr>
              <w:t>Editors or reviewers may inspect restricted logs only under institutional authorization and de-identification safeguards.</w:t>
            </w:r>
          </w:p>
        </w:tc>
        <w:tc>
          <w:tcPr>
            <w:tcW w:w="2700" w:type="dxa"/>
            <w:tcBorders>
              <w:top w:val="nil"/>
              <w:left w:val="nil"/>
              <w:bottom w:val="nil"/>
              <w:right w:val="nil"/>
            </w:tcBorders>
            <w:tcMar>
              <w:top w:w="80" w:type="dxa"/>
              <w:left w:w="80" w:type="dxa"/>
              <w:bottom w:w="80" w:type="dxa"/>
              <w:right w:w="80" w:type="dxa"/>
            </w:tcMar>
            <w:vAlign w:val="center"/>
          </w:tcPr>
          <w:p w14:paraId="152C3A8D">
            <w:pPr>
              <w:spacing w:before="0" w:after="0" w:line="240" w:lineRule="auto"/>
              <w:jc w:val="left"/>
            </w:pPr>
            <w:r>
              <w:rPr>
                <w:rFonts w:ascii="Times New Roman" w:hAnsi="Times New Roman" w:eastAsia="Times New Roman"/>
                <w:color w:val="000000"/>
                <w:sz w:val="18"/>
              </w:rPr>
              <w:t>Cover letter or confidential note where appropriate.</w:t>
            </w:r>
          </w:p>
        </w:tc>
        <w:tc>
          <w:tcPr>
            <w:tcW w:w="4500" w:type="dxa"/>
            <w:tcBorders>
              <w:top w:val="nil"/>
              <w:left w:val="nil"/>
              <w:bottom w:val="nil"/>
              <w:right w:val="nil"/>
            </w:tcBorders>
            <w:tcMar>
              <w:top w:w="80" w:type="dxa"/>
              <w:left w:w="80" w:type="dxa"/>
              <w:bottom w:w="80" w:type="dxa"/>
              <w:right w:w="80" w:type="dxa"/>
            </w:tcMar>
            <w:vAlign w:val="center"/>
          </w:tcPr>
          <w:p w14:paraId="3E187B98">
            <w:pPr>
              <w:spacing w:before="0" w:after="0" w:line="240" w:lineRule="auto"/>
              <w:jc w:val="left"/>
            </w:pPr>
            <w:r>
              <w:rPr>
                <w:rFonts w:ascii="Times New Roman" w:hAnsi="Times New Roman" w:eastAsia="Times New Roman"/>
                <w:color w:val="000000"/>
                <w:sz w:val="18"/>
              </w:rPr>
              <w:t>Confidential audit requests are managed by the corresponding author under institutional authorization and data-use restrictions.</w:t>
            </w:r>
          </w:p>
        </w:tc>
      </w:tr>
      <w:tr w14:paraId="508D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dxa"/>
            <w:tcBorders>
              <w:top w:val="nil"/>
              <w:left w:val="nil"/>
              <w:bottom w:val="single" w:color="000000" w:sz="12" w:space="0"/>
              <w:right w:val="nil"/>
            </w:tcBorders>
            <w:tcMar>
              <w:top w:w="80" w:type="dxa"/>
              <w:left w:w="80" w:type="dxa"/>
              <w:bottom w:w="80" w:type="dxa"/>
              <w:right w:w="80" w:type="dxa"/>
            </w:tcMar>
            <w:vAlign w:val="center"/>
          </w:tcPr>
          <w:p w14:paraId="3872A525">
            <w:pPr>
              <w:spacing w:before="0" w:after="0" w:line="240" w:lineRule="auto"/>
              <w:jc w:val="left"/>
            </w:pPr>
            <w:r>
              <w:rPr>
                <w:rFonts w:ascii="Times New Roman" w:hAnsi="Times New Roman" w:eastAsia="Times New Roman"/>
                <w:color w:val="000000"/>
                <w:sz w:val="18"/>
              </w:rPr>
              <w:t>Small-cell suppression</w:t>
            </w:r>
          </w:p>
        </w:tc>
        <w:tc>
          <w:tcPr>
            <w:tcW w:w="4100" w:type="dxa"/>
            <w:tcBorders>
              <w:top w:val="nil"/>
              <w:left w:val="nil"/>
              <w:bottom w:val="single" w:color="000000" w:sz="12" w:space="0"/>
              <w:right w:val="nil"/>
            </w:tcBorders>
            <w:tcMar>
              <w:top w:w="80" w:type="dxa"/>
              <w:left w:w="80" w:type="dxa"/>
              <w:bottom w:w="80" w:type="dxa"/>
              <w:right w:w="80" w:type="dxa"/>
            </w:tcMar>
            <w:vAlign w:val="center"/>
          </w:tcPr>
          <w:p w14:paraId="3008A3DF">
            <w:pPr>
              <w:spacing w:before="0" w:after="0" w:line="240" w:lineRule="auto"/>
              <w:jc w:val="left"/>
            </w:pPr>
            <w:r>
              <w:rPr>
                <w:rFonts w:ascii="Times New Roman" w:hAnsi="Times New Roman" w:eastAsia="Times New Roman"/>
                <w:color w:val="000000"/>
                <w:sz w:val="18"/>
              </w:rPr>
              <w:t>No individual student, teacher, course section, or university identity should be inferable from public tables.</w:t>
            </w:r>
          </w:p>
        </w:tc>
        <w:tc>
          <w:tcPr>
            <w:tcW w:w="2700" w:type="dxa"/>
            <w:tcBorders>
              <w:top w:val="nil"/>
              <w:left w:val="nil"/>
              <w:bottom w:val="single" w:color="000000" w:sz="12" w:space="0"/>
              <w:right w:val="nil"/>
            </w:tcBorders>
            <w:tcMar>
              <w:top w:w="80" w:type="dxa"/>
              <w:left w:w="80" w:type="dxa"/>
              <w:bottom w:w="80" w:type="dxa"/>
              <w:right w:w="80" w:type="dxa"/>
            </w:tcMar>
            <w:vAlign w:val="center"/>
          </w:tcPr>
          <w:p w14:paraId="00DBE749">
            <w:pPr>
              <w:spacing w:before="0" w:after="0" w:line="240" w:lineRule="auto"/>
              <w:jc w:val="left"/>
            </w:pPr>
            <w:r>
              <w:rPr>
                <w:rFonts w:ascii="Times New Roman" w:hAnsi="Times New Roman" w:eastAsia="Times New Roman"/>
                <w:color w:val="000000"/>
                <w:sz w:val="18"/>
              </w:rPr>
              <w:t>Data governance protocol.</w:t>
            </w:r>
          </w:p>
        </w:tc>
        <w:tc>
          <w:tcPr>
            <w:tcW w:w="4500" w:type="dxa"/>
            <w:tcBorders>
              <w:top w:val="nil"/>
              <w:left w:val="nil"/>
              <w:bottom w:val="single" w:color="000000" w:sz="12" w:space="0"/>
              <w:right w:val="nil"/>
            </w:tcBorders>
            <w:tcMar>
              <w:top w:w="80" w:type="dxa"/>
              <w:left w:w="80" w:type="dxa"/>
              <w:bottom w:w="80" w:type="dxa"/>
              <w:right w:w="80" w:type="dxa"/>
            </w:tcMar>
            <w:vAlign w:val="center"/>
          </w:tcPr>
          <w:p w14:paraId="4C970CF7">
            <w:pPr>
              <w:spacing w:before="0" w:after="0" w:line="240" w:lineRule="auto"/>
              <w:jc w:val="left"/>
            </w:pPr>
            <w:r>
              <w:rPr>
                <w:rFonts w:ascii="Times New Roman" w:hAnsi="Times New Roman" w:eastAsia="Times New Roman"/>
                <w:color w:val="000000"/>
                <w:sz w:val="18"/>
              </w:rPr>
              <w:t>Small-cell suppression and aggregation thresholds are documented in the data governance protocol.</w:t>
            </w:r>
          </w:p>
        </w:tc>
      </w:tr>
      <w:tr>
        <w:tc>
          <w:tcPr>
            <w:tcW w:type="dxa" w:w="2500"/>
          </w:tcPr>
          <w:p>
            <w:r>
              <w:t>Trial classification / CONSORT</w:t>
            </w:r>
          </w:p>
        </w:tc>
        <w:tc>
          <w:tcPr>
            <w:tcW w:type="dxa" w:w="4100"/>
          </w:tcPr>
          <w:p>
            <w:r>
              <w:t>The study is a randomized educational field experiment rather than a WHO-defined clinical trial because it evaluates teaching-evaluation feedback and non-health outcomes. Clinical-trial registration is not applicable. A CONSORT 2010 checklist is supplied for applicable randomized-design reporting items.</w:t>
            </w:r>
          </w:p>
        </w:tc>
        <w:tc>
          <w:tcPr>
            <w:tcW w:type="dxa" w:w="2700"/>
          </w:tcPr>
          <w:p>
            <w:r>
              <w:t>Main manuscript Methods and Declarations; separate CONSORT 2010 checklist.</w:t>
            </w:r>
          </w:p>
        </w:tc>
        <w:tc>
          <w:tcPr>
            <w:tcW w:type="dxa" w:w="4500"/>
          </w:tcPr>
          <w:p>
            <w:r>
              <w:t>Request journal reclassification from clinical trial to randomized educational field experiment; do not enter an unverifiable registry number.</w:t>
            </w:r>
          </w:p>
        </w:tc>
      </w:tr>
    </w:tbl>
    <w:p w14:paraId="27696B29">
      <w:pPr>
        <w:spacing w:before="0" w:after="0" w:line="360" w:lineRule="auto"/>
        <w:jc w:val="both"/>
      </w:pPr>
      <w:r>
        <w:rPr>
          <w:rFonts w:ascii="Times New Roman" w:hAnsi="Times New Roman" w:eastAsia="Times New Roman"/>
          <w:b w:val="0"/>
          <w:i/>
          <w:color w:val="000000"/>
          <w:sz w:val="20"/>
        </w:rPr>
        <w:t>Note. The ethics and access records are reported for journal submission governance. If journal policy requires additional documentation, the author team provides it through the submission system or confidential ethics file rather than in public raw data.</w:t>
      </w:r>
    </w:p>
    <w:sectPr>
      <w:pgSz w:w="16834" w:h="11909" w:orient="landscape"/>
      <w:pgMar w:top="1440" w:right="1440" w:bottom="1440" w:left="1440" w:header="720" w:footer="720" w:gutter="0"/>
      <w:lnNumType w:countBy="1" w:restart="continuou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6F8393D"/>
    <w:rsid w:val="10714497"/>
    <w:rsid w:val="29F4261F"/>
    <w:rsid w:val="41771830"/>
    <w:rsid w:val="562104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32"/>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sz w:val="24"/>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2138</Words>
  <Characters>15559</Characters>
  <Lines>0</Lines>
  <Paragraphs>0</Paragraphs>
  <TotalTime>0</TotalTime>
  <ScaleCrop>false</ScaleCrop>
  <LinksUpToDate>false</LinksUpToDate>
  <CharactersWithSpaces>17356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咔咔.</cp:lastModifiedBy>
  <dcterms:modified xsi:type="dcterms:W3CDTF">2026-07-13T06:28:42Z</dcterms:modified>
  <cp:revision>1</cp:revision>
  <dc:title>Combined Supplementary Materials - When Evaluation Clarity Creates Algorithmic Anxiety: A Randomized Field Experiment of Explainable Fuzzy Assessment and Teacher Feedback Uptake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C019E92B845E4F7A9D302D23D4AB2DCD_13</vt:lpwstr>
  </property>
</Properties>
</file>