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E3B20">
      <w:pPr>
        <w:spacing w:after="200"/>
        <w:jc w:val="center"/>
        <w:rPr>
          <w:rFonts w:ascii="Times New Roman" w:hAnsi="Times New Roman"/>
          <w:b/>
          <w:color w:val="000000" w:themeColor="text1"/>
          <w:sz w:val="28"/>
          <w:szCs w:val="28"/>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Supplementary Information</w:t>
      </w:r>
    </w:p>
    <w:p w14:paraId="1A4B5D25">
      <w:pPr>
        <w:spacing w:after="200"/>
        <w:jc w:val="center"/>
        <w:rPr>
          <w:color w:val="000000" w:themeColor="text1"/>
          <w14:textFill>
            <w14:solidFill>
              <w14:schemeClr w14:val="tx1"/>
            </w14:solidFill>
          </w14:textFill>
        </w:rPr>
      </w:pPr>
      <w:r>
        <w:rPr>
          <w:rFonts w:ascii="Times New Roman" w:hAnsi="Times New Roman"/>
          <w:b/>
          <w:color w:val="000000" w:themeColor="text1"/>
          <w:sz w:val="22"/>
          <w14:textFill>
            <w14:solidFill>
              <w14:schemeClr w14:val="tx1"/>
            </w14:solidFill>
          </w14:textFill>
        </w:rPr>
        <w:t>Governing disputed maritime areas through marine spatial planning: legal foundations, comparative practice and pathways forward</w:t>
      </w:r>
    </w:p>
    <w:p w14:paraId="7FBC4B7E">
      <w:pPr>
        <w:spacing w:after="160"/>
        <w:rPr>
          <w:color w:val="000000" w:themeColor="text1"/>
          <w14:textFill>
            <w14:solidFill>
              <w14:schemeClr w14:val="tx1"/>
            </w14:solidFill>
          </w14:textFill>
        </w:rPr>
      </w:pPr>
      <w:r>
        <w:rPr>
          <w:b/>
          <w:color w:val="000000" w:themeColor="text1"/>
          <w14:textFill>
            <w14:solidFill>
              <w14:schemeClr w14:val="tx1"/>
            </w14:solidFill>
          </w14:textFill>
        </w:rPr>
        <w:t xml:space="preserve">Scope of the supplementary source list. </w:t>
      </w:r>
      <w:r>
        <w:rPr>
          <w:color w:val="000000" w:themeColor="text1"/>
          <w14:textFill>
            <w14:solidFill>
              <w14:schemeClr w14:val="tx1"/>
            </w14:solidFill>
          </w14:textFill>
        </w:rPr>
        <w:t>The sources cited in the manuscript are grouped below according to their function in the analysis. Part I contains legal, judicial, policy, planning, institutional and other documentary materials. Part II contains scholarly literature. Publicly accessible links are provided where available. This classification is intended to distinguish documentary source materials from scholarly analysis; it does not imply a hierarchy of evidential value among the individual sources.</w:t>
      </w:r>
    </w:p>
    <w:p w14:paraId="405274F0">
      <w:pPr>
        <w:pStyle w:val="3"/>
        <w:rPr>
          <w:color w:val="000000" w:themeColor="text1"/>
          <w14:textFill>
            <w14:solidFill>
              <w14:schemeClr w14:val="tx1"/>
            </w14:solidFill>
          </w14:textFill>
        </w:rPr>
      </w:pPr>
      <w:r>
        <w:rPr>
          <w:color w:val="000000" w:themeColor="text1"/>
          <w14:textFill>
            <w14:solidFill>
              <w14:schemeClr w14:val="tx1"/>
            </w14:solidFill>
          </w14:textFill>
        </w:rPr>
        <w:t>Part I. Legal, Judicial, Policy and Other Documentary Materials</w:t>
      </w:r>
    </w:p>
    <w:p w14:paraId="0439F8EA">
      <w:pPr>
        <w:spacing w:after="140"/>
        <w:rPr>
          <w:color w:val="000000" w:themeColor="text1"/>
          <w14:textFill>
            <w14:solidFill>
              <w14:schemeClr w14:val="tx1"/>
            </w14:solidFill>
          </w14:textFill>
        </w:rPr>
      </w:pPr>
      <w:r>
        <w:rPr>
          <w:color w:val="000000" w:themeColor="text1"/>
          <w14:textFill>
            <w14:solidFill>
              <w14:schemeClr w14:val="tx1"/>
            </w14:solidFill>
          </w14:textFill>
        </w:rPr>
        <w:t>These materials constitute the principal publicly available documentary sources used for the doctrinal and comparative analysis, including treaties and other legal instruments, judicial and arbitral materials, national and regional planning documents, institutional guidance and reports, and publicly available news sources.</w:t>
      </w:r>
    </w:p>
    <w:p w14:paraId="58490712">
      <w:pPr>
        <w:pStyle w:val="4"/>
        <w:rPr>
          <w:color w:val="000000" w:themeColor="text1"/>
          <w14:textFill>
            <w14:solidFill>
              <w14:schemeClr w14:val="tx1"/>
            </w14:solidFill>
          </w14:textFill>
        </w:rPr>
      </w:pPr>
      <w:r>
        <w:rPr>
          <w:color w:val="000000" w:themeColor="text1"/>
          <w14:textFill>
            <w14:solidFill>
              <w14:schemeClr w14:val="tx1"/>
            </w14:solidFill>
          </w14:textFill>
        </w:rPr>
        <w:t>1. International, Regional and Supranational Legal and Policy Instruments</w:t>
      </w:r>
    </w:p>
    <w:p w14:paraId="499B2AE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 </w:t>
      </w:r>
      <w:r>
        <w:rPr>
          <w:rFonts w:ascii="Times New Roman" w:hAnsi="Times New Roman"/>
          <w:color w:val="000000" w:themeColor="text1"/>
          <w:sz w:val="20"/>
          <w14:textFill>
            <w14:solidFill>
              <w14:schemeClr w14:val="tx1"/>
            </w14:solidFill>
          </w14:textFill>
        </w:rPr>
        <w:t xml:space="preserve">Convention on Biological Diversity(CBD) (2022) Decision 15/4: Kunming-Montreal Global Biodiversity Framework.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"https://www.cbd.int/doc/decisions/cop-15/cop-15-dec-04-en.pdf"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https://www.cbd.int/doc/decisions/cop-15/cop-15-dec-04-en.pdf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D79E215">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 </w:t>
      </w:r>
      <w:r>
        <w:rPr>
          <w:rFonts w:ascii="Times New Roman" w:hAnsi="Times New Roman"/>
          <w:color w:val="000000" w:themeColor="text1"/>
          <w:sz w:val="20"/>
          <w14:textFill>
            <w14:solidFill>
              <w14:schemeClr w14:val="tx1"/>
            </w14:solidFill>
          </w14:textFill>
        </w:rPr>
        <w:t xml:space="preserve">European Commission (2007) An integrated maritime policy for the European Union, COM(2007) 575 final.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"https://eur-lex.europa.eu/legal-content/EN/TXT/?uri=CELEX:52007DC0575"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https://eur-lex.europa.eu/legal-content/EN/TXT/?uri=CELEX:52007DC0575</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8971D57">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 </w:t>
      </w:r>
      <w:r>
        <w:rPr>
          <w:rFonts w:ascii="Times New Roman" w:hAnsi="Times New Roman"/>
          <w:color w:val="000000" w:themeColor="text1"/>
          <w:sz w:val="20"/>
          <w14:textFill>
            <w14:solidFill>
              <w14:schemeClr w14:val="tx1"/>
            </w14:solidFill>
          </w14:textFill>
        </w:rPr>
        <w:t xml:space="preserve">European Parliament and Council (2001) Directive 2001/42/EC on the assessment of the effects of certain plans and programmes on the environment. Off J Eur Communities L197:30–37.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"https://eur-lex.europa.eu/eli/dir/2001/42/oj/eng"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https://eur-lex.europa.eu/eli/dir/2001/42/oj/eng</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7733D298">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 </w:t>
      </w:r>
      <w:r>
        <w:rPr>
          <w:rFonts w:ascii="Times New Roman" w:hAnsi="Times New Roman"/>
          <w:color w:val="000000" w:themeColor="text1"/>
          <w:sz w:val="20"/>
          <w14:textFill>
            <w14:solidFill>
              <w14:schemeClr w14:val="tx1"/>
            </w14:solidFill>
          </w14:textFill>
        </w:rPr>
        <w:t xml:space="preserve">European Parliament and Council (2014) Directive 2014/89/EU establishing a framework for maritime spatial planning. Off J Eur Union L 257:135–145.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"https://eur-lex.europa.eu/eli/dir/2014/89/oj/eng"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https://eur-lex.europa.eu/eli/dir/2014/89/oj/eng</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4917300D">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 </w:t>
      </w:r>
      <w:r>
        <w:rPr>
          <w:rFonts w:ascii="Times New Roman" w:hAnsi="Times New Roman"/>
          <w:color w:val="000000" w:themeColor="text1"/>
          <w:sz w:val="20"/>
          <w14:textFill>
            <w14:solidFill>
              <w14:schemeClr w14:val="tx1"/>
            </w14:solidFill>
          </w14:textFill>
        </w:rPr>
        <w:t xml:space="preserve">Helsinki Commission (HELCOM) (1992) Convention on the Protection of the Marine Environment of the Baltic Sea Area. 2099 UNTS 195.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"https://treaties.un.org/doc/Publication/UNTS/Volume%202099/v2099.pdf"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https://treaties.un.org/doc/Publication/UNTS/Volume%202099/v2099.pdf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090A2E9F">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[P6] </w:t>
      </w:r>
      <w:r>
        <w:rPr>
          <w:rFonts w:ascii="Times New Roman" w:hAnsi="Times New Roman"/>
          <w:color w:val="000000" w:themeColor="text1"/>
          <w:sz w:val="20"/>
          <w14:textFill>
            <w14:solidFill>
              <w14:schemeClr w14:val="tx1"/>
            </w14:solidFill>
          </w14:textFill>
        </w:rPr>
        <w:t xml:space="preserve">HELCOM (2003) Recommendation 24/10: implementation of integrated marine and coastal management of human activities in the Baltic Sea area.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"https://helcom.fi/wp-content/uploads/2019/06/Rec-24-10.pdf"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https://helcom.fi/wp-content/uploads/2019/06/Rec-24-10.pdf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4C127E2">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[P7] </w:t>
      </w:r>
      <w:r>
        <w:rPr>
          <w:rFonts w:ascii="Times New Roman" w:hAnsi="Times New Roman"/>
          <w:color w:val="000000" w:themeColor="text1"/>
          <w:sz w:val="20"/>
          <w14:textFill>
            <w14:solidFill>
              <w14:schemeClr w14:val="tx1"/>
            </w14:solidFill>
          </w14:textFill>
        </w:rPr>
        <w:t>HELCOM (2019) Recommendation 24/10: implementation of in</w:t>
      </w:r>
      <w:bookmarkStart w:id="0" w:name="_GoBack"/>
      <w:r>
        <w:rPr>
          <w:rFonts w:ascii="Times New Roman" w:hAnsi="Times New Roman"/>
          <w:color w:val="000000" w:themeColor="text1"/>
          <w:sz w:val="20"/>
          <w14:textFill>
            <w14:solidFill>
              <w14:schemeClr w14:val="tx1"/>
            </w14:solidFill>
          </w14:textFill>
        </w:rPr>
        <w:t>t</w:t>
      </w:r>
      <w:bookmarkEnd w:id="0"/>
      <w:r>
        <w:rPr>
          <w:rFonts w:ascii="Times New Roman" w:hAnsi="Times New Roman"/>
          <w:color w:val="000000" w:themeColor="text1"/>
          <w:sz w:val="20"/>
          <w14:textFill>
            <w14:solidFill>
              <w14:schemeClr w14:val="tx1"/>
            </w14:solidFill>
          </w14:textFill>
        </w:rPr>
        <w:t xml:space="preserve">egrated coastal management and maritime spatial planning in the Baltic Sea area.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"https://helcom.fi/wp-content/uploads/2019/06/Rec-24-10-R.pdf"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https://helcom.fi/wp-content/uploads/2019/06/Rec-24-10-R.pdf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B2597AC">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[P8] </w:t>
      </w:r>
      <w:r>
        <w:rPr>
          <w:rFonts w:ascii="Times New Roman" w:hAnsi="Times New Roman"/>
          <w:color w:val="000000" w:themeColor="text1"/>
          <w:sz w:val="20"/>
          <w14:textFill>
            <w14:solidFill>
              <w14:schemeClr w14:val="tx1"/>
            </w14:solidFill>
          </w14:textFill>
        </w:rPr>
        <w:t xml:space="preserve">Ministry of Foreign Affairs of China (2002) Declaration on the Conduct of Parties in the South China Sea.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"https://www.fmprc.gov.cn/eng/wjb/zzjg_663340/yzs_663350/dqzz_663354/202406/t20240606_11378747.html"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https://www.fmprc.gov.cn/eng/wjb/zzjg_663340/yzs_663350/dqzz_663354/202406/t20240606_11378747.html</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8BC2497">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[P9] </w:t>
      </w:r>
      <w:r>
        <w:rPr>
          <w:rFonts w:ascii="Times New Roman" w:hAnsi="Times New Roman"/>
          <w:color w:val="000000" w:themeColor="text1"/>
          <w:sz w:val="20"/>
          <w14:textFill>
            <w14:solidFill>
              <w14:schemeClr w14:val="tx1"/>
            </w14:solidFill>
          </w14:textFill>
        </w:rPr>
        <w:t xml:space="preserve">United Nations Economic Commission for Europe (UNECE) (1991) Convention on environmental impact assessment in a transboundary context. 1989 UNTS 309.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"https://unece.org/sites/default/files/2021-03/Espoo%20Convention.pdf"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https://unece.org/sites/default/files/2021-03/Espoo%20Convention.pdf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52097C4C">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[P10] </w:t>
      </w:r>
      <w:r>
        <w:rPr>
          <w:rFonts w:ascii="Times New Roman" w:hAnsi="Times New Roman"/>
          <w:color w:val="000000" w:themeColor="text1"/>
          <w:sz w:val="20"/>
          <w14:textFill>
            <w14:solidFill>
              <w14:schemeClr w14:val="tx1"/>
            </w14:solidFill>
          </w14:textFill>
        </w:rPr>
        <w:t xml:space="preserve">UNECE (1998) Convention on access to information, public participation in decision-making and access to justice in environmental matters. 2161 UNTS 447.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"https://unece.org/environment-policy/public-participation/aarhus-convention/text"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https://unece.org/environment-policy/public-participation/aarhus-convention/text</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3F68C6C5">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[P11] </w:t>
      </w:r>
      <w:r>
        <w:rPr>
          <w:rFonts w:ascii="Times New Roman" w:hAnsi="Times New Roman"/>
          <w:color w:val="000000" w:themeColor="text1"/>
          <w:sz w:val="20"/>
          <w14:textFill>
            <w14:solidFill>
              <w14:schemeClr w14:val="tx1"/>
            </w14:solidFill>
          </w14:textFill>
        </w:rPr>
        <w:t xml:space="preserve">UNECE (2003) Protocol on strategic environmental assessment to the Convention on environmental impact assessment in a transboundary context. 2685 UNTS 140.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"https://treaties.un.org/pages/ViewDetails.aspx?chapter=27&amp;clang=_en&amp;mtdsg_no=XXVII-4-b&amp;src=TREATY"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https://treaties.un.org/pages/ViewDetails.aspx?chapter=27&amp;clang=_en&amp;mtdsg_no=XXVII-4-b&amp;src=TREATY</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7D5428C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[P12] </w:t>
      </w:r>
      <w:r>
        <w:rPr>
          <w:rFonts w:ascii="Times New Roman" w:hAnsi="Times New Roman"/>
          <w:color w:val="000000" w:themeColor="text1"/>
          <w:sz w:val="20"/>
          <w14:textFill>
            <w14:solidFill>
              <w14:schemeClr w14:val="tx1"/>
            </w14:solidFill>
          </w14:textFill>
        </w:rPr>
        <w:t xml:space="preserve">United Nations Environment Programme/Mediterranean Action Plan (UNEP/MAP) (2008) Protocol on integrated coastal zone management in the Mediterranean.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"https://www.unep.org/unepmap/who-we-are/contracting-parties/iczm-protocol"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https://www.unep.org/unepmap/who-we-are/contracting-parties/iczm-protocol</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5C356FD">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[P13] </w:t>
      </w:r>
      <w:r>
        <w:rPr>
          <w:rFonts w:ascii="Times New Roman" w:hAnsi="Times New Roman"/>
          <w:color w:val="000000" w:themeColor="text1"/>
          <w:sz w:val="20"/>
          <w14:textFill>
            <w14:solidFill>
              <w14:schemeClr w14:val="tx1"/>
            </w14:solidFill>
          </w14:textFill>
        </w:rPr>
        <w:t xml:space="preserve">UNEP/MAP (2017) Conceptual framework for marine spatial planning in the Mediterranean, Decision IG.23/7.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"https://wedocs.unep.org/rest/api/core/bitstreams/76e8f517-4f3b-45b4-82a0-765466b8d642/content"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https://wedocs.unep.org/rest/api/core/bitstreams/76e8f517-4f3b-45b4-82a0-765466b8d642/content</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FD77A4C">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[P14] </w:t>
      </w:r>
      <w:r>
        <w:rPr>
          <w:rFonts w:ascii="Times New Roman" w:hAnsi="Times New Roman"/>
          <w:color w:val="000000" w:themeColor="text1"/>
          <w:sz w:val="20"/>
          <w14:textFill>
            <w14:solidFill>
              <w14:schemeClr w14:val="tx1"/>
            </w14:solidFill>
          </w14:textFill>
        </w:rPr>
        <w:t xml:space="preserve">United Nations (1982) United Nations Convention on the Law of the Sea. 1833 UNTS 397.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"https://www.un.org/depts/los/convention_agreements/texts/unclos/unclos_e.pdf"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https://www.un.org/depts/los/convention_agreements/texts/unclos/unclos_e.pdf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0445C581">
      <w:pPr>
        <w:pStyle w:val="4"/>
        <w:rPr>
          <w:color w:val="000000" w:themeColor="text1"/>
          <w14:textFill>
            <w14:solidFill>
              <w14:schemeClr w14:val="tx1"/>
            </w14:solidFill>
          </w14:textFill>
        </w:rPr>
      </w:pPr>
      <w:r>
        <w:rPr>
          <w:color w:val="000000" w:themeColor="text1"/>
          <w14:textFill>
            <w14:solidFill>
              <w14:schemeClr w14:val="tx1"/>
            </w14:solidFill>
          </w14:textFill>
        </w:rPr>
        <w:t>2. Judicial and Arbitral Decisions and Opinions</w:t>
      </w:r>
    </w:p>
    <w:p w14:paraId="28C338A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[P15] </w:t>
      </w:r>
      <w:r>
        <w:rPr>
          <w:rFonts w:ascii="Times New Roman" w:hAnsi="Times New Roman"/>
          <w:color w:val="000000" w:themeColor="text1"/>
          <w:sz w:val="20"/>
          <w14:textFill>
            <w14:solidFill>
              <w14:schemeClr w14:val="tx1"/>
            </w14:solidFill>
          </w14:textFill>
        </w:rPr>
        <w:t xml:space="preserve">Court of Justice of the European Union (2020) Republic of Slovenia v Republic of Croatia, Case C-457/18, Judgment of 31 January 2020. ECLI:EU:C:2020:65.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"https://infocuria.curia.europa.eu/tabs/redirect/juris/documents.jsf?critereEcli=ECLI%3AEU%3AC%3A2020%3A65&amp;language=EN"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https://infocuria.curia.europa.eu/tabs/redirect/juris/documents.jsf?critereEcli=ECLI%3AEU%3AC%3A2020%3A65&amp;language=EN</w:t>
      </w:r>
      <w:r>
        <w:rPr>
          <w:rFonts w:ascii="Times New Roman" w:hAnsi="Times New Roman"/>
          <w:color w:val="000000" w:themeColor="text1"/>
          <w:sz w:val="19"/>
          <w:u w:val="single"/>
          <w14:textFill>
            <w14:solidFill>
              <w14:schemeClr w14:val="tx1"/>
            </w14:solidFill>
          </w14:textFill>
        </w:rPr>
        <w:fldChar w:fldCharType="end"/>
      </w:r>
    </w:p>
    <w:p w14:paraId="5A4D9B04">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[P16] </w:t>
      </w:r>
      <w:r>
        <w:rPr>
          <w:rFonts w:ascii="Times New Roman" w:hAnsi="Times New Roman"/>
          <w:color w:val="000000" w:themeColor="text1"/>
          <w:sz w:val="20"/>
          <w14:textFill>
            <w14:solidFill>
              <w14:schemeClr w14:val="tx1"/>
            </w14:solidFill>
          </w14:textFill>
        </w:rPr>
        <w:t xml:space="preserve">Frontier Dispute (Burkina Faso/Republic of Mali) (1986) Judgment of 22 December 1986. ICJ Reports 1986:554.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"https://api.icj-cij.org/sites/default/files/case-related/69/069-19861222-JUD-01-00-EN.pdf"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https://api.icj-cij.org/sites/default/files/case-related/69/069-19861222-JUD-01-00-EN.pdf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1456435F">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[P17] </w:t>
      </w:r>
      <w:r>
        <w:rPr>
          <w:rFonts w:ascii="Times New Roman" w:hAnsi="Times New Roman"/>
          <w:color w:val="000000" w:themeColor="text1"/>
          <w:sz w:val="20"/>
          <w14:textFill>
            <w14:solidFill>
              <w14:schemeClr w14:val="tx1"/>
            </w14:solidFill>
          </w14:textFill>
        </w:rPr>
        <w:t xml:space="preserve">Ghana/Côte d'Ivoire (2017) Delimitation of the Maritime Boundary in the Atlantic Ocean, Judgment of 23 September 2017. ITLOS Reports 2017:4.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"https://www.itlos.org/fileadmin/itlos/documents/cases/case_no.23_merits/23_published_texts/C23_Judgment_20170923.pdf"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https://www.itlos.org/fileadmin/itlos/documents/cases/case_no.23_merits/23_published_texts/C23_Judgment_20170923.pdf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3BC14060">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[P18] </w:t>
      </w:r>
      <w:r>
        <w:rPr>
          <w:rFonts w:ascii="Times New Roman" w:hAnsi="Times New Roman"/>
          <w:color w:val="000000" w:themeColor="text1"/>
          <w:sz w:val="20"/>
          <w14:textFill>
            <w14:solidFill>
              <w14:schemeClr w14:val="tx1"/>
            </w14:solidFill>
          </w14:textFill>
        </w:rPr>
        <w:t xml:space="preserve">Guyana v Suriname (2007) Award of the Arbitral Tribunal of 17 September 2007, PCA Case No. 2004-04. Reports of International Arbitral Awards 30:1–144.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"https://legal.un.org/riaa/cases/vol_xxx/1-144.pdf"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https://legal.un.org/riaa/cases/vol_xxx/1-144.pdf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00C5CB7B">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[P19] </w:t>
      </w:r>
      <w:r>
        <w:rPr>
          <w:rFonts w:ascii="Times New Roman" w:hAnsi="Times New Roman"/>
          <w:color w:val="000000" w:themeColor="text1"/>
          <w:sz w:val="20"/>
          <w14:textFill>
            <w14:solidFill>
              <w14:schemeClr w14:val="tx1"/>
            </w14:solidFill>
          </w14:textFill>
        </w:rPr>
        <w:t xml:space="preserve">Paik J-H (2017) Separate opinion in Dispute concerning delimitation of the maritime boundary between Ghana and Côte d'Ivoire in the Atlantic Ocean. ITLOS Reports 2017:176–183.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"https://www.itlos.org/fileadmin/itlos/documents/cases/case_no.23_merits/23_published_texts/C23_Judgment_20170923_SepOp_Paik.pdf"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https://www.itlos.org/fileadmin/itlos/documents/cases/case_no.23_merits/23_published_texts/C23_Judgment_20170923_SepOp_Paik.pdf</w:t>
      </w:r>
      <w:r>
        <w:rPr>
          <w:rFonts w:ascii="Times New Roman" w:hAnsi="Times New Roman"/>
          <w:color w:val="000000" w:themeColor="text1"/>
          <w:sz w:val="19"/>
          <w:u w:val="single"/>
          <w14:textFill>
            <w14:solidFill>
              <w14:schemeClr w14:val="tx1"/>
            </w14:solidFill>
          </w14:textFill>
        </w:rPr>
        <w:fldChar w:fldCharType="end"/>
      </w:r>
    </w:p>
    <w:p w14:paraId="7DC0AD00">
      <w:pPr>
        <w:keepLines/>
        <w:spacing w:after="80"/>
        <w:ind w:left="403" w:hanging="403"/>
        <w:rPr>
          <w:rFonts w:hint="eastAsia" w:eastAsia="Noto Serif CJK SC"/>
          <w:color w:val="000000" w:themeColor="text1"/>
          <w:lang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[P20] </w:t>
      </w:r>
      <w:r>
        <w:rPr>
          <w:rFonts w:ascii="Times New Roman" w:hAnsi="Times New Roman"/>
          <w:color w:val="000000" w:themeColor="text1"/>
          <w:sz w:val="20"/>
          <w14:textFill>
            <w14:solidFill>
              <w14:schemeClr w14:val="tx1"/>
            </w14:solidFill>
          </w14:textFill>
        </w:rPr>
        <w:t xml:space="preserve">South China Sea Arbitration (Philippines v China) (2016) Award of 12 July 2016, PCA Case No. 2013-19.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"https://legal.un.org/riaa/cases/vol_XXXIII/153-617.pdf"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https://legal.un.org/riaa/cases/vol_XXXIII/153-617.pdf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xml:space="preserve">. </w:t>
      </w:r>
      <w:r>
        <w:rPr>
          <w:rFonts w:hint="eastAsia"/>
          <w:color w:val="000000" w:themeColor="text1"/>
          <w:sz w:val="20"/>
          <w:lang w:eastAsia="zh-CN"/>
          <w14:textFill>
            <w14:solidFill>
              <w14:schemeClr w14:val="tx1"/>
            </w14:solidFill>
          </w14:textFill>
        </w:rPr>
        <w:t>Accessed 30 July 2026</w:t>
      </w:r>
    </w:p>
    <w:p w14:paraId="0ADE8BC7">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[P21] </w:t>
      </w:r>
      <w:r>
        <w:rPr>
          <w:rFonts w:ascii="Times New Roman" w:hAnsi="Times New Roman"/>
          <w:color w:val="000000" w:themeColor="text1"/>
          <w:sz w:val="20"/>
          <w14:textFill>
            <w14:solidFill>
              <w14:schemeClr w14:val="tx1"/>
            </w14:solidFill>
          </w14:textFill>
        </w:rPr>
        <w:t xml:space="preserve">Supreme Court of the Philippines (2023) SC declares unconstitutional the Joint Marine Seismic Undertaking among Philippine, Vietnamese and Chinese oil firms, 10 January 2023.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"https://sc.judiciary.gov.ph/sc-declares-unconstitutional-the-joint-marine-seismic-undertaking-among-philippine-vietnamese-and-chinese-oil-firms/"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https://sc.judiciary.gov.ph/sc-declares-unconstitutional-the-joint-marine-seismic-undertaking-among-philippine-vietnamese-and-chinese-oil-firms/</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472FA11">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[P22] </w:t>
      </w:r>
      <w:r>
        <w:rPr>
          <w:rFonts w:ascii="Times New Roman" w:hAnsi="Times New Roman"/>
          <w:color w:val="000000" w:themeColor="text1"/>
          <w:sz w:val="20"/>
          <w14:textFill>
            <w14:solidFill>
              <w14:schemeClr w14:val="tx1"/>
            </w14:solidFill>
          </w14:textFill>
        </w:rPr>
        <w:t xml:space="preserve">Territorial and Maritime Dispute (Nicaragua v Colombia) (2012) Judgment. ICJ Reports 2012:624.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"https://www.icj-cij.org/node/103212"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https://www.icj-cij.org/node/103212</w:t>
      </w:r>
      <w:r>
        <w:rPr>
          <w:rFonts w:ascii="Times New Roman" w:hAnsi="Times New Roman"/>
          <w:color w:val="000000" w:themeColor="text1"/>
          <w:sz w:val="19"/>
          <w:u w:val="single"/>
          <w14:textFill>
            <w14:solidFill>
              <w14:schemeClr w14:val="tx1"/>
            </w14:solidFill>
          </w14:textFill>
        </w:rPr>
        <w:fldChar w:fldCharType="end"/>
      </w:r>
    </w:p>
    <w:p w14:paraId="70FC1C42">
      <w:pPr>
        <w:pStyle w:val="4"/>
        <w:rPr>
          <w:color w:val="000000" w:themeColor="text1"/>
          <w14:textFill>
            <w14:solidFill>
              <w14:schemeClr w14:val="tx1"/>
            </w14:solidFill>
          </w14:textFill>
        </w:rPr>
      </w:pPr>
      <w:r>
        <w:rPr>
          <w:color w:val="000000" w:themeColor="text1"/>
          <w14:textFill>
            <w14:solidFill>
              <w14:schemeClr w14:val="tx1"/>
            </w14:solidFill>
          </w14:textFill>
        </w:rPr>
        <w:t>3. National Legislation, Marine Spatial Plans and Official Statements</w:t>
      </w:r>
    </w:p>
    <w:p w14:paraId="367A7493">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[P23] </w:t>
      </w:r>
      <w:r>
        <w:rPr>
          <w:rFonts w:ascii="Times New Roman" w:hAnsi="Times New Roman"/>
          <w:color w:val="000000" w:themeColor="text1"/>
          <w:sz w:val="20"/>
          <w14:textFill>
            <w14:solidFill>
              <w14:schemeClr w14:val="tx1"/>
            </w14:solidFill>
          </w14:textFill>
        </w:rPr>
        <w:t xml:space="preserve">Čok G et al (2021) Maritime spatial plan of Slovenia. Government of Slovenia.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"https://dokumenti-pis.mop.gov.si/javno/veljavni/PPP2192/1/English/MSP_Slovenia.pdf"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https://dokumenti-pis.mop.gov.si/javno/veljavni/PPP2192/1/English/MSP_Slovenia.pdf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A002947">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[P24] </w:t>
      </w:r>
      <w:r>
        <w:rPr>
          <w:rFonts w:ascii="Times New Roman" w:hAnsi="Times New Roman"/>
          <w:color w:val="000000" w:themeColor="text1"/>
          <w:sz w:val="20"/>
          <w14:textFill>
            <w14:solidFill>
              <w14:schemeClr w14:val="tx1"/>
            </w14:solidFill>
          </w14:textFill>
        </w:rPr>
        <w:t xml:space="preserve">Government of Indonesia (2019) Government Regulation No. 32 of 2019 on marine spatial planning.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"https://peraturan.bpk.go.id/Details/110263/pp-no-32-tahun-2019"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https://peraturan.bpk.go.id/Details/110263/pp-no-32-tahun-2019</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6E573FC">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[P25] </w:t>
      </w:r>
      <w:r>
        <w:rPr>
          <w:rFonts w:ascii="Times New Roman" w:hAnsi="Times New Roman"/>
          <w:color w:val="000000" w:themeColor="text1"/>
          <w:sz w:val="20"/>
          <w14:textFill>
            <w14:solidFill>
              <w14:schemeClr w14:val="tx1"/>
            </w14:solidFill>
          </w14:textFill>
        </w:rPr>
        <w:t xml:space="preserve">Government of Indonesia (2021) Government Regulation No. 21 of 2021 on implementation of spatial planning.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"https://faolex.fao.org/docs/pdf/ins213841E.pdf"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https://faolex.fao.org/docs/pdf/ins213841E.pdf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DF2BC2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[P26] </w:t>
      </w:r>
      <w:r>
        <w:rPr>
          <w:rFonts w:ascii="Times New Roman" w:hAnsi="Times New Roman"/>
          <w:color w:val="000000" w:themeColor="text1"/>
          <w:sz w:val="20"/>
          <w14:textFill>
            <w14:solidFill>
              <w14:schemeClr w14:val="tx1"/>
            </w14:solidFill>
          </w14:textFill>
        </w:rPr>
        <w:t xml:space="preserve">Ministry of Foreign Affairs of China (2016) China adheres to the position of settling through negotiation the relevant disputes between China and the Philippines in the South China Sea.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"https://www.mfa.gov.cn/nanhai/eng/snhwtlcwj_1/201607/t20160713_8526532.htm"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https://www.mfa.gov.cn/nanhai/eng/snhwtlcwj_1/201607/t20160713_8526532.htm</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C46F875">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[P27] </w:t>
      </w:r>
      <w:r>
        <w:rPr>
          <w:rFonts w:ascii="Times New Roman" w:hAnsi="Times New Roman"/>
          <w:color w:val="000000" w:themeColor="text1"/>
          <w:sz w:val="20"/>
          <w14:textFill>
            <w14:solidFill>
              <w14:schemeClr w14:val="tx1"/>
            </w14:solidFill>
          </w14:textFill>
        </w:rPr>
        <w:t xml:space="preserve">Ministry of Foreign Affairs of Türkiye (2025) Statement regarding the Greek maritime spatial planning map on the European Maritime Spatial Planning Platform, 21 November 2025.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"https://www.mfa.gov.tr/sc_-20_-disisleri-bakanligi-sozcusu-oncu-keceli-nin-ab-nin-deniz-mekansal-planlama-platformu-nda-kayitli-yunan-deniz-mekansal-planlama-haritasi-hk-sc.en.mfa"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https://www.mfa.gov.tr/sc_-20_-disisleri-bakanligi-sozcusu-oncu-keceli-nin-ab-nin-deniz-mekansal-planlama-platformu-nda-kayitli-yunan-deniz-mekansal-planlama-haritasi-hk-sc.en.mfa</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202ACA80">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[P28] </w:t>
      </w:r>
      <w:r>
        <w:rPr>
          <w:rFonts w:ascii="Times New Roman" w:hAnsi="Times New Roman"/>
          <w:color w:val="000000" w:themeColor="text1"/>
          <w:sz w:val="20"/>
          <w14:textFill>
            <w14:solidFill>
              <w14:schemeClr w14:val="tx1"/>
            </w14:solidFill>
          </w14:textFill>
        </w:rPr>
        <w:t xml:space="preserve">Ministry of Natural Resources of China (2019) Notice on comprehensively carrying out territorial spatial planning.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"http://gi.mnr.gov.cn/201905/t20190530_2439129.html"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http://gi.mnr.gov.cn/201905/t20190530_2439129.html</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 [in Chinese]</w:t>
      </w:r>
    </w:p>
    <w:p w14:paraId="0A2D1FBF">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[P29] </w:t>
      </w:r>
      <w:r>
        <w:rPr>
          <w:rFonts w:ascii="Times New Roman" w:hAnsi="Times New Roman"/>
          <w:color w:val="000000" w:themeColor="text1"/>
          <w:sz w:val="20"/>
          <w14:textFill>
            <w14:solidFill>
              <w14:schemeClr w14:val="tx1"/>
            </w14:solidFill>
          </w14:textFill>
        </w:rPr>
        <w:t xml:space="preserve">Ministry of Physical Planning, Construction and State Assets of Croatia (2025) Public consultation on the proposal for the spatial plan of the exclusive economic zone in the Adriatic Sea.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"https://mpgi.gov.hr/news/public-consultation-announcement-for-proposal-of-the-spatial-plan-of-the-exclusive-economic-zone-in-the-adriatic-sea/18848"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https://mpgi.gov.hr/news/public-consultation-announcement-for-proposal-of-the-spatial-plan-of-the-exclusive-economic-zone-in-the-adriatic-sea/18848</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EF723C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[P30] </w:t>
      </w:r>
      <w:r>
        <w:rPr>
          <w:rFonts w:ascii="Times New Roman" w:hAnsi="Times New Roman"/>
          <w:color w:val="000000" w:themeColor="text1"/>
          <w:sz w:val="20"/>
          <w14:textFill>
            <w14:solidFill>
              <w14:schemeClr w14:val="tx1"/>
            </w14:solidFill>
          </w14:textFill>
        </w:rPr>
        <w:t xml:space="preserve">National Assembly of Vietnam (2024) Resolution No. 139/2024/QH15 on national marine spatial planning for 2021-2030, with a vision to 2050.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"https://thuvienphapluat.vn/van-ban/EN/Tai-nguyen-Moi-truong/Resolution-139-2024-QH15-National-marine-spatial-planning-for-the-period-of-2021-2030/623947/tieng-anh.aspx"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https://thuvienphapluat.vn/van-ban/EN/Tai-nguyen-Moi-truong/Resolution-139-2024-QH15-National-marine-spatial-planning-for-the-period-of-2021-2030/623947/tieng-anh.aspx</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0469E90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[P31] </w:t>
      </w:r>
      <w:r>
        <w:rPr>
          <w:rFonts w:ascii="Times New Roman" w:hAnsi="Times New Roman"/>
          <w:color w:val="000000" w:themeColor="text1"/>
          <w:sz w:val="20"/>
          <w14:textFill>
            <w14:solidFill>
              <w14:schemeClr w14:val="tx1"/>
            </w14:solidFill>
          </w14:textFill>
        </w:rPr>
        <w:t xml:space="preserve">President of Indonesia (2022) Presidential Regulation No. 41 of 2022 concerning the zoning plan for the interregional sea areas of Natuna and North Natuna.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"https://faolex.fao.org/docs/pdf/ins213425.pdf"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https://faolex.fao.org/docs/pdf/ins213425.pdf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1BCEEC2">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[P32] </w:t>
      </w:r>
      <w:r>
        <w:rPr>
          <w:rFonts w:ascii="Times New Roman" w:hAnsi="Times New Roman"/>
          <w:color w:val="000000" w:themeColor="text1"/>
          <w:sz w:val="20"/>
          <w14:textFill>
            <w14:solidFill>
              <w14:schemeClr w14:val="tx1"/>
            </w14:solidFill>
          </w14:textFill>
        </w:rPr>
        <w:t xml:space="preserve">SIPAM (2023) Amendment to the regulation adopting the Polish spatial development plan for internal sea waters, the territorial sea and the exclusive economic zone at a scale of 1:200,000.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"https://sipam.gov.pl/wp-content/uploads/2023/05/EN-translation.zip"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https://sipam.gov.pl/wp-content/uploads/2023/05/EN-translation.zip</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233C5B8">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[P33] </w:t>
      </w:r>
      <w:r>
        <w:rPr>
          <w:rFonts w:ascii="Times New Roman" w:hAnsi="Times New Roman"/>
          <w:color w:val="000000" w:themeColor="text1"/>
          <w:sz w:val="20"/>
          <w14:textFill>
            <w14:solidFill>
              <w14:schemeClr w14:val="tx1"/>
            </w14:solidFill>
          </w14:textFill>
        </w:rPr>
        <w:t xml:space="preserve">State Council of China (2015) National marine main functional area plan.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"https://www.gov.cn/gongbao/content/2015/content_2924001.htm"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https://www.gov.cn/gongbao/content/2015/content_2924001.htm</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8388B0C">
      <w:pPr>
        <w:pStyle w:val="4"/>
        <w:rPr>
          <w:color w:val="000000" w:themeColor="text1"/>
          <w14:textFill>
            <w14:solidFill>
              <w14:schemeClr w14:val="tx1"/>
            </w14:solidFill>
          </w14:textFill>
        </w:rPr>
      </w:pPr>
      <w:r>
        <w:rPr>
          <w:color w:val="000000" w:themeColor="text1"/>
          <w14:textFill>
            <w14:solidFill>
              <w14:schemeClr w14:val="tx1"/>
            </w14:solidFill>
          </w14:textFill>
        </w:rPr>
        <w:t>4. Institutional Reports, Guidance and Technical Materials</w:t>
      </w:r>
    </w:p>
    <w:p w14:paraId="62DFC38B">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[P34] </w:t>
      </w:r>
      <w:r>
        <w:rPr>
          <w:rFonts w:ascii="Times New Roman" w:hAnsi="Times New Roman"/>
          <w:color w:val="000000" w:themeColor="text1"/>
          <w:sz w:val="20"/>
          <w14:textFill>
            <w14:solidFill>
              <w14:schemeClr w14:val="tx1"/>
            </w14:solidFill>
          </w14:textFill>
        </w:rPr>
        <w:t xml:space="preserve">Bindoff NL et al (2019) Changing ocean, marine ecosystems, and dependent communities. In: Pörtner H-O et al (eds) IPCC special report on the ocean and cryosphere in a changing climate. Geneva.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"https://www.ipcc.ch/srocc/"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https://www.ipcc.ch/srocc/</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CEA9318">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[P35] </w:t>
      </w:r>
      <w:r>
        <w:rPr>
          <w:rFonts w:ascii="Times New Roman" w:hAnsi="Times New Roman"/>
          <w:color w:val="000000" w:themeColor="text1"/>
          <w:sz w:val="20"/>
          <w14:textFill>
            <w14:solidFill>
              <w14:schemeClr w14:val="tx1"/>
            </w14:solidFill>
          </w14:textFill>
        </w:rPr>
        <w:t xml:space="preserve">Ehler C, Douvere F (2009) Marine spatial planning: a step-by-step approach toward ecosystem-based management. UNESCO Intergovernmental Oceanographic Commission, Paris.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"https://unesdoc.unesco.org/ark:/48223/pf0000186559"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https://unesdoc.unesco.org/ark:/48223/pf0000186559</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0820C57">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[P36] </w:t>
      </w:r>
      <w:r>
        <w:rPr>
          <w:rFonts w:ascii="Times New Roman" w:hAnsi="Times New Roman"/>
          <w:color w:val="000000" w:themeColor="text1"/>
          <w:sz w:val="20"/>
          <w14:textFill>
            <w14:solidFill>
              <w14:schemeClr w14:val="tx1"/>
            </w14:solidFill>
          </w14:textFill>
        </w:rPr>
        <w:t xml:space="preserve">EU MSP Platform (2018) Poland and Denmark sign agreement on maritime boundary in the Baltic Sea.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"https://maritime-spatial-planning.ec.europa.eu/news/poland-and-denmark-sign-agreement-maritime-boundary-baltic-sea"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https://maritime-spatial-planning.ec.europa.eu/news/poland-and-denmark-sign-agreement-maritime-boundary-baltic-sea</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103F1284">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[P37] </w:t>
      </w:r>
      <w:r>
        <w:rPr>
          <w:rFonts w:ascii="Times New Roman" w:hAnsi="Times New Roman"/>
          <w:color w:val="000000" w:themeColor="text1"/>
          <w:sz w:val="20"/>
          <w14:textFill>
            <w14:solidFill>
              <w14:schemeClr w14:val="tx1"/>
            </w14:solidFill>
          </w14:textFill>
        </w:rPr>
        <w:t xml:space="preserve">EU MSP Platform (2024) Poland maritime spatial planning country profile.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"https://maritime-spatial-planning.ec.europa.eu/media/document/Poland_countryprofile"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https://maritime-spatial-planning.ec.europa.eu/media/document/Poland_countryprofile</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DE5707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[P38] </w:t>
      </w:r>
      <w:r>
        <w:rPr>
          <w:rFonts w:ascii="Times New Roman" w:hAnsi="Times New Roman"/>
          <w:color w:val="000000" w:themeColor="text1"/>
          <w:sz w:val="20"/>
          <w14:textFill>
            <w14:solidFill>
              <w14:schemeClr w14:val="tx1"/>
            </w14:solidFill>
          </w14:textFill>
        </w:rPr>
        <w:t xml:space="preserve">Food and Agriculture Organization (FAO) (2024) The state of world fisheries and aquaculture 2024: blue transformation in action.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"https://doi.org/10.4060/cd0683en"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https://doi.org/10.4060/cd0683en</w:t>
      </w:r>
      <w:r>
        <w:rPr>
          <w:rFonts w:ascii="Times New Roman" w:hAnsi="Times New Roman"/>
          <w:color w:val="000000" w:themeColor="text1"/>
          <w:sz w:val="19"/>
          <w:u w:val="single"/>
          <w14:textFill>
            <w14:solidFill>
              <w14:schemeClr w14:val="tx1"/>
            </w14:solidFill>
          </w14:textFill>
        </w:rPr>
        <w:fldChar w:fldCharType="end"/>
      </w:r>
    </w:p>
    <w:p w14:paraId="19B79603">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[P39] </w:t>
      </w:r>
      <w:r>
        <w:rPr>
          <w:rFonts w:ascii="Times New Roman" w:hAnsi="Times New Roman"/>
          <w:color w:val="000000" w:themeColor="text1"/>
          <w:sz w:val="20"/>
          <w14:textFill>
            <w14:solidFill>
              <w14:schemeClr w14:val="tx1"/>
            </w14:solidFill>
          </w14:textFill>
        </w:rPr>
        <w:t xml:space="preserve">FAO (2025) FAO releases the most detailed global assessment of marine fish stocks to date.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"https://www.fao.org/newsroom/detail/fao-releases-the-most-detailed-global-assessment-of-marine-fish-stocks-to-date/en"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https://www.fao.org/newsroom/detail/fao-releases-the-most-detailed-global-assessment-of-marine-fish-stocks-to-date/en</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0FE9ED8">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[P40] </w:t>
      </w:r>
      <w:r>
        <w:rPr>
          <w:rFonts w:ascii="Times New Roman" w:hAnsi="Times New Roman"/>
          <w:color w:val="000000" w:themeColor="text1"/>
          <w:sz w:val="20"/>
          <w14:textFill>
            <w14:solidFill>
              <w14:schemeClr w14:val="tx1"/>
            </w14:solidFill>
          </w14:textFill>
        </w:rPr>
        <w:t xml:space="preserve">Giacometti A et al (eds) (2017) Coherent cross-border maritime spatial planning for the southwest Baltic Sea. Baltic SCOPE/EU MSP Platform.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"https://maritime-spatial-planning.ec.europa.eu/sites/default/files/coherent_cross-border_msp_in_the_soutwest_bs.pdf"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https://maritime-spatial-planning.ec.europa.eu/sites/default/files/coherent_cross-border_msp_in_the_soutwest_bs.pdf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E9C76F8">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[P41] </w:t>
      </w:r>
      <w:r>
        <w:rPr>
          <w:rFonts w:ascii="Times New Roman" w:hAnsi="Times New Roman"/>
          <w:color w:val="000000" w:themeColor="text1"/>
          <w:sz w:val="20"/>
          <w14:textFill>
            <w14:solidFill>
              <w14:schemeClr w14:val="tx1"/>
            </w14:solidFill>
          </w14:textFill>
        </w:rPr>
        <w:t xml:space="preserve">Global Wind Energy Council (2025) Global offshore wind report 2025. GWEC, Brussels.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"https://gwec.net/global-offshore-wind-report-2025/"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https://gwec.net/global-offshore-wind-report-2025/</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A7F01C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[P42] </w:t>
      </w:r>
      <w:r>
        <w:rPr>
          <w:rFonts w:ascii="Times New Roman" w:hAnsi="Times New Roman"/>
          <w:color w:val="000000" w:themeColor="text1"/>
          <w:sz w:val="20"/>
          <w14:textFill>
            <w14:solidFill>
              <w14:schemeClr w14:val="tx1"/>
            </w14:solidFill>
          </w14:textFill>
        </w:rPr>
        <w:t xml:space="preserve">HELCOM (2016) Guidelines on transboundary consultations, public participation and co-operation.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"https://helcom.fi/wp-content/uploads/2024/08/Guidelines-on-transboundary-consultations-public-participation-and-co-operation-_June-2016.pdf"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https://helcom.fi/wp-content/uploads/2024/08/Guidelines-on-transboundary-consultations-public-participation-and-co-operation-_June-2016.pdf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CA1E663">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[P43] </w:t>
      </w:r>
      <w:r>
        <w:rPr>
          <w:rFonts w:ascii="Times New Roman" w:hAnsi="Times New Roman"/>
          <w:color w:val="000000" w:themeColor="text1"/>
          <w:sz w:val="20"/>
          <w14:textFill>
            <w14:solidFill>
              <w14:schemeClr w14:val="tx1"/>
            </w14:solidFill>
          </w14:textFill>
        </w:rPr>
        <w:t xml:space="preserve">Heydon R (2011) Deep-sea mining, for the benefit of mankind—introduction. International Marine Minerals Society.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"https://onemine.org/documents/deepsea-mining-for-the-benefit-of-mankind-introduction"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https://onemine.org/documents/deepsea-mining-for-the-benefit-of-mankind-introduction</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3327F891">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[P44] </w:t>
      </w:r>
      <w:r>
        <w:rPr>
          <w:rFonts w:ascii="Times New Roman" w:hAnsi="Times New Roman"/>
          <w:color w:val="000000" w:themeColor="text1"/>
          <w:sz w:val="20"/>
          <w14:textFill>
            <w14:solidFill>
              <w14:schemeClr w14:val="tx1"/>
            </w14:solidFill>
          </w14:textFill>
        </w:rPr>
        <w:t xml:space="preserve">MacMurray M et al (2025) IUU fishing risk profile for the South China Sea. Stimson Center, Washington DC.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"https://www.stimson.org/wp-content/uploads/2025/04/SCS-IUU-Fishing-Profile-Final.pdf"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https://www.stimson.org/wp-content/uploads/2025/04/SCS-IUU-Fishing-Profile-Final.pdf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565018A">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[P45] </w:t>
      </w:r>
      <w:r>
        <w:rPr>
          <w:rFonts w:ascii="Times New Roman" w:hAnsi="Times New Roman"/>
          <w:color w:val="000000" w:themeColor="text1"/>
          <w:sz w:val="20"/>
          <w14:textFill>
            <w14:solidFill>
              <w14:schemeClr w14:val="tx1"/>
            </w14:solidFill>
          </w14:textFill>
        </w:rPr>
        <w:t xml:space="preserve">MSPglobal (2018) International forum for marine/maritime spatial planning: conference report.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"https://www.mspglobal2030.org/wp-content/uploads/2019/04/MSPforum_Brussels_Report.pdf"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https://www.mspglobal2030.org/wp-content/uploads/2019/04/MSPforum_Brussels_Report.pdf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184FCE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[P46] </w:t>
      </w:r>
      <w:r>
        <w:rPr>
          <w:rFonts w:ascii="Times New Roman" w:hAnsi="Times New Roman"/>
          <w:color w:val="000000" w:themeColor="text1"/>
          <w:sz w:val="20"/>
          <w14:textFill>
            <w14:solidFill>
              <w14:schemeClr w14:val="tx1"/>
            </w14:solidFill>
          </w14:textFill>
        </w:rPr>
        <w:t xml:space="preserve">PEMSEA (2011) Sustainable development strategy for the seas of East Asia. Partnerships in Environmental Management for the Seas of East Asia, Quezon City.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"https://www.pemsea.org/sites/default/files/2023-12/sustainable-development-strategy-seas-east-asia-sds-sea-reprint-2011-opt.pdf"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https://www.pemsea.org/sites/default/files/2023-12/sustainable-development-strategy-seas-east-asia-sds-sea-reprint-2011-opt.pdf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886F3A1">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[P47] </w:t>
      </w:r>
      <w:r>
        <w:rPr>
          <w:rFonts w:ascii="Times New Roman" w:hAnsi="Times New Roman"/>
          <w:color w:val="000000" w:themeColor="text1"/>
          <w:sz w:val="20"/>
          <w14:textFill>
            <w14:solidFill>
              <w14:schemeClr w14:val="tx1"/>
            </w14:solidFill>
          </w14:textFill>
        </w:rPr>
        <w:t xml:space="preserve">Schofield CH (2017) Sharing maritime space: options for cooperative management in areas of overlapping maritime claims. Australian National Centre for Ocean Resources and Security, University of Wollongong.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"https://documents.uow.edu.au/content/groups/public/@web/@law/@ancors/documents/doc/uow240631.pdf"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https://documents.uow.edu.au/content/groups/public/@web/@law/@ancors/documents/doc/uow240631.pdf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3633EA0C">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[P48] </w:t>
      </w:r>
      <w:r>
        <w:rPr>
          <w:rFonts w:ascii="Times New Roman" w:hAnsi="Times New Roman"/>
          <w:color w:val="000000" w:themeColor="text1"/>
          <w:sz w:val="20"/>
          <w14:textFill>
            <w14:solidFill>
              <w14:schemeClr w14:val="tx1"/>
            </w14:solidFill>
          </w14:textFill>
        </w:rPr>
        <w:t xml:space="preserve">UNEP (2009) Terminal evaluation of the UNEP/GEF project: reversing environmental degradation trends in the South China Sea and Gulf of Thailand.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"https://wedocs.unep.org/rest/api/core/bitstreams/6347d4bc-e3ad-4884-8f01-790bceb4303b/content"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https://wedocs.unep.org/rest/api/core/bitstreams/6347d4bc-e3ad-4884-8f01-790bceb4303b/content</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5AA33A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[P49] </w:t>
      </w:r>
      <w:r>
        <w:rPr>
          <w:rFonts w:ascii="Times New Roman" w:hAnsi="Times New Roman"/>
          <w:color w:val="000000" w:themeColor="text1"/>
          <w:sz w:val="20"/>
          <w14:textFill>
            <w14:solidFill>
              <w14:schemeClr w14:val="tx1"/>
            </w14:solidFill>
          </w14:textFill>
        </w:rPr>
        <w:t xml:space="preserve">UNEP (2024) GEF project implementation report FY2024: implementing the strategic action programme for the South China Sea and Gulf of Thailand.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"https://open.unep.org/docs/gef/PIR/5538_PIR_UNEP_2024_SCS_SAP.pdf"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https://open.unep.org/docs/gef/PIR/5538_PIR_UNEP_2024_SCS_SAP.pdf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603EA5DD">
      <w:pPr>
        <w:pStyle w:val="4"/>
        <w:rPr>
          <w:color w:val="000000" w:themeColor="text1"/>
          <w14:textFill>
            <w14:solidFill>
              <w14:schemeClr w14:val="tx1"/>
            </w14:solidFill>
          </w14:textFill>
        </w:rPr>
      </w:pPr>
      <w:r>
        <w:rPr>
          <w:color w:val="000000" w:themeColor="text1"/>
          <w14:textFill>
            <w14:solidFill>
              <w14:schemeClr w14:val="tx1"/>
            </w14:solidFill>
          </w14:textFill>
        </w:rPr>
        <w:t>5. News and Media Sources</w:t>
      </w:r>
    </w:p>
    <w:p w14:paraId="7F743090">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[P50] </w:t>
      </w:r>
      <w:r>
        <w:rPr>
          <w:rFonts w:ascii="Times New Roman" w:hAnsi="Times New Roman"/>
          <w:color w:val="000000" w:themeColor="text1"/>
          <w:sz w:val="20"/>
          <w14:textFill>
            <w14:solidFill>
              <w14:schemeClr w14:val="tx1"/>
            </w14:solidFill>
          </w14:textFill>
        </w:rPr>
        <w:t xml:space="preserve">Reuters (2017) Court says Slovenia should have corridor to international waters in dispute with Croatia, 30 June 2017.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"https://www.reuters.com/article/world/court-says-slovenia-should-have-corridor-to-international-waters-in-dispute-with-idUSKBN19K2K5/"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https://www.reuters.com/article/world/court-says-slovenia-should-have-corridor-to-international-waters-in-dispute-with-idUSKBN19K2K5/</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41A26D26">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[P51] </w:t>
      </w:r>
      <w:r>
        <w:rPr>
          <w:rFonts w:ascii="Times New Roman" w:hAnsi="Times New Roman"/>
          <w:color w:val="000000" w:themeColor="text1"/>
          <w:sz w:val="20"/>
          <w14:textFill>
            <w14:solidFill>
              <w14:schemeClr w14:val="tx1"/>
            </w14:solidFill>
          </w14:textFill>
        </w:rPr>
        <w:t xml:space="preserve">Reuters (2025a) Greece submits plans on maritime use after falling foul of EU rules, 16 April 2025.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"https://www.reuters.com/world/europe/greece-submits-plans-maritime-use-after-falling-foul-eu-rules-2025-04-16/"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https://www.reuters.com/world/europe/greece-submits-plans-maritime-use-after-falling-foul-eu-rules-2025-04-16/</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7ED3156A">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[P52] </w:t>
      </w:r>
      <w:r>
        <w:rPr>
          <w:rFonts w:ascii="Times New Roman" w:hAnsi="Times New Roman"/>
          <w:color w:val="000000" w:themeColor="text1"/>
          <w:sz w:val="20"/>
          <w14:textFill>
            <w14:solidFill>
              <w14:schemeClr w14:val="tx1"/>
            </w14:solidFill>
          </w14:textFill>
        </w:rPr>
        <w:t xml:space="preserve">Reuters (2025b) Greece reveals boundaries of two marine parks in Ionian and Aegean seas, 21 July 2025.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"https://www.reuters.com/business/environment/greece-reveals-boundaries-two-marine-parks-ionian-aegean-seas-2025-07-21/"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https://www.reuters.com/business/environment/greece-reveals-boundaries-two-marine-parks-ionian-aegean-seas-2025-07-21/</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35071A1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[P53] </w:t>
      </w:r>
      <w:r>
        <w:rPr>
          <w:rFonts w:ascii="Times New Roman" w:hAnsi="Times New Roman"/>
          <w:color w:val="000000" w:themeColor="text1"/>
          <w:sz w:val="20"/>
          <w14:textFill>
            <w14:solidFill>
              <w14:schemeClr w14:val="tx1"/>
            </w14:solidFill>
          </w14:textFill>
        </w:rPr>
        <w:t xml:space="preserve">Turkish Minute (2025) Turkey adds new marine parks to planning map, drawing Greek protest, 4 August 2025.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"https://www.turkishminute.com/2025/08/04/turkey-adds-new-marine-parks-to-planning-map-drawing-greek-protest/"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https://www.turkishminute.com/2025/08/04/turkey-adds-new-marine-parks-to-planning-map-drawing-greek-protest/</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570CE240">
      <w:pPr>
        <w:keepLines/>
        <w:spacing w:after="80"/>
        <w:ind w:left="403" w:hanging="403"/>
        <w:rPr>
          <w:rFonts w:ascii="Times New Roman" w:hAnsi="Times New Roman"/>
          <w:color w:val="000000" w:themeColor="text1"/>
          <w:sz w:val="19"/>
          <w:u w:val="single"/>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[P54] </w:t>
      </w:r>
      <w:r>
        <w:rPr>
          <w:rFonts w:ascii="Times New Roman" w:hAnsi="Times New Roman"/>
          <w:color w:val="000000" w:themeColor="text1"/>
          <w:sz w:val="20"/>
          <w14:textFill>
            <w14:solidFill>
              <w14:schemeClr w14:val="tx1"/>
            </w14:solidFill>
          </w14:textFill>
        </w:rPr>
        <w:t xml:space="preserve">Zhang H (2011a) UNCLOS is not the only basis for resolving disputes in the South China Sea. Guangming Daily, 18 May 2011. Available at :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"https://epaper.gmw.cn/gmrb/html/201105/18/nw.D110000gmrb_20110518_1-08.htm"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https://epaper.gmw.cn/gmrb/html/201105/18/nw.D110000gmrb_20110518_1-08.htm</w:t>
      </w:r>
      <w:r>
        <w:rPr>
          <w:rFonts w:ascii="Times New Roman" w:hAnsi="Times New Roman"/>
          <w:color w:val="000000" w:themeColor="text1"/>
          <w:sz w:val="19"/>
          <w:u w:val="single"/>
          <w14:textFill>
            <w14:solidFill>
              <w14:schemeClr w14:val="tx1"/>
            </w14:solidFill>
          </w14:textFill>
        </w:rPr>
        <w:fldChar w:fldCharType="end"/>
      </w:r>
    </w:p>
    <w:p w14:paraId="4D8ACC32">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28814FCE">
      <w:pPr>
        <w:pStyle w:val="3"/>
        <w:rPr>
          <w:color w:val="000000" w:themeColor="text1"/>
          <w14:textFill>
            <w14:solidFill>
              <w14:schemeClr w14:val="tx1"/>
            </w14:solidFill>
          </w14:textFill>
        </w:rPr>
      </w:pPr>
      <w:r>
        <w:rPr>
          <w:color w:val="000000" w:themeColor="text1"/>
          <w14:textFill>
            <w14:solidFill>
              <w14:schemeClr w14:val="tx1"/>
            </w14:solidFill>
          </w14:textFill>
        </w:rPr>
        <w:t>Part II. Scholarly Literature</w:t>
      </w:r>
    </w:p>
    <w:p w14:paraId="0D621C5B">
      <w:pPr>
        <w:spacing w:after="140"/>
        <w:rPr>
          <w:color w:val="000000" w:themeColor="text1"/>
          <w14:textFill>
            <w14:solidFill>
              <w14:schemeClr w14:val="tx1"/>
            </w14:solidFill>
          </w14:textFill>
        </w:rPr>
      </w:pPr>
      <w:r>
        <w:rPr>
          <w:color w:val="000000" w:themeColor="text1"/>
          <w14:textFill>
            <w14:solidFill>
              <w14:schemeClr w14:val="tx1"/>
            </w14:solidFill>
          </w14:textFill>
        </w:rPr>
        <w:t>This part lists the journal articles, books, book chapters, conference contributions and scholarly working papers cited in the manuscript. DOI or other public access information is retained where it was provided in the manuscript reference list.</w:t>
      </w:r>
    </w:p>
    <w:p w14:paraId="1BF7BE79">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 </w:t>
      </w:r>
      <w:r>
        <w:rPr>
          <w:rFonts w:ascii="Times New Roman" w:hAnsi="Times New Roman"/>
          <w:color w:val="000000" w:themeColor="text1"/>
          <w:sz w:val="20"/>
          <w14:textFill>
            <w14:solidFill>
              <w14:schemeClr w14:val="tx1"/>
            </w14:solidFill>
          </w14:textFill>
        </w:rPr>
        <w:t>Anderson D, van Logchem Y (2014) Rights and obligations in areas of overlapping maritime claims. In: Jayakumar S, Koh T, Beckman R (eds) The South China Sea disputes and the law of the sea. Cheltenham:Edward Elgar</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"https://doi.org/10.4337/9781783477272.00015"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https://doi.org/10.4337/9781783477272.00015</w:t>
      </w:r>
      <w:r>
        <w:rPr>
          <w:rFonts w:hint="eastAsia"/>
          <w:color w:val="000000" w:themeColor="text1"/>
          <w:sz w:val="20"/>
          <w:lang w:val="en-US" w:eastAsia="zh-CN"/>
          <w14:textFill>
            <w14:solidFill>
              <w14:schemeClr w14:val="tx1"/>
            </w14:solidFill>
          </w14:textFill>
        </w:rPr>
        <w:fldChar w:fldCharType="end"/>
      </w:r>
    </w:p>
    <w:p w14:paraId="1F245908">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 </w:t>
      </w:r>
      <w:r>
        <w:rPr>
          <w:rFonts w:ascii="Times New Roman" w:hAnsi="Times New Roman"/>
          <w:color w:val="000000" w:themeColor="text1"/>
          <w:sz w:val="20"/>
          <w14:textFill>
            <w14:solidFill>
              <w14:schemeClr w14:val="tx1"/>
            </w14:solidFill>
          </w14:textFill>
        </w:rPr>
        <w:t>Ansong JO, Gissi E, Calado H (2017) An approach to ecosystem-based management in maritime spatial planning process. Ocean Coast Manag 141:65–81</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"https://doi.org/10.1016/j.ocecoaman.2017.03.005"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https://doi.org/10.1016/j.ocecoaman.2017.03.005</w:t>
      </w:r>
      <w:r>
        <w:rPr>
          <w:rFonts w:hint="eastAsia"/>
          <w:color w:val="000000" w:themeColor="text1"/>
          <w:sz w:val="20"/>
          <w:lang w:val="en-US" w:eastAsia="zh-CN"/>
          <w14:textFill>
            <w14:solidFill>
              <w14:schemeClr w14:val="tx1"/>
            </w14:solidFill>
          </w14:textFill>
        </w:rPr>
        <w:fldChar w:fldCharType="end"/>
      </w:r>
    </w:p>
    <w:p w14:paraId="379AEE07">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[S3] </w:t>
      </w:r>
      <w:r>
        <w:rPr>
          <w:rFonts w:ascii="Times New Roman" w:hAnsi="Times New Roman"/>
          <w:color w:val="000000" w:themeColor="text1"/>
          <w:sz w:val="20"/>
          <w14:textFill>
            <w14:solidFill>
              <w14:schemeClr w14:val="tx1"/>
            </w14:solidFill>
          </w14:textFill>
        </w:rPr>
        <w:t>Ansong JO et al (2023) Pathways towards integrated cross-border marine spatial planning (MSP): insights from Germany, Poland and the island of Ireland. Eur Plan Stud 31:2446–2469</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"https://doi.org/10.1080/09654313.2022.2154597"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https://doi.org/10.1080/09654313.2022.2154597</w:t>
      </w:r>
      <w:r>
        <w:rPr>
          <w:rFonts w:hint="eastAsia"/>
          <w:color w:val="000000" w:themeColor="text1"/>
          <w:sz w:val="20"/>
          <w:lang w:val="en-US" w:eastAsia="zh-CN"/>
          <w14:textFill>
            <w14:solidFill>
              <w14:schemeClr w14:val="tx1"/>
            </w14:solidFill>
          </w14:textFill>
        </w:rPr>
        <w:fldChar w:fldCharType="end"/>
      </w:r>
    </w:p>
    <w:p w14:paraId="55291E62">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[S4] </w:t>
      </w:r>
      <w:r>
        <w:rPr>
          <w:rFonts w:ascii="Times New Roman" w:hAnsi="Times New Roman"/>
          <w:color w:val="000000" w:themeColor="text1"/>
          <w:sz w:val="20"/>
          <w14:textFill>
            <w14:solidFill>
              <w14:schemeClr w14:val="tx1"/>
            </w14:solidFill>
          </w14:textFill>
        </w:rPr>
        <w:t xml:space="preserve">Becker-Weinberg V (2013) Seabed activities and the protection and preservation of the marine environment in disputed maritime areas of the Asia-Pacific region. In: Securing the ocean for the next generation: proceedings of the 2012 LOSI-KIOST conference. Berkeley.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"https://www.law.berkeley.edu/files/Becker-Weinberg-final.pdf"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https://www.law.berkeley.edu/files/Becker-Weinberg-final.pdf</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2DF24122">
      <w:pPr>
        <w:keepLines/>
        <w:spacing w:after="80"/>
        <w:ind w:left="403" w:hanging="403"/>
        <w:rPr>
          <w:rFonts w:hint="default" w:eastAsia="Noto Serif CJK SC"/>
          <w:color w:val="000000" w:themeColor="text1"/>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[S5] </w:t>
      </w:r>
      <w:r>
        <w:rPr>
          <w:rFonts w:ascii="Times New Roman" w:hAnsi="Times New Roman"/>
          <w:color w:val="000000" w:themeColor="text1"/>
          <w:sz w:val="20"/>
          <w14:textFill>
            <w14:solidFill>
              <w14:schemeClr w14:val="tx1"/>
            </w14:solidFill>
          </w14:textFill>
        </w:rPr>
        <w:t>Bugajski DR (2009) Gas pipeline through the Baltic Sea. Prawo Morskie 25:149–176</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"https://journals.pan.pl/dlibra/publication/130654/edition/114099/content."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https://journals.pan.pl/dlibra/publication/130654/edition/114099/content.</w:t>
      </w:r>
      <w:r>
        <w:rPr>
          <w:rFonts w:hint="eastAsia"/>
          <w:color w:val="000000" w:themeColor="text1"/>
          <w:sz w:val="20"/>
          <w:lang w:val="en-US" w:eastAsia="zh-CN"/>
          <w14:textFill>
            <w14:solidFill>
              <w14:schemeClr w14:val="tx1"/>
            </w14:solidFill>
          </w14:textFill>
        </w:rPr>
        <w:fldChar w:fldCharType="end"/>
      </w:r>
      <w:r>
        <w:rPr>
          <w:rFonts w:hint="eastAsia"/>
          <w:color w:val="000000" w:themeColor="text1"/>
          <w:sz w:val="20"/>
          <w:lang w:val="en-US" w:eastAsia="zh-CN"/>
          <w14:textFill>
            <w14:solidFill>
              <w14:schemeClr w14:val="tx1"/>
            </w14:solidFill>
          </w14:textFill>
        </w:rPr>
        <w:t xml:space="preserve"> </w:t>
      </w:r>
      <w:r>
        <w:rPr>
          <w:rFonts w:ascii="Times New Roman" w:hAnsi="Times New Roman"/>
          <w:color w:val="000000" w:themeColor="text1"/>
          <w:sz w:val="20"/>
          <w14:textFill>
            <w14:solidFill>
              <w14:schemeClr w14:val="tx1"/>
            </w14:solidFill>
          </w14:textFill>
        </w:rPr>
        <w:t>Accessed 30 July 2026</w:t>
      </w:r>
    </w:p>
    <w:p w14:paraId="43A73E28">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[S6] </w:t>
      </w:r>
      <w:r>
        <w:rPr>
          <w:rFonts w:ascii="Times New Roman" w:hAnsi="Times New Roman"/>
          <w:color w:val="000000" w:themeColor="text1"/>
          <w:sz w:val="20"/>
          <w14:textFill>
            <w14:solidFill>
              <w14:schemeClr w14:val="tx1"/>
            </w14:solidFill>
          </w14:textFill>
        </w:rPr>
        <w:t>Bugajski DR (2025) Maritime disputes involving Poland. In: Kamiński T, Karski K (eds) 40 years of the United Nations Convention on the Law of the Sea: assessment and prospects. London:Routledge</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"https://doi.org/10.4324/9781003492566"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https://doi.org/10.4324/9781003492566</w:t>
      </w:r>
      <w:r>
        <w:rPr>
          <w:rFonts w:hint="eastAsia"/>
          <w:color w:val="000000" w:themeColor="text1"/>
          <w:sz w:val="20"/>
          <w:lang w:val="en-US" w:eastAsia="zh-CN"/>
          <w14:textFill>
            <w14:solidFill>
              <w14:schemeClr w14:val="tx1"/>
            </w14:solidFill>
          </w14:textFill>
        </w:rPr>
        <w:fldChar w:fldCharType="end"/>
      </w:r>
    </w:p>
    <w:p w14:paraId="19209D91">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[S7] </w:t>
      </w:r>
      <w:r>
        <w:rPr>
          <w:rFonts w:ascii="Times New Roman" w:hAnsi="Times New Roman"/>
          <w:color w:val="000000" w:themeColor="text1"/>
          <w:sz w:val="20"/>
          <w14:textFill>
            <w14:solidFill>
              <w14:schemeClr w14:val="tx1"/>
            </w14:solidFill>
          </w14:textFill>
        </w:rPr>
        <w:t>Churchill R (2021) International law obligations of States in undelimited maritime frontier areas. In: Barnes R, Long R (eds) Frontiers in international environmental law: oceans and climate challenges. Leiden:Brill Nijhoff</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"https://doi.org/10.1163/9789004372887"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https://doi.org/10.1163/9789004372887</w:t>
      </w:r>
      <w:r>
        <w:rPr>
          <w:rFonts w:hint="eastAsia"/>
          <w:color w:val="000000" w:themeColor="text1"/>
          <w:sz w:val="20"/>
          <w:lang w:val="en-US" w:eastAsia="zh-CN"/>
          <w14:textFill>
            <w14:solidFill>
              <w14:schemeClr w14:val="tx1"/>
            </w14:solidFill>
          </w14:textFill>
        </w:rPr>
        <w:fldChar w:fldCharType="end"/>
      </w:r>
    </w:p>
    <w:p w14:paraId="5A7648B6">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[S8] </w:t>
      </w:r>
      <w:r>
        <w:rPr>
          <w:rFonts w:ascii="Times New Roman" w:hAnsi="Times New Roman"/>
          <w:color w:val="000000" w:themeColor="text1"/>
          <w:sz w:val="20"/>
          <w14:textFill>
            <w14:solidFill>
              <w14:schemeClr w14:val="tx1"/>
            </w14:solidFill>
          </w14:textFill>
        </w:rPr>
        <w:t xml:space="preserve">Daniela da Silva D (2025) Non-State actors in maritime boundary delimitation: enhancing participation and addressing sea-level rise. SSRN.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"https://ssrn.com/abstract=5706405"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https://ssrn.com/abstract=5706405</w:t>
      </w:r>
      <w:r>
        <w:rPr>
          <w:rFonts w:ascii="Times New Roman" w:hAnsi="Times New Roman"/>
          <w:color w:val="000000" w:themeColor="text1"/>
          <w:sz w:val="19"/>
          <w:u w:val="single"/>
          <w14:textFill>
            <w14:solidFill>
              <w14:schemeClr w14:val="tx1"/>
            </w14:solidFill>
          </w14:textFill>
        </w:rPr>
        <w:fldChar w:fldCharType="end"/>
      </w:r>
      <w:r>
        <w:rPr>
          <w:rFonts w:ascii="Times New Roman" w:hAnsi="Times New Roman"/>
          <w:color w:val="000000" w:themeColor="text1"/>
          <w:sz w:val="20"/>
          <w14:textFill>
            <w14:solidFill>
              <w14:schemeClr w14:val="tx1"/>
            </w14:solidFill>
          </w14:textFill>
        </w:rPr>
        <w:t>. Accessed 30 July 2026</w:t>
      </w:r>
    </w:p>
    <w:p w14:paraId="04599616">
      <w:pPr>
        <w:keepLines/>
        <w:spacing w:after="80"/>
        <w:ind w:left="403" w:hanging="403"/>
        <w:rPr>
          <w:rFonts w:ascii="Times New Roman" w:hAnsi="Times New Roman"/>
          <w:color w:val="000000" w:themeColor="text1"/>
          <w:sz w:val="19"/>
          <w:u w:val="single"/>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[S9] </w:t>
      </w:r>
      <w:r>
        <w:rPr>
          <w:rFonts w:ascii="Times New Roman" w:hAnsi="Times New Roman"/>
          <w:color w:val="000000" w:themeColor="text1"/>
          <w:sz w:val="20"/>
          <w14:textFill>
            <w14:solidFill>
              <w14:schemeClr w14:val="tx1"/>
            </w14:solidFill>
          </w14:textFill>
        </w:rPr>
        <w:t xml:space="preserve">García Ch MC, Gupta J (2022) Environmental and sociocultural claims within maritime boundary disputes. Mar Policy 139:105006.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"https://doi.org/10.1016/j.marpol.2022.105006"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https://doi.org/10.1016/j.marpol.2022.105006</w:t>
      </w:r>
      <w:r>
        <w:rPr>
          <w:rFonts w:ascii="Times New Roman" w:hAnsi="Times New Roman"/>
          <w:color w:val="000000" w:themeColor="text1"/>
          <w:sz w:val="19"/>
          <w:u w:val="single"/>
          <w14:textFill>
            <w14:solidFill>
              <w14:schemeClr w14:val="tx1"/>
            </w14:solidFill>
          </w14:textFill>
        </w:rPr>
        <w:fldChar w:fldCharType="end"/>
      </w:r>
    </w:p>
    <w:p w14:paraId="548BF7E5">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[S10] </w:t>
      </w:r>
      <w:r>
        <w:rPr>
          <w:rFonts w:ascii="Times New Roman" w:hAnsi="Times New Roman"/>
          <w:color w:val="000000" w:themeColor="text1"/>
          <w:sz w:val="20"/>
          <w14:textFill>
            <w14:solidFill>
              <w14:schemeClr w14:val="tx1"/>
            </w14:solidFill>
          </w14:textFill>
        </w:rPr>
        <w:t>Guo YC (2020) An empirical study of transboundary marine spatial planning in Europe and its enlightenment on the regional cooperation in the South China Sea (欧洲跨界海洋空间规划实践研究及对南海区域合作的启示). Humanities &amp; Social Sciences Journal of Hainan University 38(4):20–27. (郭雨晨)</w:t>
      </w:r>
      <w:r>
        <w:rPr>
          <w:rFonts w:hint="eastAsia"/>
          <w:color w:val="000000" w:themeColor="text1"/>
          <w:sz w:val="20"/>
          <w:lang w:val="en-US" w:eastAsia="zh-CN"/>
          <w14:textFill>
            <w14:solidFill>
              <w14:schemeClr w14:val="tx1"/>
            </w14:solidFill>
          </w14:textFill>
        </w:rPr>
        <w:t>. https://doi.org/</w:t>
      </w:r>
      <w:r>
        <w:rPr>
          <w:rFonts w:hint="eastAsia" w:ascii="Times New Roman" w:hAnsi="Times New Roman"/>
          <w:color w:val="000000" w:themeColor="text1"/>
          <w:sz w:val="20"/>
          <w14:textFill>
            <w14:solidFill>
              <w14:schemeClr w14:val="tx1"/>
            </w14:solidFill>
          </w14:textFill>
        </w:rPr>
        <w:t>10.15886/j.cnki.hnus.2020.04.003</w:t>
      </w:r>
    </w:p>
    <w:p w14:paraId="1DFFD61A">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[S11] </w:t>
      </w:r>
      <w:r>
        <w:rPr>
          <w:rFonts w:ascii="Times New Roman" w:hAnsi="Times New Roman"/>
          <w:color w:val="000000" w:themeColor="text1"/>
          <w:sz w:val="20"/>
          <w14:textFill>
            <w14:solidFill>
              <w14:schemeClr w14:val="tx1"/>
            </w14:solidFill>
          </w14:textFill>
        </w:rPr>
        <w:t>Hassan D, Soininen N (2015) United Nations Convention on the Law of the Sea as a framework for marine spatial planning. In: Hassan D, Kuokkanen T, Soininen N (eds) Transboundary marine spatial planning and international law. London:Routledge</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"https://doi.org/10.4324/9781315816425"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https://doi.org/10.4324/9781315816425</w:t>
      </w:r>
      <w:r>
        <w:rPr>
          <w:rFonts w:hint="eastAsia"/>
          <w:color w:val="000000" w:themeColor="text1"/>
          <w:sz w:val="20"/>
          <w:lang w:val="en-US" w:eastAsia="zh-CN"/>
          <w14:textFill>
            <w14:solidFill>
              <w14:schemeClr w14:val="tx1"/>
            </w14:solidFill>
          </w14:textFill>
        </w:rPr>
        <w:fldChar w:fldCharType="end"/>
      </w:r>
    </w:p>
    <w:p w14:paraId="4F4082F4">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[S12] </w:t>
      </w:r>
      <w:r>
        <w:rPr>
          <w:rFonts w:ascii="Times New Roman" w:hAnsi="Times New Roman"/>
          <w:color w:val="000000" w:themeColor="text1"/>
          <w:sz w:val="20"/>
          <w14:textFill>
            <w14:solidFill>
              <w14:schemeClr w14:val="tx1"/>
            </w14:solidFill>
          </w14:textFill>
        </w:rPr>
        <w:t xml:space="preserve">Ioannides NA (2019) The legal framework governing hydrocarbon activities in undelimited maritime areas. Int Comp Law Q 68:345-368.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"https://doi.org/10.1017/S0020589319000010"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https://doi.org/10.1017/S0020589319000010</w:t>
      </w:r>
      <w:r>
        <w:rPr>
          <w:rFonts w:ascii="Times New Roman" w:hAnsi="Times New Roman"/>
          <w:color w:val="000000" w:themeColor="text1"/>
          <w:sz w:val="19"/>
          <w:u w:val="single"/>
          <w14:textFill>
            <w14:solidFill>
              <w14:schemeClr w14:val="tx1"/>
            </w14:solidFill>
          </w14:textFill>
        </w:rPr>
        <w:fldChar w:fldCharType="end"/>
      </w:r>
    </w:p>
    <w:p w14:paraId="0AEDEBA6">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[S13] </w:t>
      </w:r>
      <w:r>
        <w:rPr>
          <w:rFonts w:ascii="Times New Roman" w:hAnsi="Times New Roman"/>
          <w:color w:val="000000" w:themeColor="text1"/>
          <w:sz w:val="20"/>
          <w14:textFill>
            <w14:solidFill>
              <w14:schemeClr w14:val="tx1"/>
            </w14:solidFill>
          </w14:textFill>
        </w:rPr>
        <w:t xml:space="preserve">Kaiser MJ (2020) Offshore oil and gas records circa 2020. Ships Offshore Struct 17:205–241.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"https://doi.org/10.1080/17445302.2020.1827633"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https://doi.org/10.1080/17445302.2020.1827633</w:t>
      </w:r>
      <w:r>
        <w:rPr>
          <w:rFonts w:ascii="Times New Roman" w:hAnsi="Times New Roman"/>
          <w:color w:val="000000" w:themeColor="text1"/>
          <w:sz w:val="19"/>
          <w:u w:val="single"/>
          <w14:textFill>
            <w14:solidFill>
              <w14:schemeClr w14:val="tx1"/>
            </w14:solidFill>
          </w14:textFill>
        </w:rPr>
        <w:fldChar w:fldCharType="end"/>
      </w:r>
    </w:p>
    <w:p w14:paraId="3E28A1FA">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[S14] </w:t>
      </w:r>
      <w:r>
        <w:rPr>
          <w:rFonts w:ascii="Times New Roman" w:hAnsi="Times New Roman"/>
          <w:color w:val="000000" w:themeColor="text1"/>
          <w:sz w:val="20"/>
          <w14:textFill>
            <w14:solidFill>
              <w14:schemeClr w14:val="tx1"/>
            </w14:solidFill>
          </w14:textFill>
        </w:rPr>
        <w:t xml:space="preserve">Kusters JEH et al (2024) SEAs for seas: strategic environmental assessment for more strategic and environmentally-oriented marine spatial planning processes. Environ Sci Policy 162:103920.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"https://doi.org/10.1016/j.envsci.2024.103920"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https://doi.org/10.1016/j.envsci.2024.103920</w:t>
      </w:r>
      <w:r>
        <w:rPr>
          <w:rFonts w:ascii="Times New Roman" w:hAnsi="Times New Roman"/>
          <w:color w:val="000000" w:themeColor="text1"/>
          <w:sz w:val="19"/>
          <w:u w:val="single"/>
          <w14:textFill>
            <w14:solidFill>
              <w14:schemeClr w14:val="tx1"/>
            </w14:solidFill>
          </w14:textFill>
        </w:rPr>
        <w:fldChar w:fldCharType="end"/>
      </w:r>
    </w:p>
    <w:p w14:paraId="76EA37A8">
      <w:pPr>
        <w:keepLines/>
        <w:spacing w:after="80"/>
        <w:ind w:left="403" w:hanging="403"/>
        <w:rPr>
          <w:rFonts w:hint="eastAsia"/>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[S15] </w:t>
      </w:r>
      <w:r>
        <w:rPr>
          <w:rFonts w:ascii="Times New Roman" w:hAnsi="Times New Roman"/>
          <w:color w:val="000000" w:themeColor="text1"/>
          <w:sz w:val="20"/>
          <w14:textFill>
            <w14:solidFill>
              <w14:schemeClr w14:val="tx1"/>
            </w14:solidFill>
          </w14:textFill>
        </w:rPr>
        <w:t>Lando M (2017) Judicial uncertainties concerning territorial sea delimitation under Article 15 of the United Nations Convention on the Law of the Sea. Int Comp Law Q 66:589–623</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"https://doi.org/10.1017/S0020589317000197"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https://doi.org/10.1017/S0020589317000197</w:t>
      </w:r>
      <w:r>
        <w:rPr>
          <w:rFonts w:hint="eastAsia"/>
          <w:color w:val="000000" w:themeColor="text1"/>
          <w:sz w:val="20"/>
          <w:lang w:val="en-US" w:eastAsia="zh-CN"/>
          <w14:textFill>
            <w14:solidFill>
              <w14:schemeClr w14:val="tx1"/>
            </w14:solidFill>
          </w14:textFill>
        </w:rPr>
        <w:fldChar w:fldCharType="end"/>
      </w:r>
    </w:p>
    <w:p w14:paraId="6678655D">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[S16] </w:t>
      </w:r>
      <w:r>
        <w:rPr>
          <w:rFonts w:ascii="Times New Roman" w:hAnsi="Times New Roman"/>
          <w:color w:val="000000" w:themeColor="text1"/>
          <w:sz w:val="20"/>
          <w14:textFill>
            <w14:solidFill>
              <w14:schemeClr w14:val="tx1"/>
            </w14:solidFill>
          </w14:textFill>
        </w:rPr>
        <w:t>Lyons Y (2015) Transboundary pollution from offshore activities: a study of the Montara offshore oil spill. In: Jayakumar S, Koh T, Beckman R, Phan HD (eds) Transboundary pollution: evolving issues of international law and policy. Cheltenham:Edward Elgar</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"https://doi.org/10.4337/9781784715793"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https://doi.org/10.4337/9781784715793</w:t>
      </w:r>
      <w:r>
        <w:rPr>
          <w:rFonts w:hint="eastAsia"/>
          <w:color w:val="000000" w:themeColor="text1"/>
          <w:sz w:val="20"/>
          <w:lang w:val="en-US" w:eastAsia="zh-CN"/>
          <w14:textFill>
            <w14:solidFill>
              <w14:schemeClr w14:val="tx1"/>
            </w14:solidFill>
          </w14:textFill>
        </w:rPr>
        <w:fldChar w:fldCharType="end"/>
      </w:r>
    </w:p>
    <w:p w14:paraId="4E30568A">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[S17] </w:t>
      </w:r>
      <w:r>
        <w:rPr>
          <w:rFonts w:ascii="Times New Roman" w:hAnsi="Times New Roman"/>
          <w:color w:val="000000" w:themeColor="text1"/>
          <w:sz w:val="20"/>
          <w14:textFill>
            <w14:solidFill>
              <w14:schemeClr w14:val="tx1"/>
            </w14:solidFill>
          </w14:textFill>
        </w:rPr>
        <w:t xml:space="preserve">Maes F (2008) The international legal framework for marine spatial planning. Mar Policy 32:797–810.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"https://doi.org/10.1016/j.marpol.2008.03.013"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https://doi.org/10.1016/j.marpol.2008.03.013</w:t>
      </w:r>
      <w:r>
        <w:rPr>
          <w:rFonts w:ascii="Times New Roman" w:hAnsi="Times New Roman"/>
          <w:color w:val="000000" w:themeColor="text1"/>
          <w:sz w:val="19"/>
          <w:u w:val="single"/>
          <w14:textFill>
            <w14:solidFill>
              <w14:schemeClr w14:val="tx1"/>
            </w14:solidFill>
          </w14:textFill>
        </w:rPr>
        <w:fldChar w:fldCharType="end"/>
      </w:r>
    </w:p>
    <w:p w14:paraId="2888D7B1">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[S18] </w:t>
      </w:r>
      <w:r>
        <w:rPr>
          <w:rFonts w:ascii="Times New Roman" w:hAnsi="Times New Roman"/>
          <w:color w:val="000000" w:themeColor="text1"/>
          <w:sz w:val="20"/>
          <w14:textFill>
            <w14:solidFill>
              <w14:schemeClr w14:val="tx1"/>
            </w14:solidFill>
          </w14:textFill>
        </w:rPr>
        <w:t xml:space="preserve">McManus JW (2017) Offshore coral reef damage, overfishing, and paths to peace in the South China Sea. Int J Mar Coast Law 32:199-237.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"https://doi.org/10.1163/15718085-12341433"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https://doi.org/10.1163/15718085-12341433</w:t>
      </w:r>
      <w:r>
        <w:rPr>
          <w:rFonts w:ascii="Times New Roman" w:hAnsi="Times New Roman"/>
          <w:color w:val="000000" w:themeColor="text1"/>
          <w:sz w:val="19"/>
          <w:u w:val="single"/>
          <w14:textFill>
            <w14:solidFill>
              <w14:schemeClr w14:val="tx1"/>
            </w14:solidFill>
          </w14:textFill>
        </w:rPr>
        <w:fldChar w:fldCharType="end"/>
      </w:r>
    </w:p>
    <w:p w14:paraId="68DD3A75">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[S19] </w:t>
      </w:r>
      <w:r>
        <w:rPr>
          <w:rFonts w:ascii="Times New Roman" w:hAnsi="Times New Roman"/>
          <w:color w:val="000000" w:themeColor="text1"/>
          <w:sz w:val="20"/>
          <w14:textFill>
            <w14:solidFill>
              <w14:schemeClr w14:val="tx1"/>
            </w14:solidFill>
          </w14:textFill>
        </w:rPr>
        <w:t xml:space="preserve">Papanicolopulu I (2021) Maritime spatial planning and protection of the marine environment. Korean J Int Comp Law 9:311-336.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"https://doi.org/10.1163/22134484-12340160"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https://doi.org/10.1163/22134484-12340160</w:t>
      </w:r>
      <w:r>
        <w:rPr>
          <w:rFonts w:ascii="Times New Roman" w:hAnsi="Times New Roman"/>
          <w:color w:val="000000" w:themeColor="text1"/>
          <w:sz w:val="19"/>
          <w:u w:val="single"/>
          <w14:textFill>
            <w14:solidFill>
              <w14:schemeClr w14:val="tx1"/>
            </w14:solidFill>
          </w14:textFill>
        </w:rPr>
        <w:fldChar w:fldCharType="end"/>
      </w:r>
    </w:p>
    <w:p w14:paraId="53988626">
      <w:pPr>
        <w:keepLines/>
        <w:spacing w:after="80"/>
        <w:ind w:left="403" w:hanging="403"/>
        <w:rPr>
          <w:rFonts w:hint="eastAsia" w:ascii="Times New Roman" w:hAnsi="Times New Roman"/>
          <w:color w:val="000000" w:themeColor="text1"/>
          <w:sz w:val="20"/>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[S20] </w:t>
      </w:r>
      <w:r>
        <w:rPr>
          <w:rFonts w:ascii="Times New Roman" w:hAnsi="Times New Roman"/>
          <w:color w:val="000000" w:themeColor="text1"/>
          <w:sz w:val="20"/>
          <w14:textFill>
            <w14:solidFill>
              <w14:schemeClr w14:val="tx1"/>
            </w14:solidFill>
          </w14:textFill>
        </w:rPr>
        <w:t>Paterson CJ, Pernetta JC (2013) Developing a consensual information base for identifying priorities for intervention in the South China Sea. Ocean Coast Manag 85:164–175</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"https://doi.org/10.1016/j.ocecoaman.2012.12.015"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w:t>
      </w:r>
      <w:r>
        <w:rPr>
          <w:rStyle w:val="136"/>
          <w:rFonts w:hint="eastAsia" w:ascii="Times New Roman" w:hAnsi="Times New Roman"/>
          <w:color w:val="000000" w:themeColor="text1"/>
          <w:sz w:val="20"/>
          <w14:textFill>
            <w14:solidFill>
              <w14:schemeClr w14:val="tx1"/>
            </w14:solidFill>
          </w14:textFill>
        </w:rPr>
        <w:t>10.1016/j.ocecoaman.2012.12.015</w:t>
      </w:r>
      <w:r>
        <w:rPr>
          <w:rFonts w:hint="eastAsia"/>
          <w:color w:val="000000" w:themeColor="text1"/>
          <w:sz w:val="20"/>
          <w:lang w:val="en-US" w:eastAsia="zh-CN"/>
          <w14:textFill>
            <w14:solidFill>
              <w14:schemeClr w14:val="tx1"/>
            </w14:solidFill>
          </w14:textFill>
        </w:rPr>
        <w:fldChar w:fldCharType="end"/>
      </w:r>
    </w:p>
    <w:p w14:paraId="24B7BEAD">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[S21] </w:t>
      </w:r>
      <w:r>
        <w:rPr>
          <w:rFonts w:ascii="Times New Roman" w:hAnsi="Times New Roman"/>
          <w:color w:val="000000" w:themeColor="text1"/>
          <w:sz w:val="20"/>
          <w14:textFill>
            <w14:solidFill>
              <w14:schemeClr w14:val="tx1"/>
            </w14:solidFill>
          </w14:textFill>
        </w:rPr>
        <w:t>Shi YB, Dong SJ (2022) Comments on the subsequent international adjudications of the Award of South China Sea Arbitration (“南海仲裁案”裁决的后续国际裁判实践述评). Chinese Journal of Maritime Law(中国海商法研究) 33(2):35–44.(施余兵, 董世杰)</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"https://link.cnki.net/urlid/21.1584.D.20220627.0920.008" </w:instrText>
      </w:r>
      <w:r>
        <w:rPr>
          <w:rFonts w:hint="eastAsia"/>
          <w:color w:val="000000" w:themeColor="text1"/>
          <w:sz w:val="20"/>
          <w:lang w:val="en-US" w:eastAsia="zh-CN"/>
          <w14:textFill>
            <w14:solidFill>
              <w14:schemeClr w14:val="tx1"/>
            </w14:solidFill>
          </w14:textFill>
        </w:rPr>
        <w:fldChar w:fldCharType="separate"/>
      </w:r>
      <w:r>
        <w:rPr>
          <w:rStyle w:val="134"/>
          <w:rFonts w:hint="eastAsia"/>
          <w:color w:val="000000" w:themeColor="text1"/>
          <w:sz w:val="20"/>
          <w:lang w:val="en-US" w:eastAsia="zh-CN"/>
          <w14:textFill>
            <w14:solidFill>
              <w14:schemeClr w14:val="tx1"/>
            </w14:solidFill>
          </w14:textFill>
        </w:rPr>
        <w:t>https://link.cnki.net/urlid/21.1584.D.20220627.0920.008</w:t>
      </w:r>
      <w:r>
        <w:rPr>
          <w:rFonts w:hint="eastAsia"/>
          <w:color w:val="000000" w:themeColor="text1"/>
          <w:sz w:val="20"/>
          <w:lang w:val="en-US" w:eastAsia="zh-CN"/>
          <w14:textFill>
            <w14:solidFill>
              <w14:schemeClr w14:val="tx1"/>
            </w14:solidFill>
          </w14:textFill>
        </w:rPr>
        <w:fldChar w:fldCharType="end"/>
      </w:r>
    </w:p>
    <w:p w14:paraId="6AAAA7A9">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[S22] </w:t>
      </w:r>
      <w:r>
        <w:rPr>
          <w:rFonts w:ascii="Times New Roman" w:hAnsi="Times New Roman"/>
          <w:color w:val="000000" w:themeColor="text1"/>
          <w:sz w:val="20"/>
          <w14:textFill>
            <w14:solidFill>
              <w14:schemeClr w14:val="tx1"/>
            </w14:solidFill>
          </w14:textFill>
        </w:rPr>
        <w:t xml:space="preserve">Tanaka Y (2018) The South China Sea arbitration: environmental obligations under the Law of the Sea Convention. Rev Eur Comp Int Environ Law 27:90-96.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"https://doi.org/10.1111/reel.12229"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https://doi.org/10.1111/reel.12229</w:t>
      </w:r>
      <w:r>
        <w:rPr>
          <w:rFonts w:ascii="Times New Roman" w:hAnsi="Times New Roman"/>
          <w:color w:val="000000" w:themeColor="text1"/>
          <w:sz w:val="19"/>
          <w:u w:val="single"/>
          <w14:textFill>
            <w14:solidFill>
              <w14:schemeClr w14:val="tx1"/>
            </w14:solidFill>
          </w14:textFill>
        </w:rPr>
        <w:fldChar w:fldCharType="end"/>
      </w:r>
    </w:p>
    <w:p w14:paraId="125D08CE">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[S23] </w:t>
      </w:r>
      <w:r>
        <w:rPr>
          <w:rFonts w:ascii="Times New Roman" w:hAnsi="Times New Roman"/>
          <w:color w:val="000000" w:themeColor="text1"/>
          <w:sz w:val="20"/>
          <w14:textFill>
            <w14:solidFill>
              <w14:schemeClr w14:val="tx1"/>
            </w14:solidFill>
          </w14:textFill>
        </w:rPr>
        <w:t xml:space="preserve">Thompson KF et al (2018) Seabed mining and approaches to governance of the deep seabed. Front Mar Sci 5:480.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"https://doi.org/10.3389/fmars.2018.00480"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https://doi.org/10.3389/fmars.2018.00480</w:t>
      </w:r>
      <w:r>
        <w:rPr>
          <w:rFonts w:ascii="Times New Roman" w:hAnsi="Times New Roman"/>
          <w:color w:val="000000" w:themeColor="text1"/>
          <w:sz w:val="19"/>
          <w:u w:val="single"/>
          <w14:textFill>
            <w14:solidFill>
              <w14:schemeClr w14:val="tx1"/>
            </w14:solidFill>
          </w14:textFill>
        </w:rPr>
        <w:fldChar w:fldCharType="end"/>
      </w:r>
    </w:p>
    <w:p w14:paraId="6A311D83">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[S24] </w:t>
      </w:r>
      <w:r>
        <w:rPr>
          <w:rFonts w:ascii="Times New Roman" w:hAnsi="Times New Roman"/>
          <w:color w:val="000000" w:themeColor="text1"/>
          <w:sz w:val="20"/>
          <w14:textFill>
            <w14:solidFill>
              <w14:schemeClr w14:val="tx1"/>
            </w14:solidFill>
          </w14:textFill>
        </w:rPr>
        <w:t>Vithanage M et al (eds) (2025) Coastal and marine pollution: source to sink, mitigation and management. Hoboken:Wiley</w:t>
      </w:r>
      <w:r>
        <w:rPr>
          <w:rFonts w:hint="eastAsia"/>
          <w:color w:val="000000" w:themeColor="text1"/>
          <w:sz w:val="20"/>
          <w:lang w:val="en-US" w:eastAsia="zh-CN"/>
          <w14:textFill>
            <w14:solidFill>
              <w14:schemeClr w14:val="tx1"/>
            </w14:solidFill>
          </w14:textFill>
        </w:rPr>
        <w:t xml:space="preserve">. </w:t>
      </w:r>
      <w:r>
        <w:rPr>
          <w:rFonts w:ascii="Times New Roman" w:hAnsi="Times New Roman"/>
          <w:color w:val="000000" w:themeColor="text1"/>
          <w:sz w:val="19"/>
          <w:u w:val="single"/>
          <w14:textFill>
            <w14:solidFill>
              <w14:schemeClr w14:val="tx1"/>
            </w14:solidFill>
          </w14:textFill>
        </w:rPr>
        <w:fldChar w:fldCharType="begin"/>
      </w:r>
      <w:r>
        <w:rPr>
          <w:rFonts w:ascii="Times New Roman" w:hAnsi="Times New Roman"/>
          <w:color w:val="000000" w:themeColor="text1"/>
          <w:sz w:val="19"/>
          <w:u w:val="single"/>
          <w14:textFill>
            <w14:solidFill>
              <w14:schemeClr w14:val="tx1"/>
            </w14:solidFill>
          </w14:textFill>
        </w:rPr>
        <w:instrText xml:space="preserve"> HYPERLINK "https://doi.org/10.1002/9781394237029" </w:instrText>
      </w:r>
      <w:r>
        <w:rPr>
          <w:rFonts w:ascii="Times New Roman" w:hAnsi="Times New Roman"/>
          <w:color w:val="000000" w:themeColor="text1"/>
          <w:sz w:val="19"/>
          <w:u w:val="single"/>
          <w14:textFill>
            <w14:solidFill>
              <w14:schemeClr w14:val="tx1"/>
            </w14:solidFill>
          </w14:textFill>
        </w:rPr>
        <w:fldChar w:fldCharType="separate"/>
      </w:r>
      <w:r>
        <w:rPr>
          <w:rStyle w:val="136"/>
          <w:rFonts w:ascii="Times New Roman" w:hAnsi="Times New Roman"/>
          <w:color w:val="000000" w:themeColor="text1"/>
          <w:sz w:val="19"/>
          <w14:textFill>
            <w14:solidFill>
              <w14:schemeClr w14:val="tx1"/>
            </w14:solidFill>
          </w14:textFill>
        </w:rPr>
        <w:t>https://doi.org/</w:t>
      </w:r>
      <w:r>
        <w:rPr>
          <w:rStyle w:val="136"/>
          <w:rFonts w:hint="eastAsia"/>
          <w:color w:val="000000" w:themeColor="text1"/>
          <w:sz w:val="20"/>
          <w:lang w:val="en-US" w:eastAsia="zh-CN"/>
          <w14:textFill>
            <w14:solidFill>
              <w14:schemeClr w14:val="tx1"/>
            </w14:solidFill>
          </w14:textFill>
        </w:rPr>
        <w:t>10.1002/9781394237029</w:t>
      </w:r>
      <w:r>
        <w:rPr>
          <w:rFonts w:ascii="Times New Roman" w:hAnsi="Times New Roman"/>
          <w:color w:val="000000" w:themeColor="text1"/>
          <w:sz w:val="19"/>
          <w:u w:val="single"/>
          <w14:textFill>
            <w14:solidFill>
              <w14:schemeClr w14:val="tx1"/>
            </w14:solidFill>
          </w14:textFill>
        </w:rPr>
        <w:fldChar w:fldCharType="end"/>
      </w:r>
    </w:p>
    <w:p w14:paraId="13AA0CF3">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[S25] </w:t>
      </w:r>
      <w:r>
        <w:rPr>
          <w:rFonts w:ascii="Times New Roman" w:hAnsi="Times New Roman"/>
          <w:color w:val="000000" w:themeColor="text1"/>
          <w:sz w:val="20"/>
          <w14:textFill>
            <w14:solidFill>
              <w14:schemeClr w14:val="tx1"/>
            </w14:solidFill>
          </w14:textFill>
        </w:rPr>
        <w:t xml:space="preserve">Willsteed EA et al (2023) Advances in cumulative effects assessment and application in marine and coastal management. Cambridge Prisms: Coastal Futures 1:e18.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"https://doi.org/10.1017/cft.2023.6"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https://doi.org/10.1017/cft.2023.6</w:t>
      </w:r>
      <w:r>
        <w:rPr>
          <w:rFonts w:ascii="Times New Roman" w:hAnsi="Times New Roman"/>
          <w:color w:val="000000" w:themeColor="text1"/>
          <w:sz w:val="19"/>
          <w:u w:val="single"/>
          <w14:textFill>
            <w14:solidFill>
              <w14:schemeClr w14:val="tx1"/>
            </w14:solidFill>
          </w14:textFill>
        </w:rPr>
        <w:fldChar w:fldCharType="end"/>
      </w:r>
    </w:p>
    <w:p w14:paraId="324EC3E5">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[S26] </w:t>
      </w:r>
      <w:r>
        <w:rPr>
          <w:rFonts w:ascii="Times New Roman" w:hAnsi="Times New Roman"/>
          <w:color w:val="000000" w:themeColor="text1"/>
          <w:sz w:val="20"/>
          <w14:textFill>
            <w14:solidFill>
              <w14:schemeClr w14:val="tx1"/>
            </w14:solidFill>
          </w14:textFill>
        </w:rPr>
        <w:t>Ye Q (2021) Whose rights and what obligations? The limits of unilateral action by States in disputed maritime areas (谁之权利？何种义务？当事国在争议海域单边行动之边界探究). Contemporary Law Review (当代法学), 35(4):128-140. (叶泉)</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"https://kns.cnki.net/kcms2/article/abstract?v=t3MtpNTmDuypVT9dNaSHSuNU2SDogC8tutNbNXH2qu82KfhBF6symFK-JnQHI4EHZGv3wyp3VgFsNwcIf0RCcxJh9RYJI-v0mPuWC3MgrD-qbkjDQZeAVK_Q8HJ9XynoaGjuAhfQTSPJiARHEUskAuEyuHoPIT4vWwSUxAIh4enHRBZ8oAwjvFeLJhqvWk3f&amp;uniplatform=NZKPT&amp;language=CHS"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https://kns.cnki.net/kcms2/article/abstract?v=t3MtpNTmDuypVT9dNaSHSuNU2SDogC8tutNbNXH2qu82KfhBF6symFK-JnQHI4EHZGv3wyp3VgFsNwcIf0RCcxJh9RYJI-v0mPuWC3MgrD-qbkjDQZeAVK_Q8HJ9XynoaGjuAhfQTSPJiARHEUskAuEyuHoPIT4vWwSUxAIh4enHRBZ8oAwjvFeLJhqvWk3f&amp;uniplatform=NZKPT&amp;language=CHS</w:t>
      </w:r>
      <w:r>
        <w:rPr>
          <w:rFonts w:hint="eastAsia"/>
          <w:color w:val="000000" w:themeColor="text1"/>
          <w:sz w:val="20"/>
          <w:lang w:val="en-US" w:eastAsia="zh-CN"/>
          <w14:textFill>
            <w14:solidFill>
              <w14:schemeClr w14:val="tx1"/>
            </w14:solidFill>
          </w14:textFill>
        </w:rPr>
        <w:fldChar w:fldCharType="end"/>
      </w:r>
    </w:p>
    <w:p w14:paraId="4EA29AF7">
      <w:pPr>
        <w:keepLines/>
        <w:spacing w:after="80"/>
        <w:ind w:left="403" w:hanging="403"/>
        <w:rPr>
          <w:rFonts w:hint="eastAsia"/>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[S27] </w:t>
      </w:r>
      <w:r>
        <w:rPr>
          <w:rFonts w:ascii="Times New Roman" w:hAnsi="Times New Roman"/>
          <w:color w:val="000000" w:themeColor="text1"/>
          <w:sz w:val="20"/>
          <w14:textFill>
            <w14:solidFill>
              <w14:schemeClr w14:val="tx1"/>
            </w14:solidFill>
          </w14:textFill>
        </w:rPr>
        <w:t>Zhang WX</w:t>
      </w:r>
      <w:r>
        <w:rPr>
          <w:rFonts w:hint="eastAsia"/>
          <w:color w:val="000000" w:themeColor="text1"/>
          <w:sz w:val="20"/>
          <w:lang w:val="en-US" w:eastAsia="zh-CN"/>
          <w14:textFill>
            <w14:solidFill>
              <w14:schemeClr w14:val="tx1"/>
            </w14:solidFill>
          </w14:textFill>
        </w:rPr>
        <w:t xml:space="preserve"> </w:t>
      </w:r>
      <w:r>
        <w:rPr>
          <w:rFonts w:ascii="Times New Roman" w:hAnsi="Times New Roman"/>
          <w:color w:val="000000" w:themeColor="text1"/>
          <w:sz w:val="20"/>
          <w14:textFill>
            <w14:solidFill>
              <w14:schemeClr w14:val="tx1"/>
            </w14:solidFill>
          </w14:textFill>
        </w:rPr>
        <w:t>(2016) Jurisprudential analysis of the South China Sea Arbitration initiated by the Philippines. China Legal Science (关于菲律宾提起的“南海仲裁案”的法理分析) 5:25–50. (张文显)</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"https://doi.org/10.14111/j.cnki.zgfx.2016.05.002"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https://doi.org/10.14111/j.cnki.zgfx.2016.05.002</w:t>
      </w:r>
      <w:r>
        <w:rPr>
          <w:rFonts w:hint="eastAsia"/>
          <w:color w:val="000000" w:themeColor="text1"/>
          <w:sz w:val="20"/>
          <w:lang w:val="en-US" w:eastAsia="zh-CN"/>
          <w14:textFill>
            <w14:solidFill>
              <w14:schemeClr w14:val="tx1"/>
            </w14:solidFill>
          </w14:textFill>
        </w:rPr>
        <w:fldChar w:fldCharType="end"/>
      </w:r>
    </w:p>
    <w:p w14:paraId="61D1FB71">
      <w:pPr>
        <w:keepLines/>
        <w:spacing w:after="80"/>
        <w:ind w:left="403" w:hanging="403"/>
        <w:rPr>
          <w:rFonts w:hint="eastAsia"/>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[S28] </w:t>
      </w:r>
      <w:r>
        <w:rPr>
          <w:rFonts w:ascii="Times New Roman" w:hAnsi="Times New Roman"/>
          <w:color w:val="000000" w:themeColor="text1"/>
          <w:sz w:val="20"/>
          <w14:textFill>
            <w14:solidFill>
              <w14:schemeClr w14:val="tx1"/>
            </w14:solidFill>
          </w14:textFill>
        </w:rPr>
        <w:t>Zhang XJ (2011b) Procedural and substantive issues in handling disputes in China's surrounding seas: reconsidering “shelving disputes and pursuing joint development” (中国周边海域争端处理的程序和实体问题“搁置争议、共同开发”再考). Peking University Law Journal (中外法学)  23(6):1121–1134. (张新军)</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"https://kns.cnki.net/kcms2/article/abstract?v=t3MtpNTmDuw-zLrSeNZOhIvBbDq4B5jrFagnMp7D7p6LXjzg-XKphDqA_0Jf3TEg9aZitIOArzRt94LlP3N_5QWawIIpndNBr7jyeZIphWraPWrmL7OTVSQOk4yTlDPpsWwVUIQJZ9ga00yqIcDb9aueZcMA02vKY3AyxEbjr8Pj6z-bLusU-Q==&amp;uniplatform=NZKPT&amp;language=CHS"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https://kns.cnki.net/kcms2/article/abstract?v=t3MtpNTmDuw-zLrSeNZOhIvBbDq4B5jrFagnMp7D7p6LXjzg-XKphDqA_0Jf3TEg9aZitIOArzRt94LlP3N_5QWawIIpndNBr7jyeZIphWraPWrmL7OTVSQOk4yTlDPpsWwVUIQJZ9ga00yqIcDb9aueZcMA02vKY3AyxEbjr8Pj6z-bLusU-Q==&amp;uniplatform=NZKPT&amp;language=CHS</w:t>
      </w:r>
      <w:r>
        <w:rPr>
          <w:rFonts w:hint="eastAsia"/>
          <w:color w:val="000000" w:themeColor="text1"/>
          <w:sz w:val="20"/>
          <w:lang w:val="en-US" w:eastAsia="zh-CN"/>
          <w14:textFill>
            <w14:solidFill>
              <w14:schemeClr w14:val="tx1"/>
            </w14:solidFill>
          </w14:textFill>
        </w:rPr>
        <w:fldChar w:fldCharType="end"/>
      </w:r>
    </w:p>
    <w:p w14:paraId="5E03537F">
      <w:pPr>
        <w:keepLines/>
        <w:spacing w:after="80"/>
        <w:ind w:left="403" w:hanging="403"/>
        <w:rPr>
          <w:rFonts w:hint="eastAsia"/>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[S29] </w:t>
      </w:r>
      <w:r>
        <w:rPr>
          <w:rFonts w:ascii="Times New Roman" w:hAnsi="Times New Roman"/>
          <w:color w:val="000000" w:themeColor="text1"/>
          <w:sz w:val="20"/>
          <w14:textFill>
            <w14:solidFill>
              <w14:schemeClr w14:val="tx1"/>
            </w14:solidFill>
          </w14:textFill>
        </w:rPr>
        <w:t>Zheng F (2015) The South China Sea maritime issues from the perspective of semi-enclosed sea (半闭海视角下的南海海洋问题). Pacific Journal (太平洋学报) 23(6):51–60. (郑凡)</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"https://doi.org/10.14015/j.cnki.1004-8049.2015.06.006"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https://doi.org/10.14015/j.cnki.1004-8049.2015.06.006</w:t>
      </w:r>
      <w:r>
        <w:rPr>
          <w:rFonts w:hint="eastAsia"/>
          <w:color w:val="000000" w:themeColor="text1"/>
          <w:sz w:val="20"/>
          <w:lang w:val="en-US" w:eastAsia="zh-CN"/>
          <w14:textFill>
            <w14:solidFill>
              <w14:schemeClr w14:val="tx1"/>
            </w14:solidFill>
          </w14:textFill>
        </w:rPr>
        <w:fldChar w:fldCharType="end"/>
      </w:r>
    </w:p>
    <w:p w14:paraId="4ACA9E61">
      <w:pPr>
        <w:keepLines/>
        <w:spacing w:after="80"/>
        <w:ind w:left="403" w:hanging="403"/>
        <w:rPr>
          <w:rFonts w:hint="default"/>
          <w:color w:val="000000" w:themeColor="text1"/>
          <w:sz w:val="20"/>
          <w:lang w:val="en-US" w:eastAsia="zh-CN"/>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[S30] </w:t>
      </w:r>
      <w:r>
        <w:rPr>
          <w:rFonts w:ascii="Times New Roman" w:hAnsi="Times New Roman"/>
          <w:color w:val="000000" w:themeColor="text1"/>
          <w:sz w:val="20"/>
          <w14:textFill>
            <w14:solidFill>
              <w14:schemeClr w14:val="tx1"/>
            </w14:solidFill>
          </w14:textFill>
        </w:rPr>
        <w:t>Zheng F (2019) A discussion on the application of the semi-enclosed sea articles of the unlcos to the regional cooperation in the South China Sea (论《联合国海洋法公约》半闭海条款在南海区域合作中的适用). Journal of Political Science and Law (政法论丛)  6:101–112. (郑凡)</w:t>
      </w:r>
      <w:r>
        <w:rPr>
          <w:rFonts w:hint="eastAsia"/>
          <w:color w:val="000000" w:themeColor="text1"/>
          <w:sz w:val="20"/>
          <w:lang w:val="en-US" w:eastAsia="zh-CN"/>
          <w14:textFill>
            <w14:solidFill>
              <w14:schemeClr w14:val="tx1"/>
            </w14:solidFill>
          </w14:textFill>
        </w:rPr>
        <w:t xml:space="preserve">. </w:t>
      </w:r>
      <w:r>
        <w:rPr>
          <w:rFonts w:hint="eastAsia"/>
          <w:color w:val="000000" w:themeColor="text1"/>
          <w:sz w:val="20"/>
          <w:lang w:val="en-US" w:eastAsia="zh-CN"/>
          <w14:textFill>
            <w14:solidFill>
              <w14:schemeClr w14:val="tx1"/>
            </w14:solidFill>
          </w14:textFill>
        </w:rPr>
        <w:fldChar w:fldCharType="begin"/>
      </w:r>
      <w:r>
        <w:rPr>
          <w:rFonts w:hint="eastAsia"/>
          <w:color w:val="000000" w:themeColor="text1"/>
          <w:sz w:val="20"/>
          <w:lang w:val="en-US" w:eastAsia="zh-CN"/>
          <w14:textFill>
            <w14:solidFill>
              <w14:schemeClr w14:val="tx1"/>
            </w14:solidFill>
          </w14:textFill>
        </w:rPr>
        <w:instrText xml:space="preserve"> HYPERLINK "https://kns.cnki.net/kcms2/article/abstract?v=t3MtpNTmDuxdBHC5tXgoOBM0PCDCeqhXOkKZLD5QqrY3KwRjvLnQ8iiD8aaWl05xV8C8ITdYXmzAQFsXPHxPl3-CY4sqDtg-2taBo2QNIojomPFzo77y0zpAZzASIbL5YFTBwclta9D1nOp8VdKH1B_0JKN0JqbPE_RoQzsv0zjy63_jB9s1rtSHAls6vcgS&amp;uniplatform=NZKPT&amp;language=CHS" </w:instrText>
      </w:r>
      <w:r>
        <w:rPr>
          <w:rFonts w:hint="eastAsia"/>
          <w:color w:val="000000" w:themeColor="text1"/>
          <w:sz w:val="20"/>
          <w:lang w:val="en-US" w:eastAsia="zh-CN"/>
          <w14:textFill>
            <w14:solidFill>
              <w14:schemeClr w14:val="tx1"/>
            </w14:solidFill>
          </w14:textFill>
        </w:rPr>
        <w:fldChar w:fldCharType="separate"/>
      </w:r>
      <w:r>
        <w:rPr>
          <w:rStyle w:val="136"/>
          <w:rFonts w:hint="eastAsia"/>
          <w:color w:val="000000" w:themeColor="text1"/>
          <w:sz w:val="20"/>
          <w:lang w:val="en-US" w:eastAsia="zh-CN"/>
          <w14:textFill>
            <w14:solidFill>
              <w14:schemeClr w14:val="tx1"/>
            </w14:solidFill>
          </w14:textFill>
        </w:rPr>
        <w:t>https://kns.cnki.net/kcms2/article/abstract?v=t3MtpNTmDuxdBHC5tXgoOBM0PCDCeqhXOkKZLD5QqrY3KwRjvLnQ8iiD8aaWl05xV8C8ITdYXmzAQFsXPHxPl3-CY4sqDtg-2taBo2QNIojomPFzo77y0zpAZzASIbL5YFTBwclta9D1nOp8VdKH1B_0JKN0JqbPE_RoQzsv0zjy63_jB9s1rtSHAls6vcgS&amp;uniplatform=NZKPT&amp;language=CHS</w:t>
      </w:r>
      <w:r>
        <w:rPr>
          <w:rFonts w:hint="eastAsia"/>
          <w:color w:val="000000" w:themeColor="text1"/>
          <w:sz w:val="20"/>
          <w:lang w:val="en-US" w:eastAsia="zh-CN"/>
          <w14:textFill>
            <w14:solidFill>
              <w14:schemeClr w14:val="tx1"/>
            </w14:solidFill>
          </w14:textFill>
        </w:rPr>
        <w:fldChar w:fldCharType="end"/>
      </w:r>
    </w:p>
    <w:p w14:paraId="7FBCE252">
      <w:pPr>
        <w:keepLines/>
        <w:spacing w:after="80"/>
        <w:ind w:left="403" w:hanging="403"/>
        <w:rPr>
          <w:color w:val="000000" w:themeColor="text1"/>
          <w14:textFill>
            <w14:solidFill>
              <w14:schemeClr w14:val="tx1"/>
            </w14:solidFill>
          </w14:textFill>
        </w:rPr>
      </w:pPr>
      <w:r>
        <w:rPr>
          <w:rFonts w:ascii="Times New Roman" w:hAnsi="Times New Roman"/>
          <w:b/>
          <w:color w:val="000000" w:themeColor="text1"/>
          <w:sz w:val="20"/>
          <w14:textFill>
            <w14:solidFill>
              <w14:schemeClr w14:val="tx1"/>
            </w14:solidFill>
          </w14:textFill>
        </w:rPr>
        <w:t xml:space="preserve">[S31] </w:t>
      </w:r>
      <w:r>
        <w:rPr>
          <w:rFonts w:ascii="Times New Roman" w:hAnsi="Times New Roman"/>
          <w:color w:val="000000" w:themeColor="text1"/>
          <w:sz w:val="20"/>
          <w14:textFill>
            <w14:solidFill>
              <w14:schemeClr w14:val="tx1"/>
            </w14:solidFill>
          </w14:textFill>
        </w:rPr>
        <w:t xml:space="preserve">Østhagen A (2021) Troubled seas? The changing politics of maritime boundary disputes. Ocean Coast Manag 205:105535.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"https://doi.org/10.1016/j.ocecoaman.2021.105535" \h </w:instrText>
      </w:r>
      <w:r>
        <w:rPr>
          <w:color w:val="000000" w:themeColor="text1"/>
          <w14:textFill>
            <w14:solidFill>
              <w14:schemeClr w14:val="tx1"/>
            </w14:solidFill>
          </w14:textFill>
        </w:rPr>
        <w:fldChar w:fldCharType="separate"/>
      </w:r>
      <w:r>
        <w:rPr>
          <w:rFonts w:ascii="Times New Roman" w:hAnsi="Times New Roman"/>
          <w:color w:val="000000" w:themeColor="text1"/>
          <w:sz w:val="19"/>
          <w:u w:val="single"/>
          <w14:textFill>
            <w14:solidFill>
              <w14:schemeClr w14:val="tx1"/>
            </w14:solidFill>
          </w14:textFill>
        </w:rPr>
        <w:t>https://doi.org/10.1016/j.ocecoaman.2021.105535</w:t>
      </w:r>
      <w:r>
        <w:rPr>
          <w:rFonts w:ascii="Times New Roman" w:hAnsi="Times New Roman"/>
          <w:color w:val="000000" w:themeColor="text1"/>
          <w:sz w:val="19"/>
          <w:u w:val="single"/>
          <w14:textFill>
            <w14:solidFill>
              <w14:schemeClr w14:val="tx1"/>
            </w14:solidFill>
          </w14:textFill>
        </w:rPr>
        <w:fldChar w:fldCharType="end"/>
      </w:r>
    </w:p>
    <w:sectPr>
      <w:footerReference r:id="rId5" w:type="default"/>
      <w:pgSz w:w="12240" w:h="15840"/>
      <w:pgMar w:top="1080" w:right="1224" w:bottom="1080" w:left="122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Noto Serif CJK SC">
    <w:altName w:val="苹方-简"/>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sans-serif">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E2163">
    <w:pPr>
      <w:pStyle w:val="24"/>
      <w:jc w:val="center"/>
    </w:pPr>
    <w:r>
      <w:rPr>
        <w:rFonts w:ascii="Times New Roman" w:hAnsi="Times New Roman"/>
        <w:sz w:val="16"/>
      </w:rPr>
      <w:t xml:space="preserve">Supplementary Information | </w:t>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BA56DF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259" w:lineRule="auto"/>
    </w:pPr>
    <w:rPr>
      <w:rFonts w:ascii="Times New Roman" w:hAnsi="Times New Roman" w:eastAsia="Noto Serif CJK SC" w:cstheme="minorBidi"/>
      <w:sz w:val="20"/>
      <w:szCs w:val="22"/>
      <w:lang w:val="en-US" w:eastAsia="en-US" w:bidi="ar-SA"/>
    </w:rPr>
  </w:style>
  <w:style w:type="paragraph" w:styleId="3">
    <w:name w:val="heading 1"/>
    <w:basedOn w:val="1"/>
    <w:next w:val="1"/>
    <w:link w:val="140"/>
    <w:qFormat/>
    <w:uiPriority w:val="9"/>
    <w:pPr>
      <w:keepNext/>
      <w:keepLines/>
      <w:spacing w:before="200" w:after="100"/>
      <w:outlineLvl w:val="0"/>
    </w:pPr>
    <w:rPr>
      <w:rFonts w:asciiTheme="majorHAnsi" w:hAnsiTheme="majorHAnsi" w:eastAsiaTheme="majorEastAsia" w:cstheme="majorBidi"/>
      <w:b/>
      <w:bCs/>
      <w:color w:val="376092" w:themeColor="accent1" w:themeShade="BF"/>
      <w:sz w:val="26"/>
      <w:szCs w:val="28"/>
    </w:rPr>
  </w:style>
  <w:style w:type="paragraph" w:styleId="4">
    <w:name w:val="heading 2"/>
    <w:basedOn w:val="1"/>
    <w:next w:val="1"/>
    <w:link w:val="141"/>
    <w:unhideWhenUsed/>
    <w:qFormat/>
    <w:uiPriority w:val="9"/>
    <w:pPr>
      <w:keepNext/>
      <w:keepLines/>
      <w:spacing w:before="140" w:after="60"/>
      <w:outlineLvl w:val="1"/>
    </w:pPr>
    <w:rPr>
      <w:rFonts w:asciiTheme="majorHAnsi" w:hAnsiTheme="majorHAnsi" w:eastAsiaTheme="majorEastAsia" w:cstheme="majorBidi"/>
      <w:b/>
      <w:bCs/>
      <w:color w:val="4F81BD" w:themeColor="accent1"/>
      <w:sz w:val="23"/>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9"/>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8"/>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6"/>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8"/>
    <w:unhideWhenUsed/>
    <w:uiPriority w:val="99"/>
    <w:pPr>
      <w:tabs>
        <w:tab w:val="center" w:pos="4680"/>
        <w:tab w:val="right" w:pos="9360"/>
      </w:tabs>
      <w:spacing w:after="0" w:line="240" w:lineRule="auto"/>
    </w:pPr>
  </w:style>
  <w:style w:type="paragraph" w:styleId="25">
    <w:name w:val="header"/>
    <w:basedOn w:val="1"/>
    <w:link w:val="137"/>
    <w:unhideWhenUsed/>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7"/>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3"/>
    <w:qFormat/>
    <w:uiPriority w:val="10"/>
    <w:pPr>
      <w:keepNext/>
      <w:pBdr>
        <w:bottom w:val="single" w:color="4F81BD" w:themeColor="accent1" w:sz="8" w:space="4"/>
      </w:pBdr>
      <w:spacing w:after="300" w:line="240" w:lineRule="auto"/>
      <w:contextualSpacing/>
    </w:pPr>
    <w:rPr>
      <w:rFonts w:asciiTheme="majorHAnsi" w:hAnsiTheme="majorHAnsi" w:eastAsiaTheme="majorEastAsia" w:cstheme="majorBidi"/>
      <w:b/>
      <w:color w:val="17375E" w:themeColor="text2" w:themeShade="BF"/>
      <w:spacing w:val="5"/>
      <w:kern w:val="28"/>
      <w:sz w:val="3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FollowedHyperlink"/>
    <w:basedOn w:val="132"/>
    <w:semiHidden/>
    <w:unhideWhenUsed/>
    <w:uiPriority w:val="99"/>
    <w:rPr>
      <w:color w:val="800080"/>
      <w:u w:val="single"/>
    </w:rPr>
  </w:style>
  <w:style w:type="character" w:styleId="135">
    <w:name w:val="Emphasis"/>
    <w:basedOn w:val="132"/>
    <w:qFormat/>
    <w:uiPriority w:val="20"/>
    <w:rPr>
      <w:i/>
      <w:iCs/>
    </w:rPr>
  </w:style>
  <w:style w:type="character" w:styleId="136">
    <w:name w:val="Hyperlink"/>
    <w:basedOn w:val="132"/>
    <w:semiHidden/>
    <w:unhideWhenUsed/>
    <w:uiPriority w:val="99"/>
    <w:rPr>
      <w:color w:val="0000FF"/>
      <w:u w:val="single"/>
    </w:rPr>
  </w:style>
  <w:style w:type="character" w:customStyle="1" w:styleId="137">
    <w:name w:val="Header Char"/>
    <w:basedOn w:val="132"/>
    <w:link w:val="25"/>
    <w:uiPriority w:val="99"/>
  </w:style>
  <w:style w:type="character" w:customStyle="1" w:styleId="138">
    <w:name w:val="Footer Char"/>
    <w:basedOn w:val="132"/>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2"/>
    <w:link w:val="19"/>
    <w:uiPriority w:val="99"/>
  </w:style>
  <w:style w:type="character" w:customStyle="1" w:styleId="147">
    <w:name w:val="Body Text 2 Char"/>
    <w:basedOn w:val="132"/>
    <w:link w:val="28"/>
    <w:uiPriority w:val="99"/>
  </w:style>
  <w:style w:type="character" w:customStyle="1" w:styleId="148">
    <w:name w:val="Body Text 3 Char"/>
    <w:basedOn w:val="132"/>
    <w:link w:val="17"/>
    <w:uiPriority w:val="99"/>
    <w:rPr>
      <w:sz w:val="16"/>
      <w:szCs w:val="16"/>
    </w:rPr>
  </w:style>
  <w:style w:type="character" w:customStyle="1" w:styleId="149">
    <w:name w:val="Macro Text Char"/>
    <w:basedOn w:val="132"/>
    <w:link w:val="2"/>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2"/>
    <w:link w:val="150"/>
    <w:uiPriority w:val="29"/>
    <w:rPr>
      <w:i/>
      <w:iCs/>
      <w:color w:val="000000" w:themeColor="text1"/>
      <w14:textFill>
        <w14:solidFill>
          <w14:schemeClr w14:val="tx1"/>
        </w14:solidFill>
      </w14:textFill>
    </w:rPr>
  </w:style>
  <w:style w:type="character" w:customStyle="1" w:styleId="152">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4">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2"/>
    <w:link w:val="158"/>
    <w:uiPriority w:val="30"/>
    <w:rPr>
      <w:b/>
      <w:bCs/>
      <w:i/>
      <w:iCs/>
      <w:color w:val="4F81BD" w:themeColor="accent1"/>
      <w14:textFill>
        <w14:solidFill>
          <w14:schemeClr w14:val="accent1"/>
        </w14:solidFill>
      </w14:textFill>
    </w:rPr>
  </w:style>
  <w:style w:type="character" w:customStyle="1" w:styleId="160">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2"/>
    <w:qFormat/>
    <w:uiPriority w:val="21"/>
    <w:rPr>
      <w:b/>
      <w:bCs/>
      <w:i/>
      <w:iCs/>
      <w:color w:val="4F81BD" w:themeColor="accent1"/>
      <w14:textFill>
        <w14:solidFill>
          <w14:schemeClr w14:val="accent1"/>
        </w14:solidFill>
      </w14:textFill>
    </w:rPr>
  </w:style>
  <w:style w:type="character" w:customStyle="1" w:styleId="162">
    <w:name w:val="Subtle Reference"/>
    <w:basedOn w:val="132"/>
    <w:qFormat/>
    <w:uiPriority w:val="31"/>
    <w:rPr>
      <w:smallCaps/>
      <w:color w:val="C0504D" w:themeColor="accent2"/>
      <w:u w:val="single"/>
      <w14:textFill>
        <w14:solidFill>
          <w14:schemeClr w14:val="accent2"/>
        </w14:solidFill>
      </w14:textFill>
    </w:rPr>
  </w:style>
  <w:style w:type="character" w:customStyle="1" w:styleId="163">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2"/>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15</TotalTime>
  <ScaleCrop>false</ScaleCrop>
  <LinksUpToDate>false</LinksUpToDate>
  <CharactersWithSpaces>0</CharactersWithSpaces>
  <Application>WPS Office_12.1.25867.25867_F1E327BC-269C-435d-A152-05C5408002CA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陈锐</dc:creator>
  <dc:description>generated by python-docx</dc:description>
  <cp:lastModifiedBy>陈锐</cp:lastModifiedBy>
  <dcterms:modified xsi:type="dcterms:W3CDTF">2026-08-11T14:34:09Z</dcterms:modified>
  <dc:subject>Supplementary source list</dc:subject>
  <dc:title>Supplementary Information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6585B73B2D77D43E61C27A6AA3340997_42</vt:lpwstr>
  </property>
</Properties>
</file>