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12D5E">
      <w:pPr>
        <w:pStyle w:val="31"/>
        <w:jc w:val="center"/>
      </w:pPr>
      <w:bookmarkStart w:id="0" w:name="_GoBack"/>
      <w:bookmarkEnd w:id="0"/>
      <w:r>
        <w:rPr>
          <w:rFonts w:ascii="Times New Roman" w:hAnsi="Times New Roman" w:eastAsia="Noto Sans CJK SC"/>
          <w:b/>
          <w:color w:val="1F3753"/>
          <w:sz w:val="32"/>
        </w:rPr>
        <w:t>Additional file 2. STROBE checklist for cross-sectional studies</w:t>
      </w:r>
    </w:p>
    <w:p w14:paraId="0A5D856E">
      <w:pPr>
        <w:spacing w:after="200"/>
        <w:jc w:val="center"/>
      </w:pPr>
      <w:r>
        <w:rPr>
          <w:rFonts w:ascii="Times New Roman" w:hAnsi="Times New Roman" w:eastAsia="Noto Sans CJK SC"/>
          <w:i/>
          <w:color w:val="505050"/>
          <w:sz w:val="20"/>
        </w:rPr>
        <w:t>Completed for the accompanying BMC Medical Education research article</w:t>
      </w:r>
    </w:p>
    <w:p w14:paraId="3FDA8493">
      <w:pPr>
        <w:spacing w:after="120"/>
      </w:pPr>
      <w:r>
        <w:rPr>
          <w:rFonts w:ascii="Times New Roman" w:hAnsi="Times New Roman" w:eastAsia="Noto Sans CJK SC"/>
          <w:b/>
          <w:sz w:val="17"/>
        </w:rPr>
        <w:t>Manuscript: Perceived School Support and Self-Reported Digital Civic Responsibility Among Vocational Health Professions Students in China: A Cross-Sectional Study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525"/>
        <w:gridCol w:w="6045"/>
        <w:gridCol w:w="6232"/>
      </w:tblGrid>
      <w:tr w14:paraId="644F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04CDD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5"/>
              </w:rPr>
              <w:t>Section/topic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9DACA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5"/>
              </w:rPr>
              <w:t>Item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6E24B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5"/>
              </w:rPr>
              <w:t>STROBE recommendation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6905B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b/>
                <w:sz w:val="15"/>
              </w:rPr>
              <w:t>Reported on page/section</w:t>
            </w:r>
          </w:p>
        </w:tc>
      </w:tr>
      <w:tr w14:paraId="2525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1B1577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Title and abstract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B68814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1(a)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12DCD7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Indicate the study design with a commonly used term in the title or abstract.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D5FF1D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Title and Abstract, pp. 1–2</w:t>
            </w:r>
          </w:p>
        </w:tc>
      </w:tr>
      <w:tr w14:paraId="75AC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846233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Title and abstract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348F84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1(b)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93E0BD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Provide an informative and balanced summary of what was done and found.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0F282A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Abstract, pp. 2–3</w:t>
            </w:r>
          </w:p>
        </w:tc>
      </w:tr>
      <w:tr w14:paraId="61BA4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FE2819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Background/rationale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6EFAB3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2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D77268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Explain the scientific background and rationale for the investigation.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137CD5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Background, pp. 3–5</w:t>
            </w:r>
          </w:p>
        </w:tc>
      </w:tr>
      <w:tr w14:paraId="5141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CF1D89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Objectives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D768DC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3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564BD6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State specific objectives, including any prespecified hypotheses.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18A1F2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Background, p. 5</w:t>
            </w:r>
          </w:p>
        </w:tc>
      </w:tr>
      <w:tr w14:paraId="118AC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2C2E05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Study design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6A7463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4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A6AAE5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Present key elements of the study design early in the paper.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10A25E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Methods—Study design, setting, and reporting, p. 6</w:t>
            </w:r>
          </w:p>
        </w:tc>
      </w:tr>
      <w:tr w14:paraId="3D1EE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A864FB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Setting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10B8D3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5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017006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Describe the setting, locations, and relevant dates, including recruitment and data collection.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640A6E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Methods—Study design, setting, and reporting, p. 6</w:t>
            </w:r>
          </w:p>
        </w:tc>
      </w:tr>
      <w:tr w14:paraId="6A55D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88EEB8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Participants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88F87E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6(a)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C19926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Give eligibility criteria and the sources and methods of participant selection.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97EA6A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Methods—Participants and data collection, pp. 6–7</w:t>
            </w:r>
          </w:p>
        </w:tc>
      </w:tr>
      <w:tr w14:paraId="736DD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B2402A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Variables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53547E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7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774A7D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Clearly define outcomes, exposures, predictors, potential confounders, and effect modifiers.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E5D3A9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Methods—Questionnaire and construct operationalization/Covariate selection, pp. 7–10</w:t>
            </w:r>
          </w:p>
        </w:tc>
      </w:tr>
      <w:tr w14:paraId="08991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4A79BB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Data sources/measurement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2AC55C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8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FAA900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For each variable of interest, give data sources and details of assessment methods.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B03E8B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Methods—Questionnaire and construct operationalization, pp. 7–9; Additional file 1</w:t>
            </w:r>
          </w:p>
        </w:tc>
      </w:tr>
      <w:tr w14:paraId="2B2C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71D5DA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Bias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E4E4A6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9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A5DA86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Describe efforts to address potential sources of bias.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10E982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Methods—Measurement screening/Common-method variance/Statistical analysis, pp. 10–12; Strengths and limitations, pp. 18–20</w:t>
            </w:r>
          </w:p>
        </w:tc>
      </w:tr>
      <w:tr w14:paraId="6903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664BFE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Study size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DDFB98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10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5AEC05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Explain how the study size was determined.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87547C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Methods—Participants and data collection, p. 7</w:t>
            </w:r>
          </w:p>
        </w:tc>
      </w:tr>
      <w:tr w14:paraId="5D24B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06F710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Quantitative variables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B5653B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11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D5DC15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Explain how quantitative variables were handled; describe any groupings and why.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AE8651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Methods—Questionnaire and construct operationalization/Covariate selection/Statistical analysis, pp. 7–12</w:t>
            </w:r>
          </w:p>
        </w:tc>
      </w:tr>
      <w:tr w14:paraId="2AF1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F0DC72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Statistical methods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94E5CB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12(a)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873061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Describe all statistical methods, including methods used to control for confounding.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D033F0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Methods—Statistical analysis, pp. 11–12</w:t>
            </w:r>
          </w:p>
        </w:tc>
      </w:tr>
      <w:tr w14:paraId="655E3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473C41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Statistical methods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625349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12(b)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9C7EEF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Describe methods used to examine subgroups and interactions.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429BE1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Not applicable; no subgroup or interaction analysis was used to redefine the primary model.</w:t>
            </w:r>
          </w:p>
        </w:tc>
      </w:tr>
      <w:tr w14:paraId="7DBB7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805AC4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Statistical methods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EF0411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12(c)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3D634A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Explain how missing data were addressed.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CC6496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Methods—Covariate selection/Statistical analysis, pp. 9–12</w:t>
            </w:r>
          </w:p>
        </w:tc>
      </w:tr>
      <w:tr w14:paraId="3D4F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0EEF47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Statistical methods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08AE08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12(d)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647474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If applicable, describe analytical methods accounting for the sampling strategy.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7304F5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Methods—Statistical analysis, pp. 11–12; class identifiers were unavailable and design-effect scenarios were reported.</w:t>
            </w:r>
          </w:p>
        </w:tc>
      </w:tr>
      <w:tr w14:paraId="66B2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EE938A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Statistical methods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E43162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12(e)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2E02EC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Describe any sensitivity analyses.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8B9CAF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Methods—Statistical analysis, pp. 11–12</w:t>
            </w:r>
          </w:p>
        </w:tc>
      </w:tr>
      <w:tr w14:paraId="3B834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D49C4E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Participants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04DE5F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13(a)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F2F37C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Report numbers at each stage of the study.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6BCC15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Methods—Participants and data collection, pp. 6–7; Results—Participant characteristics, pp. 12–13</w:t>
            </w:r>
          </w:p>
        </w:tc>
      </w:tr>
      <w:tr w14:paraId="22B06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8E25C4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Participants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2DDC6A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13(b)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4464B4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Give reasons for non-participation at each stage.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5973E6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Methods—Participants and data collection, pp. 6–7; invitation denominator was unavailable.</w:t>
            </w:r>
          </w:p>
        </w:tc>
      </w:tr>
      <w:tr w14:paraId="032D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3DD5AC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Participants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C9EC6B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13(c)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DC1FE1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Consider use of a flow diagram.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DE96D9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Not included; no invitation denominator was retained, and the eligibility discrepancy is reported in text.</w:t>
            </w:r>
          </w:p>
        </w:tc>
      </w:tr>
      <w:tr w14:paraId="749D4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808ACF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Descriptive data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E73021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14(a)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E42D5B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Give participant characteristics and information on exposures and potential confounders.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AD927A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Results—Participant characteristics, pp. 12–13; Table 1, pp. 24–25</w:t>
            </w:r>
          </w:p>
        </w:tc>
      </w:tr>
      <w:tr w14:paraId="040F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F45E36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Descriptive data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6A3E934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14(b)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1D801E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Indicate the number of participants with missing data for each variable of interest.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25D2DD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Methods—Covariate selection/Statistical analysis, pp. 9–12; no item-level missingness in the 59 Likert items.</w:t>
            </w:r>
          </w:p>
        </w:tc>
      </w:tr>
      <w:tr w14:paraId="1182F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47EC2E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Outcome data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FF9166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15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D2C87A6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Report outcome events or summary measures.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1B794F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Results—Scale distributions and bivariate associations, p. 13; Table 2, pp. 25–26</w:t>
            </w:r>
          </w:p>
        </w:tc>
      </w:tr>
      <w:tr w14:paraId="2F13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273DD0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Main results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50DE75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16(a)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BFF24C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Give unadjusted and adjusted estimates with precision; identify adjusted confounders and explain their inclusion.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F714EE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Results, pp. 13–15; Tables 2–3, pp. 25–26</w:t>
            </w:r>
          </w:p>
        </w:tc>
      </w:tr>
      <w:tr w14:paraId="35079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FFD604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Main results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054B7F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16(b)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DF27AE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Report category boundaries when continuous variables were categorized.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985BB6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Methods, pp. 7–12; Table 1, pp. 24–25</w:t>
            </w:r>
          </w:p>
        </w:tc>
      </w:tr>
      <w:tr w14:paraId="406DD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72F36F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Main results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8DBFD5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16(c)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445D413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If relevant, translate estimates of relative risk into absolute risk.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4CD940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Not applicable; the outcome and estimates are continuous, not relative risks.</w:t>
            </w:r>
          </w:p>
        </w:tc>
      </w:tr>
      <w:tr w14:paraId="1118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A2A935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Other analyses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C5AE3E9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17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0D6D70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Report other analyses, such as subgroup, interaction, and sensitivity analyses.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D052B8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Results—Sensitivity analyses, p. 15; Table 4, p. 26</w:t>
            </w:r>
          </w:p>
        </w:tc>
      </w:tr>
      <w:tr w14:paraId="29750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973FE58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Key results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775C3E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18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24AD51D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Summarize key results with reference to study objectives.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9989D5B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Discussion—Principal findings, p. 16</w:t>
            </w:r>
          </w:p>
        </w:tc>
      </w:tr>
      <w:tr w14:paraId="3F8C3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D4C3B5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Limitations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12CC5D32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19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67F8A2D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Discuss limitations, including direction and magnitude of potential bias or imprecision.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439271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Discussion—Strengths and limitations, pp. 18–20</w:t>
            </w:r>
          </w:p>
        </w:tc>
      </w:tr>
      <w:tr w14:paraId="4595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FE29AA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Interpretation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3E2393C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20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99E774A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Give a cautious overall interpretation considering objectives, limitations, multiplicity, and other evidence.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01D651A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Discussion, pp. 16–20; Conclusions, p. 20</w:t>
            </w:r>
          </w:p>
        </w:tc>
      </w:tr>
      <w:tr w14:paraId="3CEA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2DC481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Generalisability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5CA46FD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21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3368E310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Discuss the generalisability of the study results.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47C50281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Discussion—Strengths and limitations, pp. 18–20</w:t>
            </w:r>
          </w:p>
        </w:tc>
      </w:tr>
      <w:tr w14:paraId="3101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98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F88B89E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Funding</w:t>
            </w:r>
          </w:p>
        </w:tc>
        <w:tc>
          <w:tcPr>
            <w:tcW w:w="52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F0E7797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22</w:t>
            </w:r>
          </w:p>
        </w:tc>
        <w:tc>
          <w:tcPr>
            <w:tcW w:w="6045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74C58F7F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State the source of funding and the role of funders.</w:t>
            </w:r>
          </w:p>
        </w:tc>
        <w:tc>
          <w:tcPr>
            <w:tcW w:w="6232" w:type="dxa"/>
            <w:tcMar>
              <w:top w:w="55" w:type="dxa"/>
              <w:left w:w="70" w:type="dxa"/>
              <w:bottom w:w="55" w:type="dxa"/>
              <w:right w:w="70" w:type="dxa"/>
            </w:tcMar>
            <w:vAlign w:val="top"/>
          </w:tcPr>
          <w:p w14:paraId="541A3C25">
            <w:pPr>
              <w:spacing w:after="0" w:line="240" w:lineRule="auto"/>
            </w:pPr>
            <w:r>
              <w:rPr>
                <w:rFonts w:ascii="Times New Roman" w:hAnsi="Times New Roman" w:eastAsia="Noto Sans CJK SC"/>
                <w:sz w:val="15"/>
              </w:rPr>
              <w:t>Declarations—Funding, pp. 21–22</w:t>
            </w:r>
          </w:p>
        </w:tc>
      </w:tr>
    </w:tbl>
    <w:p w14:paraId="11E7F11D">
      <w:pPr>
        <w:spacing w:before="120"/>
      </w:pPr>
      <w:r>
        <w:rPr>
          <w:rFonts w:ascii="Times New Roman" w:hAnsi="Times New Roman" w:eastAsia="Noto Sans CJK SC"/>
          <w:i/>
          <w:sz w:val="16"/>
        </w:rPr>
        <w:t>Source: STROBE Statement cross-sectional checklist, available from https://www.strobe-statement.org/checklists/ (accessed 31 July 2026). Page locations refer to the submitted Word manuscript as rendered for review.</w:t>
      </w:r>
    </w:p>
    <w:sectPr>
      <w:headerReference r:id="rId5" w:type="default"/>
      <w:footerReference r:id="rId6" w:type="default"/>
      <w:pgSz w:w="15840" w:h="12240" w:orient="landscape"/>
      <w:pgMar w:top="720" w:right="720" w:bottom="720" w:left="720" w:header="504" w:footer="50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300461">
    <w:pPr>
      <w:pStyle w:val="24"/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421C7">
    <w:pPr>
      <w:pStyle w:val="25"/>
      <w:jc w:val="right"/>
    </w:pPr>
    <w:r>
      <w:rPr>
        <w:rFonts w:ascii="Times New Roman" w:hAnsi="Times New Roman" w:eastAsia="Noto Sans CJK SC"/>
        <w:color w:val="5A5A5A"/>
        <w:sz w:val="16"/>
      </w:rPr>
      <w:t>BMC Medical Education submission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E27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276" w:lineRule="auto"/>
    </w:pPr>
    <w:rPr>
      <w:rFonts w:ascii="Times New Roman" w:hAnsi="Times New Roman" w:eastAsia="Noto Sans CJK SC" w:cstheme="minorBidi"/>
      <w:sz w:val="17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160" w:after="80"/>
      <w:outlineLvl w:val="0"/>
    </w:pPr>
    <w:rPr>
      <w:rFonts w:asciiTheme="majorHAnsi" w:hAnsiTheme="majorHAnsi" w:eastAsiaTheme="majorEastAsia" w:cstheme="majorBidi"/>
      <w:b/>
      <w:bCs/>
      <w:color w:val="1F3753"/>
      <w:sz w:val="26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1F3753"/>
      <w:sz w:val="22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keepNext/>
      <w:pBdr>
        <w:bottom w:val="single" w:color="4F81BD" w:themeColor="accent1" w:sz="8" w:space="4"/>
      </w:pBdr>
      <w:spacing w:before="160" w:after="80" w:line="240" w:lineRule="auto"/>
      <w:contextualSpacing/>
    </w:pPr>
    <w:rPr>
      <w:rFonts w:asciiTheme="majorHAnsi" w:hAnsiTheme="majorHAnsi" w:eastAsiaTheme="majorEastAsia" w:cstheme="majorBidi"/>
      <w:b/>
      <w:color w:val="1F3753"/>
      <w:spacing w:val="5"/>
      <w:kern w:val="28"/>
      <w:sz w:val="3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694</Words>
  <Characters>4722</Characters>
  <Lines>0</Lines>
  <Paragraphs>0</Paragraphs>
  <TotalTime>0</TotalTime>
  <ScaleCrop>false</ScaleCrop>
  <LinksUpToDate>false</LinksUpToDate>
  <CharactersWithSpaces>5280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Yang Li; Bingzhong Xu; Qiufeng Liu</dc:creator>
  <dc:description>generated by python-docx</dc:description>
  <cp:lastModifiedBy>Qiufeng Liu</cp:lastModifiedBy>
  <dcterms:modified xsi:type="dcterms:W3CDTF">2026-07-31T02:59:17Z</dcterms:modified>
  <dc:subject>Reporting checklist for BMC Medical Education</dc:subject>
  <dc:title>Additional file 2. STROBE checklist for cross-sectional studies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eyJoZGlkIjoiN2I1ZmM2MDk5YTg1ZDc4MDhkZGNlNDRiZDBiZDRjODYiLCJ1c2VySWQiOiIzNTE1NDcwOTIifQ==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DDDA10C5721745469FFF2E5B0B11ACE4_12</vt:lpwstr>
  </property>
</Properties>
</file>