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26695" w14:textId="79C6502E" w:rsidR="00D06EBD" w:rsidRPr="00D06EBD" w:rsidRDefault="00D06EBD" w:rsidP="00903326">
      <w:pPr>
        <w:jc w:val="center"/>
        <w:rPr>
          <w:rFonts w:ascii="Times New Roman" w:hAnsi="Times New Roman" w:cs="Times New Roman"/>
          <w:b/>
          <w:bCs/>
          <w:sz w:val="32"/>
          <w:szCs w:val="32"/>
        </w:rPr>
      </w:pPr>
      <w:r w:rsidRPr="00D06EBD">
        <w:rPr>
          <w:rFonts w:asciiTheme="majorBidi" w:hAnsiTheme="majorBidi" w:cstheme="majorBidi"/>
          <w:b/>
          <w:bCs/>
          <w:sz w:val="32"/>
          <w:szCs w:val="32"/>
        </w:rPr>
        <w:t>Supplementary Material (</w:t>
      </w:r>
      <w:r>
        <w:rPr>
          <w:rFonts w:asciiTheme="majorBidi" w:hAnsiTheme="majorBidi" w:cstheme="majorBidi"/>
          <w:b/>
          <w:bCs/>
          <w:sz w:val="32"/>
          <w:szCs w:val="32"/>
        </w:rPr>
        <w:t>A</w:t>
      </w:r>
      <w:r w:rsidRPr="00D06EBD">
        <w:rPr>
          <w:rFonts w:asciiTheme="majorBidi" w:hAnsiTheme="majorBidi" w:cstheme="majorBidi"/>
          <w:b/>
          <w:bCs/>
          <w:sz w:val="32"/>
          <w:szCs w:val="32"/>
        </w:rPr>
        <w:t>)</w:t>
      </w:r>
      <w:r w:rsidR="00903326">
        <w:rPr>
          <w:rFonts w:asciiTheme="majorBidi" w:hAnsiTheme="majorBidi" w:cstheme="majorBidi"/>
          <w:b/>
          <w:bCs/>
          <w:sz w:val="32"/>
          <w:szCs w:val="32"/>
        </w:rPr>
        <w:t xml:space="preserve">. </w:t>
      </w:r>
      <w:r w:rsidRPr="00D06EBD">
        <w:rPr>
          <w:rFonts w:ascii="Times New Roman" w:hAnsi="Times New Roman" w:cs="Times New Roman"/>
          <w:b/>
          <w:bCs/>
          <w:sz w:val="32"/>
          <w:szCs w:val="32"/>
        </w:rPr>
        <w:t>Difference in difference</w:t>
      </w:r>
    </w:p>
    <w:p w14:paraId="65361767" w14:textId="77777777" w:rsidR="00D06EBD" w:rsidRPr="00FA19C7" w:rsidRDefault="00D06EBD" w:rsidP="00D06EBD">
      <w:pPr>
        <w:spacing w:before="120" w:after="120" w:line="360" w:lineRule="auto"/>
        <w:ind w:firstLine="360"/>
        <w:jc w:val="both"/>
        <w:rPr>
          <w:rFonts w:asciiTheme="majorBidi" w:hAnsiTheme="majorBidi" w:cstheme="majorBidi"/>
          <w:color w:val="000000"/>
          <w:sz w:val="24"/>
          <w:szCs w:val="24"/>
        </w:rPr>
      </w:pPr>
      <w:r w:rsidRPr="00FA19C7">
        <w:rPr>
          <w:rFonts w:asciiTheme="majorBidi" w:hAnsiTheme="majorBidi" w:cstheme="majorBidi"/>
          <w:color w:val="000000"/>
          <w:sz w:val="24"/>
          <w:szCs w:val="24"/>
        </w:rPr>
        <w:t xml:space="preserve">To identify the causal impact of geopolitical disruptions on bank financial resilience, we employ a difference-in-differences (DID) approach. DID compares changes in financial resilience before and after the shock between banks exposed to the event and those not directly affected. This methodology allows us to isolate the effect of the Arab Spring from other time-varying factors by controlling for both bank-specific characteristics and common macroeconomic shocks. The basic DID specification </w:t>
      </w:r>
      <w:r w:rsidRPr="00FA19C7">
        <w:rPr>
          <w:rFonts w:asciiTheme="majorBidi" w:hAnsiTheme="majorBidi" w:cstheme="majorBidi"/>
          <w:sz w:val="24"/>
          <w:szCs w:val="24"/>
        </w:rPr>
        <w:t>expressed as follows:</w:t>
      </w:r>
    </w:p>
    <w:p w14:paraId="672CA9E0" w14:textId="77777777" w:rsidR="00D06EBD" w:rsidRPr="00701BC2" w:rsidRDefault="00D06EBD" w:rsidP="00D06EBD">
      <w:pPr>
        <w:pStyle w:val="NormalWeb"/>
        <w:spacing w:before="120" w:beforeAutospacing="0" w:after="120" w:afterAutospacing="0"/>
        <w:ind w:firstLine="0"/>
        <w:rPr>
          <w:rFonts w:asciiTheme="majorBidi" w:hAnsiTheme="majorBidi" w:cstheme="majorBidi"/>
          <w:sz w:val="20"/>
          <w:szCs w:val="20"/>
        </w:rPr>
      </w:pPr>
      <m:oMath>
        <m:r>
          <w:rPr>
            <w:rFonts w:ascii="Cambria Math" w:hAnsi="Cambria Math" w:cstheme="majorBidi"/>
            <w:color w:val="000000"/>
            <w:sz w:val="20"/>
            <w:szCs w:val="20"/>
          </w:rPr>
          <m:t>Z</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R</m:t>
            </m:r>
          </m:e>
          <m:sub>
            <m:r>
              <w:rPr>
                <w:rFonts w:ascii="Cambria Math" w:hAnsi="Cambria Math" w:cstheme="majorBidi"/>
                <w:color w:val="000000"/>
                <w:sz w:val="20"/>
                <w:szCs w:val="20"/>
              </w:rPr>
              <m:t>i,t</m:t>
            </m:r>
          </m:sub>
        </m:sSub>
        <m:r>
          <w:rPr>
            <w:rFonts w:ascii="Cambria Math" w:hAnsi="Cambria Math" w:cstheme="majorBidi"/>
            <w:color w:val="000000"/>
            <w:sz w:val="20"/>
            <w:szCs w:val="20"/>
          </w:rPr>
          <m:t>=</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α</m:t>
            </m:r>
          </m:e>
          <m:sub>
            <m:r>
              <w:rPr>
                <w:rFonts w:ascii="Cambria Math" w:hAnsi="Cambria Math" w:cstheme="majorBidi"/>
                <w:color w:val="000000"/>
                <w:sz w:val="20"/>
                <w:szCs w:val="20"/>
              </w:rPr>
              <m:t>1</m:t>
            </m:r>
          </m:sub>
        </m:sSub>
        <m:r>
          <w:rPr>
            <w:rFonts w:ascii="Cambria Math" w:hAnsi="Cambria Math" w:cstheme="majorBidi"/>
            <w:color w:val="000000"/>
            <w:sz w:val="20"/>
            <w:szCs w:val="20"/>
          </w:rPr>
          <m:t>Trea</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t</m:t>
            </m:r>
          </m:e>
          <m:sub>
            <m:r>
              <w:rPr>
                <w:rFonts w:ascii="Cambria Math" w:hAnsi="Cambria Math" w:cstheme="majorBidi"/>
                <w:color w:val="000000"/>
                <w:sz w:val="20"/>
                <w:szCs w:val="20"/>
              </w:rPr>
              <m:t>it</m:t>
            </m:r>
          </m:sub>
        </m:sSub>
        <m:r>
          <w:rPr>
            <w:rFonts w:ascii="Cambria Math" w:hAnsi="Cambria Math" w:cstheme="majorBidi"/>
            <w:color w:val="000000"/>
            <w:sz w:val="20"/>
            <w:szCs w:val="20"/>
          </w:rPr>
          <m:t>+</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α</m:t>
            </m:r>
          </m:e>
          <m:sub>
            <m:r>
              <w:rPr>
                <w:rFonts w:ascii="Cambria Math" w:hAnsi="Cambria Math" w:cstheme="majorBidi"/>
                <w:color w:val="000000"/>
                <w:sz w:val="20"/>
                <w:szCs w:val="20"/>
              </w:rPr>
              <m:t>2</m:t>
            </m:r>
          </m:sub>
        </m:sSub>
        <m:r>
          <w:rPr>
            <w:rFonts w:ascii="Cambria Math" w:hAnsi="Cambria Math" w:cstheme="majorBidi"/>
            <w:color w:val="000000"/>
            <w:sz w:val="20"/>
            <w:szCs w:val="20"/>
          </w:rPr>
          <m:t>Tim</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e</m:t>
            </m:r>
          </m:e>
          <m:sub>
            <m:r>
              <w:rPr>
                <w:rFonts w:ascii="Cambria Math" w:hAnsi="Cambria Math" w:cstheme="majorBidi"/>
                <w:color w:val="000000"/>
                <w:sz w:val="20"/>
                <w:szCs w:val="20"/>
              </w:rPr>
              <m:t>it</m:t>
            </m:r>
          </m:sub>
        </m:sSub>
        <m:r>
          <w:rPr>
            <w:rFonts w:ascii="Cambria Math" w:hAnsi="Cambria Math" w:cstheme="majorBidi"/>
            <w:color w:val="000000"/>
            <w:sz w:val="20"/>
            <w:szCs w:val="20"/>
          </w:rPr>
          <m:t>+</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α</m:t>
            </m:r>
          </m:e>
          <m:sub>
            <m:r>
              <w:rPr>
                <w:rFonts w:ascii="Cambria Math" w:hAnsi="Cambria Math" w:cstheme="majorBidi"/>
                <w:color w:val="000000"/>
                <w:sz w:val="20"/>
                <w:szCs w:val="20"/>
              </w:rPr>
              <m:t>3</m:t>
            </m:r>
          </m:sub>
        </m:sSub>
        <m:r>
          <w:rPr>
            <w:rFonts w:ascii="Cambria Math" w:hAnsi="Cambria Math" w:cstheme="majorBidi"/>
            <w:color w:val="000000"/>
            <w:sz w:val="20"/>
            <w:szCs w:val="20"/>
          </w:rPr>
          <m:t>Tea</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t</m:t>
            </m:r>
          </m:e>
          <m:sub>
            <m:r>
              <w:rPr>
                <w:rFonts w:ascii="Cambria Math" w:hAnsi="Cambria Math" w:cstheme="majorBidi"/>
                <w:color w:val="000000"/>
                <w:sz w:val="20"/>
                <w:szCs w:val="20"/>
              </w:rPr>
              <m:t>it</m:t>
            </m:r>
          </m:sub>
        </m:sSub>
        <m:r>
          <w:rPr>
            <w:rFonts w:ascii="Cambria Math" w:hAnsi="Cambria Math" w:cstheme="majorBidi"/>
            <w:color w:val="000000"/>
            <w:sz w:val="20"/>
            <w:szCs w:val="20"/>
          </w:rPr>
          <m:t>*Tim</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e</m:t>
            </m:r>
          </m:e>
          <m:sub>
            <m:r>
              <w:rPr>
                <w:rFonts w:ascii="Cambria Math" w:hAnsi="Cambria Math" w:cstheme="majorBidi"/>
                <w:color w:val="000000"/>
                <w:sz w:val="20"/>
                <w:szCs w:val="20"/>
              </w:rPr>
              <m:t>it</m:t>
            </m:r>
          </m:sub>
        </m:sSub>
        <m:r>
          <w:rPr>
            <w:rFonts w:ascii="Cambria Math" w:hAnsi="Cambria Math" w:cstheme="majorBidi"/>
            <w:color w:val="000000"/>
            <w:sz w:val="20"/>
            <w:szCs w:val="20"/>
          </w:rPr>
          <m:t>+∑αControl</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s</m:t>
            </m:r>
          </m:e>
          <m:sub>
            <m:r>
              <w:rPr>
                <w:rFonts w:ascii="Cambria Math" w:hAnsi="Cambria Math" w:cstheme="majorBidi"/>
                <w:color w:val="000000"/>
                <w:sz w:val="20"/>
                <w:szCs w:val="20"/>
              </w:rPr>
              <m:t>i,t</m:t>
            </m:r>
          </m:sub>
        </m:sSub>
        <m:r>
          <w:rPr>
            <w:rFonts w:ascii="Cambria Math" w:hAnsi="Cambria Math" w:cstheme="majorBidi"/>
            <w:color w:val="000000"/>
            <w:sz w:val="20"/>
            <w:szCs w:val="20"/>
          </w:rPr>
          <m:t>+YearFE+CountryFE+</m:t>
        </m:r>
        <m:sSub>
          <m:sSubPr>
            <m:ctrlPr>
              <w:rPr>
                <w:rFonts w:ascii="Cambria Math" w:hAnsi="Cambria Math" w:cstheme="majorBidi"/>
                <w:color w:val="000000"/>
                <w:sz w:val="20"/>
                <w:szCs w:val="20"/>
              </w:rPr>
            </m:ctrlPr>
          </m:sSubPr>
          <m:e>
            <m:r>
              <w:rPr>
                <w:rFonts w:ascii="Cambria Math" w:hAnsi="Cambria Math" w:cstheme="majorBidi"/>
                <w:color w:val="000000"/>
                <w:sz w:val="20"/>
                <w:szCs w:val="20"/>
              </w:rPr>
              <m:t>ε</m:t>
            </m:r>
          </m:e>
          <m:sub>
            <m:r>
              <w:rPr>
                <w:rFonts w:ascii="Cambria Math" w:hAnsi="Cambria Math" w:cstheme="majorBidi"/>
                <w:color w:val="000000"/>
                <w:sz w:val="20"/>
                <w:szCs w:val="20"/>
              </w:rPr>
              <m:t>i,t</m:t>
            </m:r>
          </m:sub>
        </m:sSub>
      </m:oMath>
      <w:r w:rsidRPr="00701BC2">
        <w:rPr>
          <w:rFonts w:asciiTheme="majorBidi" w:hAnsiTheme="majorBidi" w:cstheme="majorBidi"/>
          <w:sz w:val="20"/>
          <w:szCs w:val="20"/>
        </w:rPr>
        <w:t xml:space="preserve"> (</w:t>
      </w:r>
      <w:r>
        <w:rPr>
          <w:rFonts w:asciiTheme="majorBidi" w:hAnsiTheme="majorBidi" w:cstheme="majorBidi"/>
          <w:sz w:val="20"/>
          <w:szCs w:val="20"/>
        </w:rPr>
        <w:t>4</w:t>
      </w:r>
      <w:r w:rsidRPr="00701BC2">
        <w:rPr>
          <w:rFonts w:asciiTheme="majorBidi" w:hAnsiTheme="majorBidi" w:cstheme="majorBidi"/>
          <w:sz w:val="20"/>
          <w:szCs w:val="20"/>
        </w:rPr>
        <w:t>)</w:t>
      </w:r>
    </w:p>
    <w:p w14:paraId="377DDFF3" w14:textId="77777777" w:rsidR="00D06EBD" w:rsidRPr="00486A9B" w:rsidRDefault="00D06EBD" w:rsidP="00D06EBD">
      <w:pPr>
        <w:spacing w:before="120" w:after="120" w:line="360" w:lineRule="auto"/>
        <w:ind w:firstLine="360"/>
        <w:jc w:val="both"/>
        <w:rPr>
          <w:rFonts w:asciiTheme="majorBidi" w:hAnsiTheme="majorBidi" w:cstheme="majorBidi"/>
          <w:sz w:val="24"/>
          <w:szCs w:val="24"/>
        </w:rPr>
      </w:pPr>
      <w:r w:rsidRPr="003F0509">
        <w:rPr>
          <w:rFonts w:asciiTheme="majorBidi" w:eastAsia="Times New Roman" w:hAnsiTheme="majorBidi" w:cstheme="majorBidi"/>
          <w:color w:val="000000"/>
          <w:sz w:val="24"/>
          <w:szCs w:val="24"/>
        </w:rPr>
        <w:t>Where:</w:t>
      </w:r>
      <w:r>
        <w:rPr>
          <w:rFonts w:asciiTheme="majorBidi" w:eastAsia="Times New Roman" w:hAnsiTheme="majorBidi" w:cstheme="majorBidi"/>
          <w:color w:val="000000"/>
          <w:sz w:val="24"/>
          <w:szCs w:val="24"/>
        </w:rPr>
        <w:t xml:space="preserve"> </w:t>
      </w:r>
      <m:oMath>
        <m:r>
          <w:rPr>
            <w:rFonts w:ascii="Cambria Math" w:hAnsi="Cambria Math" w:cstheme="majorBidi"/>
            <w:sz w:val="24"/>
            <w:szCs w:val="24"/>
          </w:rPr>
          <m:t>Z</m:t>
        </m:r>
        <m:sSub>
          <m:sSubPr>
            <m:ctrlPr>
              <w:rPr>
                <w:rFonts w:ascii="Cambria Math" w:hAnsi="Cambria Math" w:cstheme="majorBidi"/>
                <w:sz w:val="24"/>
                <w:szCs w:val="24"/>
              </w:rPr>
            </m:ctrlPr>
          </m:sSubPr>
          <m:e>
            <m:r>
              <w:rPr>
                <w:rFonts w:ascii="Cambria Math" w:hAnsi="Cambria Math" w:cstheme="majorBidi"/>
                <w:sz w:val="24"/>
                <w:szCs w:val="24"/>
              </w:rPr>
              <m:t>R</m:t>
            </m:r>
          </m:e>
          <m:sub>
            <m:r>
              <w:rPr>
                <w:rFonts w:ascii="Cambria Math" w:hAnsi="Cambria Math" w:cstheme="majorBidi"/>
                <w:sz w:val="24"/>
                <w:szCs w:val="24"/>
              </w:rPr>
              <m:t>it</m:t>
            </m:r>
          </m:sub>
        </m:sSub>
      </m:oMath>
      <w:r w:rsidRPr="003F0509">
        <w:rPr>
          <w:rFonts w:asciiTheme="majorBidi" w:eastAsia="Times New Roman" w:hAnsiTheme="majorBidi" w:cstheme="majorBidi"/>
          <w:color w:val="000000"/>
          <w:sz w:val="24"/>
          <w:szCs w:val="24"/>
        </w:rPr>
        <w:t>​&amp;</w:t>
      </w:r>
      <m:oMath>
        <m:r>
          <w:rPr>
            <w:rFonts w:ascii="Cambria Math" w:eastAsia="Times New Roman" w:hAnsi="Cambria Math" w:cstheme="majorBidi"/>
            <w:color w:val="000000"/>
            <w:sz w:val="24"/>
            <w:szCs w:val="24"/>
          </w:rPr>
          <m:t>S</m:t>
        </m:r>
        <m:sSub>
          <m:sSubPr>
            <m:ctrlPr>
              <w:rPr>
                <w:rFonts w:ascii="Cambria Math" w:hAnsi="Cambria Math" w:cstheme="majorBidi"/>
                <w:sz w:val="24"/>
                <w:szCs w:val="24"/>
              </w:rPr>
            </m:ctrlPr>
          </m:sSubPr>
          <m:e>
            <m:r>
              <w:rPr>
                <w:rFonts w:ascii="Cambria Math" w:hAnsi="Cambria Math" w:cstheme="majorBidi"/>
                <w:sz w:val="24"/>
                <w:szCs w:val="24"/>
              </w:rPr>
              <m:t>D</m:t>
            </m:r>
          </m:e>
          <m:sub>
            <m:r>
              <w:rPr>
                <w:rFonts w:ascii="Cambria Math" w:hAnsi="Cambria Math" w:cstheme="majorBidi"/>
                <w:sz w:val="24"/>
                <w:szCs w:val="24"/>
              </w:rPr>
              <m:t>it</m:t>
            </m:r>
          </m:sub>
        </m:sSub>
      </m:oMath>
      <w:r w:rsidRPr="003F0509">
        <w:rPr>
          <w:rFonts w:asciiTheme="majorBidi" w:eastAsia="Times New Roman" w:hAnsiTheme="majorBidi" w:cstheme="majorBidi"/>
          <w:color w:val="000000"/>
          <w:sz w:val="24"/>
          <w:szCs w:val="24"/>
        </w:rPr>
        <w:t xml:space="preserve">​ </w:t>
      </w:r>
      <w:r w:rsidRPr="003F0509">
        <w:rPr>
          <w:rFonts w:asciiTheme="majorBidi" w:hAnsiTheme="majorBidi" w:cstheme="majorBidi"/>
          <w:sz w:val="24"/>
          <w:szCs w:val="24"/>
        </w:rPr>
        <w:t>represent alternative measures of financial resilience for bank (</w:t>
      </w:r>
      <w:proofErr w:type="spellStart"/>
      <w:r w:rsidRPr="003F0509">
        <w:rPr>
          <w:rFonts w:asciiTheme="majorBidi" w:hAnsiTheme="majorBidi" w:cstheme="majorBidi"/>
          <w:sz w:val="24"/>
          <w:szCs w:val="24"/>
        </w:rPr>
        <w:t>i</w:t>
      </w:r>
      <w:proofErr w:type="spellEnd"/>
      <w:r w:rsidRPr="003F0509">
        <w:rPr>
          <w:rFonts w:asciiTheme="majorBidi" w:hAnsiTheme="majorBidi" w:cstheme="majorBidi"/>
          <w:sz w:val="24"/>
          <w:szCs w:val="24"/>
        </w:rPr>
        <w:t>) in year (t), treatment variable (</w:t>
      </w:r>
      <m:oMath>
        <m:r>
          <w:rPr>
            <w:rFonts w:ascii="Cambria Math" w:hAnsi="Cambria Math" w:cstheme="majorBidi"/>
            <w:sz w:val="24"/>
            <w:szCs w:val="24"/>
          </w:rPr>
          <m:t>Trea</m:t>
        </m:r>
        <m:sSub>
          <m:sSubPr>
            <m:ctrlPr>
              <w:rPr>
                <w:rFonts w:ascii="Cambria Math" w:hAnsi="Cambria Math" w:cstheme="majorBidi"/>
                <w:sz w:val="24"/>
                <w:szCs w:val="24"/>
              </w:rPr>
            </m:ctrlPr>
          </m:sSubPr>
          <m:e>
            <m:r>
              <w:rPr>
                <w:rFonts w:ascii="Cambria Math" w:hAnsi="Cambria Math" w:cstheme="majorBidi"/>
                <w:sz w:val="24"/>
                <w:szCs w:val="24"/>
              </w:rPr>
              <m:t>t</m:t>
            </m:r>
          </m:e>
          <m:sub>
            <m:r>
              <w:rPr>
                <w:rFonts w:ascii="Cambria Math" w:hAnsi="Cambria Math" w:cstheme="majorBidi"/>
                <w:sz w:val="24"/>
                <w:szCs w:val="24"/>
              </w:rPr>
              <m:t>i</m:t>
            </m:r>
          </m:sub>
        </m:sSub>
      </m:oMath>
      <w:r w:rsidRPr="003F0509">
        <w:rPr>
          <w:rFonts w:asciiTheme="majorBidi" w:hAnsiTheme="majorBidi" w:cstheme="majorBidi"/>
          <w:sz w:val="24"/>
          <w:szCs w:val="24"/>
        </w:rPr>
        <w:t>) is a dummy variable equal to one for banks operating in countries significantly affected by the Arab Spring (e.g., Egypt and Tunisia) and zero for banks located in less-affected countries (e.g., Bahrain and Qatar). Time indicator (</w:t>
      </w:r>
      <m:oMath>
        <m:r>
          <w:rPr>
            <w:rFonts w:ascii="Cambria Math" w:hAnsi="Cambria Math" w:cstheme="majorBidi"/>
            <w:sz w:val="24"/>
            <w:szCs w:val="24"/>
          </w:rPr>
          <m:t>Tim</m:t>
        </m:r>
        <m:sSub>
          <m:sSubPr>
            <m:ctrlPr>
              <w:rPr>
                <w:rFonts w:ascii="Cambria Math" w:hAnsi="Cambria Math" w:cstheme="majorBidi"/>
                <w:sz w:val="24"/>
                <w:szCs w:val="24"/>
              </w:rPr>
            </m:ctrlPr>
          </m:sSubPr>
          <m:e>
            <m:r>
              <w:rPr>
                <w:rFonts w:ascii="Cambria Math" w:hAnsi="Cambria Math" w:cstheme="majorBidi"/>
                <w:sz w:val="24"/>
                <w:szCs w:val="24"/>
              </w:rPr>
              <m:t>e</m:t>
            </m:r>
          </m:e>
          <m:sub>
            <m:r>
              <w:rPr>
                <w:rFonts w:ascii="Cambria Math" w:hAnsi="Cambria Math" w:cstheme="majorBidi"/>
                <w:sz w:val="24"/>
                <w:szCs w:val="24"/>
              </w:rPr>
              <m:t>t</m:t>
            </m:r>
          </m:sub>
        </m:sSub>
      </m:oMath>
      <w:r w:rsidRPr="003F0509">
        <w:rPr>
          <w:rFonts w:asciiTheme="majorBidi" w:hAnsiTheme="majorBidi" w:cstheme="majorBidi"/>
          <w:sz w:val="24"/>
          <w:szCs w:val="24"/>
        </w:rPr>
        <w:t xml:space="preserve">) equals one for observations during the Arab Spring period (2011–2013) and zero otherwise. The coefficient of interest is </w:t>
      </w:r>
      <m:oMath>
        <m:sSub>
          <m:sSubPr>
            <m:ctrlPr>
              <w:rPr>
                <w:rFonts w:ascii="Cambria Math" w:hAnsi="Cambria Math" w:cstheme="majorBidi"/>
                <w:sz w:val="24"/>
                <w:szCs w:val="24"/>
              </w:rPr>
            </m:ctrlPr>
          </m:sSubPr>
          <m:e>
            <m:r>
              <w:rPr>
                <w:rFonts w:ascii="Cambria Math" w:hAnsi="Cambria Math" w:cstheme="majorBidi"/>
                <w:sz w:val="24"/>
                <w:szCs w:val="24"/>
              </w:rPr>
              <m:t>α</m:t>
            </m:r>
          </m:e>
          <m:sub>
            <m:r>
              <w:rPr>
                <w:rFonts w:ascii="Cambria Math" w:hAnsi="Cambria Math" w:cstheme="majorBidi"/>
                <w:sz w:val="24"/>
                <w:szCs w:val="24"/>
              </w:rPr>
              <m:t>3</m:t>
            </m:r>
          </m:sub>
        </m:sSub>
      </m:oMath>
      <w:r w:rsidRPr="003F0509">
        <w:rPr>
          <w:rFonts w:asciiTheme="majorBidi" w:hAnsiTheme="majorBidi" w:cstheme="majorBidi"/>
          <w:sz w:val="24"/>
          <w:szCs w:val="24"/>
        </w:rPr>
        <w:t>, which captures the differential change in financial resilience between affected and unaffected banks following the geopolitical shock. The vector of control variables includes bank-specific factors (bank size, capital adequacy, asset growth</w:t>
      </w:r>
      <w:r w:rsidRPr="00486A9B">
        <w:rPr>
          <w:rFonts w:asciiTheme="majorBidi" w:hAnsiTheme="majorBidi" w:cstheme="majorBidi"/>
          <w:sz w:val="24"/>
          <w:szCs w:val="24"/>
        </w:rPr>
        <w:t xml:space="preserve">, and loan growth) and macroeconomic variables (inflation and GDP growth). Year and country fixed effects are included to control for unobserved time-specific and country-specific factors, while </w:t>
      </w:r>
      <m:oMath>
        <m:sSub>
          <m:sSubPr>
            <m:ctrlPr>
              <w:rPr>
                <w:rFonts w:ascii="Cambria Math" w:hAnsi="Cambria Math" w:cstheme="majorBidi"/>
                <w:sz w:val="24"/>
                <w:szCs w:val="24"/>
              </w:rPr>
            </m:ctrlPr>
          </m:sSubPr>
          <m:e>
            <m:r>
              <w:rPr>
                <w:rFonts w:ascii="Cambria Math" w:hAnsi="Cambria Math" w:cstheme="majorBidi"/>
                <w:sz w:val="24"/>
                <w:szCs w:val="24"/>
              </w:rPr>
              <m:t>ε</m:t>
            </m:r>
          </m:e>
          <m:sub>
            <m:r>
              <w:rPr>
                <w:rFonts w:ascii="Cambria Math" w:hAnsi="Cambria Math" w:cstheme="majorBidi"/>
                <w:sz w:val="24"/>
                <w:szCs w:val="24"/>
              </w:rPr>
              <m:t>i,t</m:t>
            </m:r>
          </m:sub>
        </m:sSub>
      </m:oMath>
      <w:r w:rsidRPr="00486A9B">
        <w:rPr>
          <w:rFonts w:asciiTheme="majorBidi" w:hAnsiTheme="majorBidi" w:cstheme="majorBidi"/>
          <w:sz w:val="24"/>
          <w:szCs w:val="24"/>
        </w:rPr>
        <w:t xml:space="preserve">represents the error term. </w:t>
      </w:r>
    </w:p>
    <w:p w14:paraId="7305447E" w14:textId="395B7B09" w:rsidR="00D06EBD" w:rsidRDefault="00D06EBD" w:rsidP="00D06EBD">
      <w:pPr>
        <w:spacing w:before="120" w:after="120" w:line="360" w:lineRule="auto"/>
        <w:ind w:firstLine="360"/>
        <w:jc w:val="both"/>
        <w:rPr>
          <w:rFonts w:ascii="Times New Roman" w:eastAsia="Times New Roman" w:hAnsi="Times New Roman" w:cs="Times New Roman"/>
          <w:sz w:val="24"/>
          <w:szCs w:val="24"/>
        </w:rPr>
      </w:pPr>
      <w:r w:rsidRPr="00486A9B">
        <w:rPr>
          <w:rFonts w:asciiTheme="majorBidi" w:hAnsiTheme="majorBidi" w:cstheme="majorBidi"/>
          <w:sz w:val="24"/>
          <w:szCs w:val="24"/>
        </w:rPr>
        <w:t xml:space="preserve">  </w:t>
      </w:r>
      <w:r w:rsidRPr="00486A9B">
        <w:rPr>
          <w:rFonts w:ascii="Times New Roman" w:eastAsia="Times New Roman" w:hAnsi="Times New Roman" w:cs="Times New Roman"/>
          <w:sz w:val="24"/>
          <w:szCs w:val="24"/>
        </w:rPr>
        <w:t xml:space="preserve">Table </w:t>
      </w:r>
      <w:r w:rsidR="00DD79FB">
        <w:rPr>
          <w:rFonts w:ascii="Times New Roman" w:eastAsia="Times New Roman" w:hAnsi="Times New Roman" w:cs="Times New Roman"/>
          <w:sz w:val="24"/>
          <w:szCs w:val="24"/>
        </w:rPr>
        <w:t>A1</w:t>
      </w:r>
      <w:r w:rsidRPr="00486A9B">
        <w:rPr>
          <w:rFonts w:ascii="Times New Roman" w:eastAsia="Times New Roman" w:hAnsi="Times New Roman" w:cs="Times New Roman"/>
          <w:sz w:val="24"/>
          <w:szCs w:val="24"/>
        </w:rPr>
        <w:t xml:space="preserve"> presents the DID estimation examining the causal impact of the Arab Spring geopolitical shock on bank financial resilience. The treatment group consists of banks operating in countries directly affected by political unrest during 2011–2013, while banks in less-affected MENA countries represent the control group. The coefficient of the interaction term (Treat × Time) captures the differential effect of the shock on exposed banks. The results show that the Arab Spring significantly weakened financial resilience. For ZR, the interaction term is negative and significant (β = −0.078 and −0.090, p &lt; 0.01), indicating that banks in affected countries experienced a decline in stability compared with non-affected banks. This finding suggests that geopolitical instability reduced banks’ solvency buffers through increased uncertainty, weaker economic activity, and higher credit risk, consistent with previous evidence that geopolitical shocks undermine banking </w:t>
      </w:r>
      <w:r w:rsidRPr="00486A9B">
        <w:rPr>
          <w:rFonts w:ascii="Times New Roman" w:eastAsia="Times New Roman" w:hAnsi="Times New Roman" w:cs="Times New Roman"/>
          <w:sz w:val="24"/>
          <w:szCs w:val="24"/>
        </w:rPr>
        <w:lastRenderedPageBreak/>
        <w:t xml:space="preserve">stability. The results for SDR provide further support. The interaction coefficient is positive and significant (β = 0.045 and 0.067, p &lt; 0.01), indicating that the Arab Spring increased earnings volatility among affected banks. Since higher SDR represents lower resilience, these findings confirm that geopolitical disruptions negatively affected banks’ operational stability. Economically, the DID estimates imply that exposure to the Arab Spring reduced ZR by approximately 0.08–0.09 points and increased earnings volatility by 0.045–0.067 points relative to unaffected banks. These effects highlight the substantial consequences of geopolitical shocks for banking stability. The DID analysis provides causal evidence that geopolitical instability reduces financial resilience and increases banking vulnerability, supporting H1 that geopolitical tensions adversely affect financial resilience. </w:t>
      </w:r>
      <w:r w:rsidRPr="000235B4">
        <w:rPr>
          <w:rFonts w:ascii="Times New Roman" w:eastAsia="Times New Roman" w:hAnsi="Times New Roman" w:cs="Times New Roman"/>
          <w:b/>
          <w:bCs/>
          <w:sz w:val="24"/>
          <w:szCs w:val="24"/>
        </w:rPr>
        <w:t xml:space="preserve">Figure (2) </w:t>
      </w:r>
      <w:r w:rsidRPr="00486A9B">
        <w:rPr>
          <w:rFonts w:ascii="Times New Roman" w:eastAsia="Times New Roman" w:hAnsi="Times New Roman" w:cs="Times New Roman"/>
          <w:sz w:val="24"/>
          <w:szCs w:val="24"/>
        </w:rPr>
        <w:t>illustrates the DID results, showing that banks in Arab Spring–affected countries experienced a significant decline in financial resilience after 2011 compared with non-affected banks, confirming the negative causal impact of geopolitical shocks on financial resilience.</w:t>
      </w:r>
    </w:p>
    <w:p w14:paraId="3FA4E354" w14:textId="0CB13FC6" w:rsidR="00903326" w:rsidRDefault="00903326" w:rsidP="00903326">
      <w:pPr>
        <w:spacing w:before="120" w:after="120" w:line="36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Table </w:t>
      </w:r>
      <w:r w:rsidR="00DD79FB">
        <w:rPr>
          <w:rFonts w:ascii="Times New Roman" w:eastAsia="Times New Roman" w:hAnsi="Times New Roman" w:cs="Times New Roman"/>
          <w:b/>
          <w:bCs/>
        </w:rPr>
        <w:t>A1</w:t>
      </w:r>
      <w:r>
        <w:rPr>
          <w:rFonts w:ascii="Times New Roman" w:eastAsia="Times New Roman" w:hAnsi="Times New Roman" w:cs="Times New Roman"/>
          <w:b/>
          <w:bCs/>
        </w:rPr>
        <w:t xml:space="preserve">. </w:t>
      </w:r>
      <w:r>
        <w:rPr>
          <w:rFonts w:ascii="Times New Roman" w:hAnsi="Times New Roman" w:cs="Times New Roman"/>
          <w:b/>
          <w:bCs/>
        </w:rPr>
        <w:t xml:space="preserve">Difference in difference </w:t>
      </w:r>
    </w:p>
    <w:tbl>
      <w:tblPr>
        <w:tblW w:w="74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2"/>
        <w:gridCol w:w="1248"/>
        <w:gridCol w:w="1375"/>
        <w:gridCol w:w="1425"/>
        <w:gridCol w:w="1345"/>
      </w:tblGrid>
      <w:tr w:rsidR="00903326" w14:paraId="0C9E9278" w14:textId="77777777" w:rsidTr="00A366BF">
        <w:trPr>
          <w:trHeight w:val="217"/>
          <w:jc w:val="center"/>
        </w:trPr>
        <w:tc>
          <w:tcPr>
            <w:tcW w:w="2032" w:type="dxa"/>
            <w:vMerge w:val="restart"/>
            <w:tcBorders>
              <w:top w:val="single" w:sz="4" w:space="0" w:color="auto"/>
              <w:left w:val="single" w:sz="4" w:space="0" w:color="auto"/>
              <w:right w:val="single" w:sz="4" w:space="0" w:color="auto"/>
            </w:tcBorders>
          </w:tcPr>
          <w:p w14:paraId="33B1E66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Var</w:t>
            </w:r>
          </w:p>
        </w:tc>
        <w:tc>
          <w:tcPr>
            <w:tcW w:w="1248" w:type="dxa"/>
            <w:tcBorders>
              <w:top w:val="single" w:sz="4" w:space="0" w:color="auto"/>
              <w:left w:val="single" w:sz="4" w:space="0" w:color="auto"/>
              <w:bottom w:val="single" w:sz="4" w:space="0" w:color="auto"/>
              <w:right w:val="single" w:sz="4" w:space="0" w:color="auto"/>
            </w:tcBorders>
            <w:hideMark/>
          </w:tcPr>
          <w:p w14:paraId="4AE0016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375" w:type="dxa"/>
            <w:tcBorders>
              <w:top w:val="single" w:sz="4" w:space="0" w:color="auto"/>
              <w:left w:val="single" w:sz="4" w:space="0" w:color="auto"/>
              <w:bottom w:val="single" w:sz="4" w:space="0" w:color="auto"/>
              <w:right w:val="single" w:sz="4" w:space="0" w:color="auto"/>
            </w:tcBorders>
            <w:hideMark/>
          </w:tcPr>
          <w:p w14:paraId="0EA301BF"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425" w:type="dxa"/>
            <w:tcBorders>
              <w:top w:val="single" w:sz="4" w:space="0" w:color="auto"/>
              <w:left w:val="single" w:sz="4" w:space="0" w:color="auto"/>
              <w:bottom w:val="single" w:sz="4" w:space="0" w:color="auto"/>
              <w:right w:val="single" w:sz="4" w:space="0" w:color="auto"/>
            </w:tcBorders>
            <w:hideMark/>
          </w:tcPr>
          <w:p w14:paraId="1E86C5B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345" w:type="dxa"/>
            <w:tcBorders>
              <w:top w:val="single" w:sz="4" w:space="0" w:color="auto"/>
              <w:left w:val="single" w:sz="4" w:space="0" w:color="auto"/>
              <w:bottom w:val="single" w:sz="4" w:space="0" w:color="auto"/>
              <w:right w:val="single" w:sz="4" w:space="0" w:color="auto"/>
            </w:tcBorders>
            <w:hideMark/>
          </w:tcPr>
          <w:p w14:paraId="335CDD3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903326" w14:paraId="5279C74F" w14:textId="77777777" w:rsidTr="00A366BF">
        <w:trPr>
          <w:trHeight w:val="217"/>
          <w:jc w:val="center"/>
        </w:trPr>
        <w:tc>
          <w:tcPr>
            <w:tcW w:w="2032" w:type="dxa"/>
            <w:vMerge/>
            <w:tcBorders>
              <w:left w:val="single" w:sz="4" w:space="0" w:color="auto"/>
              <w:bottom w:val="single" w:sz="4" w:space="0" w:color="auto"/>
              <w:right w:val="single" w:sz="4" w:space="0" w:color="auto"/>
            </w:tcBorders>
          </w:tcPr>
          <w:p w14:paraId="3A65CE20" w14:textId="77777777" w:rsidR="00903326" w:rsidRDefault="00903326" w:rsidP="00A366BF">
            <w:pPr>
              <w:widowControl w:val="0"/>
              <w:autoSpaceDE w:val="0"/>
              <w:autoSpaceDN w:val="0"/>
              <w:adjustRightInd w:val="0"/>
              <w:spacing w:after="0" w:line="240" w:lineRule="auto"/>
              <w:rPr>
                <w:rFonts w:ascii="Times New Roman" w:hAnsi="Times New Roman" w:cs="Times New Roman"/>
                <w:sz w:val="20"/>
                <w:szCs w:val="20"/>
              </w:rPr>
            </w:pPr>
          </w:p>
        </w:tc>
        <w:tc>
          <w:tcPr>
            <w:tcW w:w="1248" w:type="dxa"/>
            <w:tcBorders>
              <w:top w:val="single" w:sz="4" w:space="0" w:color="auto"/>
              <w:left w:val="single" w:sz="4" w:space="0" w:color="auto"/>
              <w:bottom w:val="single" w:sz="4" w:space="0" w:color="auto"/>
              <w:right w:val="single" w:sz="4" w:space="0" w:color="auto"/>
            </w:tcBorders>
            <w:hideMark/>
          </w:tcPr>
          <w:p w14:paraId="6EA174D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ZR</w:t>
            </w:r>
          </w:p>
        </w:tc>
        <w:tc>
          <w:tcPr>
            <w:tcW w:w="1375" w:type="dxa"/>
            <w:tcBorders>
              <w:top w:val="single" w:sz="4" w:space="0" w:color="auto"/>
              <w:left w:val="single" w:sz="4" w:space="0" w:color="auto"/>
              <w:bottom w:val="single" w:sz="4" w:space="0" w:color="auto"/>
              <w:right w:val="single" w:sz="4" w:space="0" w:color="auto"/>
            </w:tcBorders>
            <w:hideMark/>
          </w:tcPr>
          <w:p w14:paraId="430D614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ZR</w:t>
            </w:r>
          </w:p>
        </w:tc>
        <w:tc>
          <w:tcPr>
            <w:tcW w:w="1425" w:type="dxa"/>
            <w:tcBorders>
              <w:top w:val="single" w:sz="4" w:space="0" w:color="auto"/>
              <w:left w:val="single" w:sz="4" w:space="0" w:color="auto"/>
              <w:bottom w:val="single" w:sz="4" w:space="0" w:color="auto"/>
              <w:right w:val="single" w:sz="4" w:space="0" w:color="auto"/>
            </w:tcBorders>
            <w:hideMark/>
          </w:tcPr>
          <w:p w14:paraId="7359F213"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SD</w:t>
            </w:r>
          </w:p>
        </w:tc>
        <w:tc>
          <w:tcPr>
            <w:tcW w:w="1345" w:type="dxa"/>
            <w:tcBorders>
              <w:top w:val="single" w:sz="4" w:space="0" w:color="auto"/>
              <w:left w:val="single" w:sz="4" w:space="0" w:color="auto"/>
              <w:bottom w:val="single" w:sz="4" w:space="0" w:color="auto"/>
              <w:right w:val="single" w:sz="4" w:space="0" w:color="auto"/>
            </w:tcBorders>
            <w:hideMark/>
          </w:tcPr>
          <w:p w14:paraId="5CA8CAD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SD</w:t>
            </w:r>
          </w:p>
        </w:tc>
      </w:tr>
      <w:tr w:rsidR="00903326" w14:paraId="11F59703"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24E0068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rPr>
              <w:t xml:space="preserve">Time </w:t>
            </w:r>
            <w:r>
              <w:rPr>
                <w:rFonts w:ascii="Times New Roman" w:eastAsia="Times New Roman" w:hAnsi="Times New Roman" w:cs="Times New Roman"/>
                <w:sz w:val="20"/>
                <w:szCs w:val="20"/>
                <w:vertAlign w:val="subscript"/>
              </w:rPr>
              <w:t>it</w:t>
            </w:r>
          </w:p>
        </w:tc>
        <w:tc>
          <w:tcPr>
            <w:tcW w:w="1248" w:type="dxa"/>
            <w:tcBorders>
              <w:top w:val="single" w:sz="4" w:space="0" w:color="auto"/>
              <w:left w:val="single" w:sz="4" w:space="0" w:color="auto"/>
              <w:bottom w:val="single" w:sz="4" w:space="0" w:color="auto"/>
              <w:right w:val="single" w:sz="4" w:space="0" w:color="auto"/>
            </w:tcBorders>
            <w:hideMark/>
          </w:tcPr>
          <w:p w14:paraId="41683BCB"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-0.133***</w:t>
            </w:r>
          </w:p>
        </w:tc>
        <w:tc>
          <w:tcPr>
            <w:tcW w:w="1375" w:type="dxa"/>
            <w:tcBorders>
              <w:top w:val="single" w:sz="4" w:space="0" w:color="auto"/>
              <w:left w:val="single" w:sz="4" w:space="0" w:color="auto"/>
              <w:bottom w:val="single" w:sz="4" w:space="0" w:color="auto"/>
              <w:right w:val="single" w:sz="4" w:space="0" w:color="auto"/>
            </w:tcBorders>
            <w:hideMark/>
          </w:tcPr>
          <w:p w14:paraId="56CABC2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-0.128***</w:t>
            </w:r>
          </w:p>
        </w:tc>
        <w:tc>
          <w:tcPr>
            <w:tcW w:w="1425" w:type="dxa"/>
            <w:tcBorders>
              <w:top w:val="single" w:sz="4" w:space="0" w:color="auto"/>
              <w:left w:val="single" w:sz="4" w:space="0" w:color="auto"/>
              <w:bottom w:val="single" w:sz="4" w:space="0" w:color="auto"/>
              <w:right w:val="single" w:sz="4" w:space="0" w:color="auto"/>
            </w:tcBorders>
            <w:hideMark/>
          </w:tcPr>
          <w:p w14:paraId="3AA1031A"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0.034***</w:t>
            </w:r>
          </w:p>
        </w:tc>
        <w:tc>
          <w:tcPr>
            <w:tcW w:w="1345" w:type="dxa"/>
            <w:tcBorders>
              <w:top w:val="single" w:sz="4" w:space="0" w:color="auto"/>
              <w:left w:val="single" w:sz="4" w:space="0" w:color="auto"/>
              <w:bottom w:val="single" w:sz="4" w:space="0" w:color="auto"/>
              <w:right w:val="single" w:sz="4" w:space="0" w:color="auto"/>
            </w:tcBorders>
            <w:hideMark/>
          </w:tcPr>
          <w:p w14:paraId="4E00DB9B"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0.027***</w:t>
            </w:r>
          </w:p>
        </w:tc>
      </w:tr>
      <w:tr w:rsidR="00903326" w14:paraId="058811DF"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tcPr>
          <w:p w14:paraId="15AF0F6E" w14:textId="77777777" w:rsidR="00903326" w:rsidRDefault="00903326" w:rsidP="00A366BF">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c>
          <w:tcPr>
            <w:tcW w:w="1248" w:type="dxa"/>
            <w:tcBorders>
              <w:top w:val="single" w:sz="4" w:space="0" w:color="auto"/>
              <w:left w:val="single" w:sz="4" w:space="0" w:color="auto"/>
              <w:bottom w:val="single" w:sz="4" w:space="0" w:color="auto"/>
              <w:right w:val="single" w:sz="4" w:space="0" w:color="auto"/>
            </w:tcBorders>
            <w:hideMark/>
          </w:tcPr>
          <w:p w14:paraId="77EFB16B"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(-2.910)</w:t>
            </w:r>
          </w:p>
        </w:tc>
        <w:tc>
          <w:tcPr>
            <w:tcW w:w="1375" w:type="dxa"/>
            <w:tcBorders>
              <w:top w:val="single" w:sz="4" w:space="0" w:color="auto"/>
              <w:left w:val="single" w:sz="4" w:space="0" w:color="auto"/>
              <w:bottom w:val="single" w:sz="4" w:space="0" w:color="auto"/>
              <w:right w:val="single" w:sz="4" w:space="0" w:color="auto"/>
            </w:tcBorders>
            <w:hideMark/>
          </w:tcPr>
          <w:p w14:paraId="41765A7F"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(-4.153)</w:t>
            </w:r>
          </w:p>
        </w:tc>
        <w:tc>
          <w:tcPr>
            <w:tcW w:w="1425" w:type="dxa"/>
            <w:tcBorders>
              <w:top w:val="single" w:sz="4" w:space="0" w:color="auto"/>
              <w:left w:val="single" w:sz="4" w:space="0" w:color="auto"/>
              <w:bottom w:val="single" w:sz="4" w:space="0" w:color="auto"/>
              <w:right w:val="single" w:sz="4" w:space="0" w:color="auto"/>
            </w:tcBorders>
            <w:hideMark/>
          </w:tcPr>
          <w:p w14:paraId="747A811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(3.081)</w:t>
            </w:r>
          </w:p>
        </w:tc>
        <w:tc>
          <w:tcPr>
            <w:tcW w:w="1345" w:type="dxa"/>
            <w:tcBorders>
              <w:top w:val="single" w:sz="4" w:space="0" w:color="auto"/>
              <w:left w:val="single" w:sz="4" w:space="0" w:color="auto"/>
              <w:bottom w:val="single" w:sz="4" w:space="0" w:color="auto"/>
              <w:right w:val="single" w:sz="4" w:space="0" w:color="auto"/>
            </w:tcBorders>
            <w:hideMark/>
          </w:tcPr>
          <w:p w14:paraId="1AB75016"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(5.121)</w:t>
            </w:r>
          </w:p>
        </w:tc>
      </w:tr>
      <w:tr w:rsidR="00903326" w14:paraId="4E9E0FE8"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50223C20"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eastAsia="Times New Roman" w:hAnsi="Times New Roman" w:cs="Times New Roman"/>
                <w:sz w:val="20"/>
                <w:szCs w:val="20"/>
              </w:rPr>
              <w:t xml:space="preserve">Treat </w:t>
            </w:r>
            <w:r>
              <w:rPr>
                <w:rFonts w:ascii="Times New Roman" w:eastAsia="Times New Roman" w:hAnsi="Times New Roman" w:cs="Times New Roman"/>
                <w:sz w:val="20"/>
                <w:szCs w:val="20"/>
                <w:vertAlign w:val="subscript"/>
              </w:rPr>
              <w:t>it</w:t>
            </w:r>
          </w:p>
        </w:tc>
        <w:tc>
          <w:tcPr>
            <w:tcW w:w="1248" w:type="dxa"/>
            <w:tcBorders>
              <w:top w:val="single" w:sz="4" w:space="0" w:color="auto"/>
              <w:left w:val="single" w:sz="4" w:space="0" w:color="auto"/>
              <w:bottom w:val="single" w:sz="4" w:space="0" w:color="auto"/>
              <w:right w:val="single" w:sz="4" w:space="0" w:color="auto"/>
            </w:tcBorders>
            <w:hideMark/>
          </w:tcPr>
          <w:p w14:paraId="4C698698" w14:textId="77777777" w:rsidR="00903326" w:rsidRDefault="00903326" w:rsidP="00A366BF">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    -0.098**</w:t>
            </w:r>
          </w:p>
        </w:tc>
        <w:tc>
          <w:tcPr>
            <w:tcW w:w="1375" w:type="dxa"/>
            <w:tcBorders>
              <w:top w:val="single" w:sz="4" w:space="0" w:color="auto"/>
              <w:left w:val="single" w:sz="4" w:space="0" w:color="auto"/>
              <w:bottom w:val="single" w:sz="4" w:space="0" w:color="auto"/>
              <w:right w:val="single" w:sz="4" w:space="0" w:color="auto"/>
            </w:tcBorders>
            <w:hideMark/>
          </w:tcPr>
          <w:p w14:paraId="075D4F70"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-0.067**</w:t>
            </w:r>
          </w:p>
        </w:tc>
        <w:tc>
          <w:tcPr>
            <w:tcW w:w="1425" w:type="dxa"/>
            <w:tcBorders>
              <w:top w:val="single" w:sz="4" w:space="0" w:color="auto"/>
              <w:left w:val="single" w:sz="4" w:space="0" w:color="auto"/>
              <w:bottom w:val="single" w:sz="4" w:space="0" w:color="auto"/>
              <w:right w:val="single" w:sz="4" w:space="0" w:color="auto"/>
            </w:tcBorders>
            <w:hideMark/>
          </w:tcPr>
          <w:p w14:paraId="21BD237A"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0.021**</w:t>
            </w:r>
          </w:p>
        </w:tc>
        <w:tc>
          <w:tcPr>
            <w:tcW w:w="1345" w:type="dxa"/>
            <w:tcBorders>
              <w:top w:val="single" w:sz="4" w:space="0" w:color="auto"/>
              <w:left w:val="single" w:sz="4" w:space="0" w:color="auto"/>
              <w:bottom w:val="single" w:sz="4" w:space="0" w:color="auto"/>
              <w:right w:val="single" w:sz="4" w:space="0" w:color="auto"/>
            </w:tcBorders>
            <w:hideMark/>
          </w:tcPr>
          <w:p w14:paraId="7006C41A"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0.016**</w:t>
            </w:r>
          </w:p>
        </w:tc>
      </w:tr>
      <w:tr w:rsidR="00903326" w14:paraId="31351849"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tcPr>
          <w:p w14:paraId="20D517DE" w14:textId="77777777" w:rsidR="00903326" w:rsidRDefault="00903326" w:rsidP="00A366BF">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c>
          <w:tcPr>
            <w:tcW w:w="1248" w:type="dxa"/>
            <w:tcBorders>
              <w:top w:val="single" w:sz="4" w:space="0" w:color="auto"/>
              <w:left w:val="single" w:sz="4" w:space="0" w:color="auto"/>
              <w:bottom w:val="single" w:sz="4" w:space="0" w:color="auto"/>
              <w:right w:val="single" w:sz="4" w:space="0" w:color="auto"/>
            </w:tcBorders>
            <w:hideMark/>
          </w:tcPr>
          <w:p w14:paraId="2A01584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(-1.980)</w:t>
            </w:r>
          </w:p>
        </w:tc>
        <w:tc>
          <w:tcPr>
            <w:tcW w:w="1375" w:type="dxa"/>
            <w:tcBorders>
              <w:top w:val="single" w:sz="4" w:space="0" w:color="auto"/>
              <w:left w:val="single" w:sz="4" w:space="0" w:color="auto"/>
              <w:bottom w:val="single" w:sz="4" w:space="0" w:color="auto"/>
              <w:right w:val="single" w:sz="4" w:space="0" w:color="auto"/>
            </w:tcBorders>
            <w:hideMark/>
          </w:tcPr>
          <w:p w14:paraId="10A51B60"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(-2.210)</w:t>
            </w:r>
          </w:p>
        </w:tc>
        <w:tc>
          <w:tcPr>
            <w:tcW w:w="1425" w:type="dxa"/>
            <w:tcBorders>
              <w:top w:val="single" w:sz="4" w:space="0" w:color="auto"/>
              <w:left w:val="single" w:sz="4" w:space="0" w:color="auto"/>
              <w:bottom w:val="single" w:sz="4" w:space="0" w:color="auto"/>
              <w:right w:val="single" w:sz="4" w:space="0" w:color="auto"/>
            </w:tcBorders>
            <w:hideMark/>
          </w:tcPr>
          <w:p w14:paraId="2917FB75"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(2.311)</w:t>
            </w:r>
          </w:p>
        </w:tc>
        <w:tc>
          <w:tcPr>
            <w:tcW w:w="1345" w:type="dxa"/>
            <w:tcBorders>
              <w:top w:val="single" w:sz="4" w:space="0" w:color="auto"/>
              <w:left w:val="single" w:sz="4" w:space="0" w:color="auto"/>
              <w:bottom w:val="single" w:sz="4" w:space="0" w:color="auto"/>
              <w:right w:val="single" w:sz="4" w:space="0" w:color="auto"/>
            </w:tcBorders>
            <w:hideMark/>
          </w:tcPr>
          <w:p w14:paraId="1816793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(2.119)</w:t>
            </w:r>
          </w:p>
        </w:tc>
      </w:tr>
      <w:tr w:rsidR="00903326" w14:paraId="24ECC063"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5CF1722C" w14:textId="77777777" w:rsidR="00903326" w:rsidRDefault="00903326" w:rsidP="00A366B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Treat </w:t>
            </w:r>
            <w:r>
              <w:rPr>
                <w:rFonts w:ascii="Times New Roman" w:eastAsia="Times New Roman" w:hAnsi="Times New Roman" w:cs="Times New Roman"/>
                <w:sz w:val="20"/>
                <w:szCs w:val="20"/>
                <w:vertAlign w:val="subscript"/>
              </w:rPr>
              <w:t>it</w:t>
            </w:r>
            <w:r>
              <w:rPr>
                <w:rFonts w:ascii="Times New Roman" w:eastAsia="Times New Roman" w:hAnsi="Times New Roman" w:cs="Times New Roman"/>
                <w:sz w:val="20"/>
                <w:szCs w:val="20"/>
              </w:rPr>
              <w:t xml:space="preserve"> *Time </w:t>
            </w:r>
            <w:r>
              <w:rPr>
                <w:rFonts w:ascii="Times New Roman" w:eastAsia="Times New Roman" w:hAnsi="Times New Roman" w:cs="Times New Roman"/>
                <w:sz w:val="20"/>
                <w:szCs w:val="20"/>
                <w:vertAlign w:val="subscript"/>
              </w:rPr>
              <w:t>it</w:t>
            </w:r>
          </w:p>
        </w:tc>
        <w:tc>
          <w:tcPr>
            <w:tcW w:w="1248" w:type="dxa"/>
            <w:tcBorders>
              <w:top w:val="single" w:sz="4" w:space="0" w:color="auto"/>
              <w:left w:val="single" w:sz="4" w:space="0" w:color="auto"/>
              <w:bottom w:val="single" w:sz="4" w:space="0" w:color="auto"/>
              <w:right w:val="single" w:sz="4" w:space="0" w:color="auto"/>
            </w:tcBorders>
            <w:hideMark/>
          </w:tcPr>
          <w:p w14:paraId="35B5F10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-0.078***</w:t>
            </w:r>
          </w:p>
        </w:tc>
        <w:tc>
          <w:tcPr>
            <w:tcW w:w="1375" w:type="dxa"/>
            <w:tcBorders>
              <w:top w:val="single" w:sz="4" w:space="0" w:color="auto"/>
              <w:left w:val="single" w:sz="4" w:space="0" w:color="auto"/>
              <w:bottom w:val="single" w:sz="4" w:space="0" w:color="auto"/>
              <w:right w:val="single" w:sz="4" w:space="0" w:color="auto"/>
            </w:tcBorders>
            <w:hideMark/>
          </w:tcPr>
          <w:p w14:paraId="1FEC7ABA"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-0.090***</w:t>
            </w:r>
          </w:p>
        </w:tc>
        <w:tc>
          <w:tcPr>
            <w:tcW w:w="1425" w:type="dxa"/>
            <w:tcBorders>
              <w:top w:val="single" w:sz="4" w:space="0" w:color="auto"/>
              <w:left w:val="single" w:sz="4" w:space="0" w:color="auto"/>
              <w:bottom w:val="single" w:sz="4" w:space="0" w:color="auto"/>
              <w:right w:val="single" w:sz="4" w:space="0" w:color="auto"/>
            </w:tcBorders>
            <w:hideMark/>
          </w:tcPr>
          <w:p w14:paraId="4E2CFB9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0.045***</w:t>
            </w:r>
          </w:p>
        </w:tc>
        <w:tc>
          <w:tcPr>
            <w:tcW w:w="1345" w:type="dxa"/>
            <w:tcBorders>
              <w:top w:val="single" w:sz="4" w:space="0" w:color="auto"/>
              <w:left w:val="single" w:sz="4" w:space="0" w:color="auto"/>
              <w:bottom w:val="single" w:sz="4" w:space="0" w:color="auto"/>
              <w:right w:val="single" w:sz="4" w:space="0" w:color="auto"/>
            </w:tcBorders>
            <w:hideMark/>
          </w:tcPr>
          <w:p w14:paraId="2EBD081B"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0.067***</w:t>
            </w:r>
          </w:p>
        </w:tc>
      </w:tr>
      <w:tr w:rsidR="00903326" w14:paraId="33EF221E"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tcPr>
          <w:p w14:paraId="299D61DE" w14:textId="77777777" w:rsidR="00903326" w:rsidRDefault="00903326" w:rsidP="00A366BF">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tc>
        <w:tc>
          <w:tcPr>
            <w:tcW w:w="1248" w:type="dxa"/>
            <w:tcBorders>
              <w:top w:val="single" w:sz="4" w:space="0" w:color="auto"/>
              <w:left w:val="single" w:sz="4" w:space="0" w:color="auto"/>
              <w:bottom w:val="single" w:sz="4" w:space="0" w:color="auto"/>
              <w:right w:val="single" w:sz="4" w:space="0" w:color="auto"/>
            </w:tcBorders>
            <w:hideMark/>
          </w:tcPr>
          <w:p w14:paraId="15C05B91"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(-3.114)</w:t>
            </w:r>
          </w:p>
        </w:tc>
        <w:tc>
          <w:tcPr>
            <w:tcW w:w="1375" w:type="dxa"/>
            <w:tcBorders>
              <w:top w:val="single" w:sz="4" w:space="0" w:color="auto"/>
              <w:left w:val="single" w:sz="4" w:space="0" w:color="auto"/>
              <w:bottom w:val="single" w:sz="4" w:space="0" w:color="auto"/>
              <w:right w:val="single" w:sz="4" w:space="0" w:color="auto"/>
            </w:tcBorders>
            <w:hideMark/>
          </w:tcPr>
          <w:p w14:paraId="0F857BF5"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(-2.890)</w:t>
            </w:r>
          </w:p>
        </w:tc>
        <w:tc>
          <w:tcPr>
            <w:tcW w:w="1425" w:type="dxa"/>
            <w:tcBorders>
              <w:top w:val="single" w:sz="4" w:space="0" w:color="auto"/>
              <w:left w:val="single" w:sz="4" w:space="0" w:color="auto"/>
              <w:bottom w:val="single" w:sz="4" w:space="0" w:color="auto"/>
              <w:right w:val="single" w:sz="4" w:space="0" w:color="auto"/>
            </w:tcBorders>
            <w:hideMark/>
          </w:tcPr>
          <w:p w14:paraId="0EF114EA"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(4.220)</w:t>
            </w:r>
          </w:p>
        </w:tc>
        <w:tc>
          <w:tcPr>
            <w:tcW w:w="1345" w:type="dxa"/>
            <w:tcBorders>
              <w:top w:val="single" w:sz="4" w:space="0" w:color="auto"/>
              <w:left w:val="single" w:sz="4" w:space="0" w:color="auto"/>
              <w:bottom w:val="single" w:sz="4" w:space="0" w:color="auto"/>
              <w:right w:val="single" w:sz="4" w:space="0" w:color="auto"/>
            </w:tcBorders>
            <w:hideMark/>
          </w:tcPr>
          <w:p w14:paraId="51BBFD3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(2.970)</w:t>
            </w:r>
          </w:p>
        </w:tc>
      </w:tr>
      <w:tr w:rsidR="00903326" w14:paraId="3A647198"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77FCB6A1"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Controls</w:t>
            </w:r>
          </w:p>
        </w:tc>
        <w:tc>
          <w:tcPr>
            <w:tcW w:w="1248" w:type="dxa"/>
            <w:tcBorders>
              <w:top w:val="single" w:sz="4" w:space="0" w:color="auto"/>
              <w:left w:val="single" w:sz="4" w:space="0" w:color="auto"/>
              <w:bottom w:val="single" w:sz="4" w:space="0" w:color="auto"/>
              <w:right w:val="single" w:sz="4" w:space="0" w:color="auto"/>
            </w:tcBorders>
          </w:tcPr>
          <w:p w14:paraId="34F7479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375" w:type="dxa"/>
            <w:tcBorders>
              <w:top w:val="single" w:sz="4" w:space="0" w:color="auto"/>
              <w:left w:val="single" w:sz="4" w:space="0" w:color="auto"/>
              <w:bottom w:val="single" w:sz="4" w:space="0" w:color="auto"/>
              <w:right w:val="single" w:sz="4" w:space="0" w:color="auto"/>
            </w:tcBorders>
            <w:hideMark/>
          </w:tcPr>
          <w:p w14:paraId="0D82EEB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425" w:type="dxa"/>
            <w:tcBorders>
              <w:top w:val="single" w:sz="4" w:space="0" w:color="auto"/>
              <w:left w:val="single" w:sz="4" w:space="0" w:color="auto"/>
              <w:bottom w:val="single" w:sz="4" w:space="0" w:color="auto"/>
              <w:right w:val="single" w:sz="4" w:space="0" w:color="auto"/>
            </w:tcBorders>
          </w:tcPr>
          <w:p w14:paraId="730D6B93"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345" w:type="dxa"/>
            <w:tcBorders>
              <w:top w:val="single" w:sz="4" w:space="0" w:color="auto"/>
              <w:left w:val="single" w:sz="4" w:space="0" w:color="auto"/>
              <w:bottom w:val="single" w:sz="4" w:space="0" w:color="auto"/>
              <w:right w:val="single" w:sz="4" w:space="0" w:color="auto"/>
            </w:tcBorders>
            <w:hideMark/>
          </w:tcPr>
          <w:p w14:paraId="64E4D8F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r>
      <w:tr w:rsidR="00903326" w14:paraId="0250BD46"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3A66A35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Country FE</w:t>
            </w:r>
          </w:p>
        </w:tc>
        <w:tc>
          <w:tcPr>
            <w:tcW w:w="1248" w:type="dxa"/>
            <w:tcBorders>
              <w:top w:val="single" w:sz="4" w:space="0" w:color="auto"/>
              <w:left w:val="single" w:sz="4" w:space="0" w:color="auto"/>
              <w:bottom w:val="single" w:sz="4" w:space="0" w:color="auto"/>
              <w:right w:val="single" w:sz="4" w:space="0" w:color="auto"/>
            </w:tcBorders>
          </w:tcPr>
          <w:p w14:paraId="0E95399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375" w:type="dxa"/>
            <w:tcBorders>
              <w:top w:val="single" w:sz="4" w:space="0" w:color="auto"/>
              <w:left w:val="single" w:sz="4" w:space="0" w:color="auto"/>
              <w:bottom w:val="single" w:sz="4" w:space="0" w:color="auto"/>
              <w:right w:val="single" w:sz="4" w:space="0" w:color="auto"/>
            </w:tcBorders>
            <w:hideMark/>
          </w:tcPr>
          <w:p w14:paraId="0DD0234A"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425" w:type="dxa"/>
            <w:tcBorders>
              <w:top w:val="single" w:sz="4" w:space="0" w:color="auto"/>
              <w:left w:val="single" w:sz="4" w:space="0" w:color="auto"/>
              <w:bottom w:val="single" w:sz="4" w:space="0" w:color="auto"/>
              <w:right w:val="single" w:sz="4" w:space="0" w:color="auto"/>
            </w:tcBorders>
          </w:tcPr>
          <w:p w14:paraId="04E68CE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345" w:type="dxa"/>
            <w:tcBorders>
              <w:top w:val="single" w:sz="4" w:space="0" w:color="auto"/>
              <w:left w:val="single" w:sz="4" w:space="0" w:color="auto"/>
              <w:bottom w:val="single" w:sz="4" w:space="0" w:color="auto"/>
              <w:right w:val="single" w:sz="4" w:space="0" w:color="auto"/>
            </w:tcBorders>
            <w:hideMark/>
          </w:tcPr>
          <w:p w14:paraId="1BB8242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r>
      <w:tr w:rsidR="00903326" w14:paraId="398A2A67"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6E79E19F"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Year FE</w:t>
            </w:r>
          </w:p>
        </w:tc>
        <w:tc>
          <w:tcPr>
            <w:tcW w:w="1248" w:type="dxa"/>
            <w:tcBorders>
              <w:top w:val="single" w:sz="4" w:space="0" w:color="auto"/>
              <w:left w:val="single" w:sz="4" w:space="0" w:color="auto"/>
              <w:bottom w:val="single" w:sz="4" w:space="0" w:color="auto"/>
              <w:right w:val="single" w:sz="4" w:space="0" w:color="auto"/>
            </w:tcBorders>
          </w:tcPr>
          <w:p w14:paraId="54D17DA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375" w:type="dxa"/>
            <w:tcBorders>
              <w:top w:val="single" w:sz="4" w:space="0" w:color="auto"/>
              <w:left w:val="single" w:sz="4" w:space="0" w:color="auto"/>
              <w:bottom w:val="single" w:sz="4" w:space="0" w:color="auto"/>
              <w:right w:val="single" w:sz="4" w:space="0" w:color="auto"/>
            </w:tcBorders>
            <w:hideMark/>
          </w:tcPr>
          <w:p w14:paraId="03CD9DC6"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425" w:type="dxa"/>
            <w:tcBorders>
              <w:top w:val="single" w:sz="4" w:space="0" w:color="auto"/>
              <w:left w:val="single" w:sz="4" w:space="0" w:color="auto"/>
              <w:bottom w:val="single" w:sz="4" w:space="0" w:color="auto"/>
              <w:right w:val="single" w:sz="4" w:space="0" w:color="auto"/>
            </w:tcBorders>
          </w:tcPr>
          <w:p w14:paraId="022A7A51"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345" w:type="dxa"/>
            <w:tcBorders>
              <w:top w:val="single" w:sz="4" w:space="0" w:color="auto"/>
              <w:left w:val="single" w:sz="4" w:space="0" w:color="auto"/>
              <w:bottom w:val="single" w:sz="4" w:space="0" w:color="auto"/>
              <w:right w:val="single" w:sz="4" w:space="0" w:color="auto"/>
            </w:tcBorders>
            <w:hideMark/>
          </w:tcPr>
          <w:p w14:paraId="32A3308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r>
      <w:tr w:rsidR="00903326" w14:paraId="0852F3CB"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04897D1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Constant</w:t>
            </w:r>
          </w:p>
        </w:tc>
        <w:tc>
          <w:tcPr>
            <w:tcW w:w="1248" w:type="dxa"/>
            <w:tcBorders>
              <w:top w:val="single" w:sz="4" w:space="0" w:color="auto"/>
              <w:left w:val="single" w:sz="4" w:space="0" w:color="auto"/>
              <w:bottom w:val="single" w:sz="4" w:space="0" w:color="auto"/>
              <w:right w:val="single" w:sz="4" w:space="0" w:color="auto"/>
            </w:tcBorders>
            <w:hideMark/>
          </w:tcPr>
          <w:p w14:paraId="2990ED1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1.883***</w:t>
            </w:r>
          </w:p>
        </w:tc>
        <w:tc>
          <w:tcPr>
            <w:tcW w:w="1375" w:type="dxa"/>
            <w:tcBorders>
              <w:top w:val="single" w:sz="4" w:space="0" w:color="auto"/>
              <w:left w:val="single" w:sz="4" w:space="0" w:color="auto"/>
              <w:bottom w:val="single" w:sz="4" w:space="0" w:color="auto"/>
              <w:right w:val="single" w:sz="4" w:space="0" w:color="auto"/>
            </w:tcBorders>
            <w:hideMark/>
          </w:tcPr>
          <w:p w14:paraId="37E4705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2.341***</w:t>
            </w:r>
          </w:p>
        </w:tc>
        <w:tc>
          <w:tcPr>
            <w:tcW w:w="1425" w:type="dxa"/>
            <w:tcBorders>
              <w:top w:val="single" w:sz="4" w:space="0" w:color="auto"/>
              <w:left w:val="single" w:sz="4" w:space="0" w:color="auto"/>
              <w:bottom w:val="single" w:sz="4" w:space="0" w:color="auto"/>
              <w:right w:val="single" w:sz="4" w:space="0" w:color="auto"/>
            </w:tcBorders>
            <w:hideMark/>
          </w:tcPr>
          <w:p w14:paraId="51B74D91"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0.566***</w:t>
            </w:r>
          </w:p>
        </w:tc>
        <w:tc>
          <w:tcPr>
            <w:tcW w:w="1345" w:type="dxa"/>
            <w:tcBorders>
              <w:top w:val="single" w:sz="4" w:space="0" w:color="auto"/>
              <w:left w:val="single" w:sz="4" w:space="0" w:color="auto"/>
              <w:bottom w:val="single" w:sz="4" w:space="0" w:color="auto"/>
              <w:right w:val="single" w:sz="4" w:space="0" w:color="auto"/>
            </w:tcBorders>
            <w:hideMark/>
          </w:tcPr>
          <w:p w14:paraId="00278CD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0.177***</w:t>
            </w:r>
          </w:p>
        </w:tc>
      </w:tr>
      <w:tr w:rsidR="00903326" w14:paraId="6C70F8DE"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tcPr>
          <w:p w14:paraId="715F647F"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248" w:type="dxa"/>
            <w:tcBorders>
              <w:top w:val="single" w:sz="4" w:space="0" w:color="auto"/>
              <w:left w:val="single" w:sz="4" w:space="0" w:color="auto"/>
              <w:bottom w:val="single" w:sz="4" w:space="0" w:color="auto"/>
              <w:right w:val="single" w:sz="4" w:space="0" w:color="auto"/>
            </w:tcBorders>
            <w:hideMark/>
          </w:tcPr>
          <w:p w14:paraId="739F5BBA"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(5.112)</w:t>
            </w:r>
          </w:p>
        </w:tc>
        <w:tc>
          <w:tcPr>
            <w:tcW w:w="1375" w:type="dxa"/>
            <w:tcBorders>
              <w:top w:val="single" w:sz="4" w:space="0" w:color="auto"/>
              <w:left w:val="single" w:sz="4" w:space="0" w:color="auto"/>
              <w:bottom w:val="single" w:sz="4" w:space="0" w:color="auto"/>
              <w:right w:val="single" w:sz="4" w:space="0" w:color="auto"/>
            </w:tcBorders>
            <w:hideMark/>
          </w:tcPr>
          <w:p w14:paraId="438EEC60"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(7.711)</w:t>
            </w:r>
          </w:p>
        </w:tc>
        <w:tc>
          <w:tcPr>
            <w:tcW w:w="1425" w:type="dxa"/>
            <w:tcBorders>
              <w:top w:val="single" w:sz="4" w:space="0" w:color="auto"/>
              <w:left w:val="single" w:sz="4" w:space="0" w:color="auto"/>
              <w:bottom w:val="single" w:sz="4" w:space="0" w:color="auto"/>
              <w:right w:val="single" w:sz="4" w:space="0" w:color="auto"/>
            </w:tcBorders>
            <w:hideMark/>
          </w:tcPr>
          <w:p w14:paraId="5D0EF7D0"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(3.109)</w:t>
            </w:r>
          </w:p>
        </w:tc>
        <w:tc>
          <w:tcPr>
            <w:tcW w:w="1345" w:type="dxa"/>
            <w:tcBorders>
              <w:top w:val="single" w:sz="4" w:space="0" w:color="auto"/>
              <w:left w:val="single" w:sz="4" w:space="0" w:color="auto"/>
              <w:bottom w:val="single" w:sz="4" w:space="0" w:color="auto"/>
              <w:right w:val="single" w:sz="4" w:space="0" w:color="auto"/>
            </w:tcBorders>
            <w:hideMark/>
          </w:tcPr>
          <w:p w14:paraId="2245D7B5"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(2.981)</w:t>
            </w:r>
          </w:p>
        </w:tc>
      </w:tr>
      <w:tr w:rsidR="00903326" w14:paraId="1293D1F1"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45084CB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Observations</w:t>
            </w:r>
          </w:p>
        </w:tc>
        <w:tc>
          <w:tcPr>
            <w:tcW w:w="1248" w:type="dxa"/>
            <w:tcBorders>
              <w:top w:val="single" w:sz="4" w:space="0" w:color="auto"/>
              <w:left w:val="single" w:sz="4" w:space="0" w:color="auto"/>
              <w:bottom w:val="single" w:sz="4" w:space="0" w:color="auto"/>
              <w:right w:val="single" w:sz="4" w:space="0" w:color="auto"/>
            </w:tcBorders>
            <w:hideMark/>
          </w:tcPr>
          <w:p w14:paraId="6A74E4A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1904</w:t>
            </w:r>
          </w:p>
        </w:tc>
        <w:tc>
          <w:tcPr>
            <w:tcW w:w="1375" w:type="dxa"/>
            <w:tcBorders>
              <w:top w:val="single" w:sz="4" w:space="0" w:color="auto"/>
              <w:left w:val="single" w:sz="4" w:space="0" w:color="auto"/>
              <w:bottom w:val="single" w:sz="4" w:space="0" w:color="auto"/>
              <w:right w:val="single" w:sz="4" w:space="0" w:color="auto"/>
            </w:tcBorders>
            <w:hideMark/>
          </w:tcPr>
          <w:p w14:paraId="2175778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sidRPr="002D1D31">
              <w:rPr>
                <w:rFonts w:ascii="Times New Roman" w:hAnsi="Times New Roman" w:cs="Times New Roman"/>
                <w:sz w:val="20"/>
                <w:szCs w:val="20"/>
              </w:rPr>
              <w:t>1904</w:t>
            </w:r>
          </w:p>
        </w:tc>
        <w:tc>
          <w:tcPr>
            <w:tcW w:w="1425" w:type="dxa"/>
            <w:tcBorders>
              <w:top w:val="single" w:sz="4" w:space="0" w:color="auto"/>
              <w:left w:val="single" w:sz="4" w:space="0" w:color="auto"/>
              <w:bottom w:val="single" w:sz="4" w:space="0" w:color="auto"/>
              <w:right w:val="single" w:sz="4" w:space="0" w:color="auto"/>
            </w:tcBorders>
            <w:hideMark/>
          </w:tcPr>
          <w:p w14:paraId="32780044"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sidRPr="002D1D31">
              <w:rPr>
                <w:rFonts w:ascii="Times New Roman" w:hAnsi="Times New Roman" w:cs="Times New Roman"/>
                <w:sz w:val="20"/>
                <w:szCs w:val="20"/>
              </w:rPr>
              <w:t>1904</w:t>
            </w:r>
          </w:p>
        </w:tc>
        <w:tc>
          <w:tcPr>
            <w:tcW w:w="1345" w:type="dxa"/>
            <w:tcBorders>
              <w:top w:val="single" w:sz="4" w:space="0" w:color="auto"/>
              <w:left w:val="single" w:sz="4" w:space="0" w:color="auto"/>
              <w:bottom w:val="single" w:sz="4" w:space="0" w:color="auto"/>
              <w:right w:val="single" w:sz="4" w:space="0" w:color="auto"/>
            </w:tcBorders>
            <w:hideMark/>
          </w:tcPr>
          <w:p w14:paraId="40AEF25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sidRPr="002D1D31">
              <w:rPr>
                <w:rFonts w:ascii="Times New Roman" w:hAnsi="Times New Roman" w:cs="Times New Roman"/>
                <w:sz w:val="20"/>
                <w:szCs w:val="20"/>
              </w:rPr>
              <w:t>1904</w:t>
            </w:r>
          </w:p>
        </w:tc>
      </w:tr>
      <w:tr w:rsidR="00903326" w14:paraId="0045C1A6" w14:textId="77777777" w:rsidTr="00A366BF">
        <w:trPr>
          <w:trHeight w:val="217"/>
          <w:jc w:val="center"/>
        </w:trPr>
        <w:tc>
          <w:tcPr>
            <w:tcW w:w="2032" w:type="dxa"/>
            <w:tcBorders>
              <w:top w:val="single" w:sz="4" w:space="0" w:color="auto"/>
              <w:left w:val="single" w:sz="4" w:space="0" w:color="auto"/>
              <w:bottom w:val="single" w:sz="4" w:space="0" w:color="auto"/>
              <w:right w:val="single" w:sz="4" w:space="0" w:color="auto"/>
            </w:tcBorders>
            <w:hideMark/>
          </w:tcPr>
          <w:p w14:paraId="4BE9D853"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R-squared</w:t>
            </w:r>
          </w:p>
        </w:tc>
        <w:tc>
          <w:tcPr>
            <w:tcW w:w="1248" w:type="dxa"/>
            <w:tcBorders>
              <w:top w:val="single" w:sz="4" w:space="0" w:color="auto"/>
              <w:left w:val="single" w:sz="4" w:space="0" w:color="auto"/>
              <w:bottom w:val="single" w:sz="4" w:space="0" w:color="auto"/>
              <w:right w:val="single" w:sz="4" w:space="0" w:color="auto"/>
            </w:tcBorders>
            <w:hideMark/>
          </w:tcPr>
          <w:p w14:paraId="651CD6D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0.454</w:t>
            </w:r>
          </w:p>
        </w:tc>
        <w:tc>
          <w:tcPr>
            <w:tcW w:w="1375" w:type="dxa"/>
            <w:tcBorders>
              <w:top w:val="single" w:sz="4" w:space="0" w:color="auto"/>
              <w:left w:val="single" w:sz="4" w:space="0" w:color="auto"/>
              <w:bottom w:val="single" w:sz="4" w:space="0" w:color="auto"/>
              <w:right w:val="single" w:sz="4" w:space="0" w:color="auto"/>
            </w:tcBorders>
            <w:hideMark/>
          </w:tcPr>
          <w:p w14:paraId="1E6A1AFF"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0.345</w:t>
            </w:r>
          </w:p>
        </w:tc>
        <w:tc>
          <w:tcPr>
            <w:tcW w:w="1425" w:type="dxa"/>
            <w:tcBorders>
              <w:top w:val="single" w:sz="4" w:space="0" w:color="auto"/>
              <w:left w:val="single" w:sz="4" w:space="0" w:color="auto"/>
              <w:bottom w:val="single" w:sz="4" w:space="0" w:color="auto"/>
              <w:right w:val="single" w:sz="4" w:space="0" w:color="auto"/>
            </w:tcBorders>
            <w:hideMark/>
          </w:tcPr>
          <w:p w14:paraId="679A60E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0.321</w:t>
            </w:r>
          </w:p>
        </w:tc>
        <w:tc>
          <w:tcPr>
            <w:tcW w:w="1345" w:type="dxa"/>
            <w:tcBorders>
              <w:top w:val="single" w:sz="4" w:space="0" w:color="auto"/>
              <w:left w:val="single" w:sz="4" w:space="0" w:color="auto"/>
              <w:bottom w:val="single" w:sz="4" w:space="0" w:color="auto"/>
              <w:right w:val="single" w:sz="4" w:space="0" w:color="auto"/>
            </w:tcBorders>
            <w:hideMark/>
          </w:tcPr>
          <w:p w14:paraId="28848DEF"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0.281</w:t>
            </w:r>
          </w:p>
        </w:tc>
      </w:tr>
      <w:tr w:rsidR="00903326" w14:paraId="7325D02E" w14:textId="77777777" w:rsidTr="00A366BF">
        <w:trPr>
          <w:trHeight w:val="651"/>
          <w:jc w:val="center"/>
        </w:trPr>
        <w:tc>
          <w:tcPr>
            <w:tcW w:w="7425" w:type="dxa"/>
            <w:gridSpan w:val="5"/>
            <w:tcBorders>
              <w:top w:val="single" w:sz="4" w:space="0" w:color="auto"/>
              <w:left w:val="single" w:sz="4" w:space="0" w:color="auto"/>
              <w:bottom w:val="single" w:sz="4" w:space="0" w:color="auto"/>
              <w:right w:val="single" w:sz="4" w:space="0" w:color="auto"/>
            </w:tcBorders>
            <w:hideMark/>
          </w:tcPr>
          <w:p w14:paraId="0F22BD26" w14:textId="77777777" w:rsidR="00903326" w:rsidRDefault="00903326" w:rsidP="00A366BF">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Note: Treatment group consists of banks located in countries that experienced significant unrest during the Arab Spring (e.g., Egypt, Tunisia),  while banks in the remaining MENA countries (e.g., Bahrain, Qatar) form the control group (exposed vs. non-exposed banks).</w:t>
            </w:r>
          </w:p>
          <w:p w14:paraId="42BF04FE" w14:textId="77777777" w:rsidR="00903326" w:rsidRDefault="00903326" w:rsidP="00A366BF">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 xml:space="preserve">Time equals 1 for observations from 2011 to 2013, capturing the Arab Spring period, and 0 otherwise. </w:t>
            </w:r>
          </w:p>
          <w:p w14:paraId="352F503C" w14:textId="77777777" w:rsidR="00903326" w:rsidRDefault="00903326" w:rsidP="00A366BF">
            <w:pPr>
              <w:widowControl w:val="0"/>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szCs w:val="20"/>
              </w:rPr>
              <w:t>Robust standard errors clustered at the bank level are shown in parentheses. *** indicates significance at the 1 % level; ** at the 5 % level; * at the 10 % level.</w:t>
            </w:r>
          </w:p>
        </w:tc>
      </w:tr>
    </w:tbl>
    <w:p w14:paraId="5349573F" w14:textId="77777777" w:rsidR="00903326" w:rsidRDefault="00903326" w:rsidP="00D06EBD">
      <w:pPr>
        <w:spacing w:before="120" w:after="120" w:line="360" w:lineRule="auto"/>
        <w:ind w:firstLine="360"/>
        <w:jc w:val="both"/>
        <w:rPr>
          <w:rFonts w:ascii="Times New Roman" w:eastAsia="Times New Roman" w:hAnsi="Times New Roman" w:cs="Times New Roman"/>
          <w:sz w:val="24"/>
          <w:szCs w:val="24"/>
        </w:rPr>
      </w:pPr>
    </w:p>
    <w:p w14:paraId="1AABE183" w14:textId="77777777" w:rsidR="00903326" w:rsidRDefault="00903326" w:rsidP="00903326">
      <w:pPr>
        <w:pStyle w:val="NormalWeb"/>
        <w:keepNext/>
        <w:spacing w:before="120" w:beforeAutospacing="0" w:after="120" w:afterAutospacing="0"/>
        <w:jc w:val="center"/>
      </w:pPr>
      <w:r>
        <w:rPr>
          <w:noProof/>
        </w:rPr>
        <w:lastRenderedPageBreak/>
        <w:drawing>
          <wp:inline distT="0" distB="0" distL="0" distR="0" wp14:anchorId="77014D68" wp14:editId="47FEFF8E">
            <wp:extent cx="4571379" cy="1963711"/>
            <wp:effectExtent l="0" t="0" r="635" b="0"/>
            <wp:docPr id="1514528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576863" cy="1966067"/>
                    </a:xfrm>
                    <a:prstGeom prst="rect">
                      <a:avLst/>
                    </a:prstGeom>
                    <a:noFill/>
                    <a:ln>
                      <a:noFill/>
                    </a:ln>
                  </pic:spPr>
                </pic:pic>
              </a:graphicData>
            </a:graphic>
          </wp:inline>
        </w:drawing>
      </w:r>
    </w:p>
    <w:p w14:paraId="4EF70ED8" w14:textId="15E3F17E" w:rsidR="00903326" w:rsidRPr="00EA4C10" w:rsidRDefault="00903326" w:rsidP="00903326">
      <w:pPr>
        <w:pStyle w:val="Caption"/>
      </w:pPr>
      <w:r w:rsidRPr="00EA4C10">
        <w:t xml:space="preserve">Figure </w:t>
      </w:r>
      <w:r w:rsidR="00DD79FB">
        <w:t>A</w:t>
      </w:r>
      <w:r w:rsidRPr="00EA4C10">
        <w:t>.  Impact of the Arab Spring on Financial Resilience</w:t>
      </w:r>
      <w:r>
        <w:t xml:space="preserve"> </w:t>
      </w:r>
      <w:r w:rsidRPr="00EA4C10">
        <w:t>via DID</w:t>
      </w:r>
    </w:p>
    <w:p w14:paraId="4724F7F6" w14:textId="77777777" w:rsidR="00D06EBD" w:rsidRDefault="00D06EBD" w:rsidP="00D06EBD">
      <w:pPr>
        <w:pStyle w:val="NormalWeb"/>
        <w:jc w:val="both"/>
        <w:rPr>
          <w:rFonts w:ascii="Times New Roman" w:eastAsia="Times New Roman" w:hAnsi="Times New Roman" w:cs="Times New Roman"/>
        </w:rPr>
      </w:pPr>
      <w:r w:rsidRPr="00AB5866">
        <w:rPr>
          <w:rFonts w:ascii="Times New Roman" w:eastAsia="Times New Roman" w:hAnsi="Times New Roman" w:cs="Times New Roman"/>
        </w:rPr>
        <w:t>The treatment and control groups may differ systematically before the shock, which could introduce selection bias. Therefore, we complement the DID approach with propensity score matching (PSM) and entropy balancing (EB) methods.  DID, PSM, and EB provide a more rigorous identification strategy by reducing observable differences between exposed and non-exposed banks and strengthening the causal interpretation of the relationship between geopolitical shocks and financial resilience.</w:t>
      </w:r>
      <w:r>
        <w:rPr>
          <w:rFonts w:ascii="Times New Roman" w:eastAsia="Times New Roman" w:hAnsi="Times New Roman" w:cs="Times New Roman"/>
        </w:rPr>
        <w:t xml:space="preserve"> </w:t>
      </w:r>
      <w:r w:rsidRPr="00AB5866">
        <w:rPr>
          <w:rFonts w:ascii="Times New Roman" w:eastAsia="Times New Roman" w:hAnsi="Times New Roman" w:cs="Times New Roman"/>
        </w:rPr>
        <w:t>PSM creates a comparable control group by matching treated and untreated banks with similar observable characteristics. The propensity score is defined as the conditional probability of receiving treatment given observed covariates</w:t>
      </w:r>
    </w:p>
    <w:p w14:paraId="7049682A" w14:textId="77777777" w:rsidR="00D06EBD" w:rsidRPr="001641CD" w:rsidRDefault="00D06EBD" w:rsidP="00D06EBD">
      <w:pPr>
        <w:pStyle w:val="NormalWeb"/>
        <w:spacing w:before="120" w:beforeAutospacing="0" w:after="120" w:afterAutospacing="0"/>
        <w:jc w:val="center"/>
      </w:pPr>
      <w:r>
        <w:rPr>
          <w:rFonts w:asciiTheme="majorBidi" w:eastAsia="Times New Roman" w:hAnsiTheme="majorBidi" w:cstheme="majorBidi"/>
          <w:color w:val="000000"/>
        </w:rPr>
        <w:t xml:space="preserve"> </w:t>
      </w:r>
      <m:oMath>
        <m:r>
          <w:rPr>
            <w:rFonts w:ascii="Cambria Math" w:hAnsi="Cambria Math"/>
          </w:rPr>
          <m:t>P(</m:t>
        </m:r>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r>
          <m:rPr>
            <m:sty m:val="p"/>
          </m:rPr>
          <w:rPr>
            <w:rFonts w:ascii="Cambria Math" w:hAnsi="Cambria Math"/>
          </w:rPr>
          <m:t>Pr</m:t>
        </m:r>
        <m:r>
          <w:rPr>
            <w:rFonts w:ascii="Cambria Math" w:hAnsi="Cambria Math"/>
          </w:rPr>
          <m:t>(Trea</m:t>
        </m:r>
        <m:sSub>
          <m:sSubPr>
            <m:ctrlPr>
              <w:rPr>
                <w:rFonts w:ascii="Cambria Math" w:hAnsi="Cambria Math"/>
              </w:rPr>
            </m:ctrlPr>
          </m:sSubPr>
          <m:e>
            <m:r>
              <w:rPr>
                <w:rFonts w:ascii="Cambria Math" w:hAnsi="Cambria Math"/>
              </w:rPr>
              <m:t>t</m:t>
            </m:r>
          </m:e>
          <m:sub>
            <m:r>
              <w:rPr>
                <w:rFonts w:ascii="Cambria Math" w:hAnsi="Cambria Math"/>
              </w:rPr>
              <m:t>i</m:t>
            </m:r>
          </m:sub>
        </m:sSub>
        <m:r>
          <w:rPr>
            <w:rFonts w:ascii="Cambria Math" w:hAnsi="Cambria Math"/>
          </w:rPr>
          <m:t>-1</m:t>
        </m:r>
        <m:d>
          <m:dPr>
            <m:begChr m:val="|"/>
            <m:endChr m:val=""/>
            <m:ctrlPr>
              <w:rPr>
                <w:rFonts w:ascii="Cambria Math" w:hAnsi="Cambria Math"/>
              </w:rPr>
            </m:ctrlPr>
          </m:dPr>
          <m:e>
            <m:d>
              <m:dPr>
                <m:beg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e>
            </m:d>
          </m:e>
        </m:d>
      </m:oMath>
      <w:r>
        <w:t xml:space="preserve"> </w:t>
      </w:r>
      <w:r>
        <w:rPr>
          <w:rFonts w:asciiTheme="majorBidi" w:eastAsia="Times New Roman" w:hAnsiTheme="majorBidi" w:cstheme="majorBidi"/>
          <w:color w:val="000000"/>
        </w:rPr>
        <w:t>(5)</w:t>
      </w:r>
    </w:p>
    <w:p w14:paraId="4B2DFE41" w14:textId="77777777" w:rsidR="00D06EBD" w:rsidRDefault="00D06EBD" w:rsidP="00D06EBD">
      <w:pPr>
        <w:spacing w:before="120" w:after="120" w:line="360" w:lineRule="auto"/>
        <w:ind w:firstLine="360"/>
        <w:jc w:val="both"/>
        <w:rPr>
          <w:rFonts w:asciiTheme="majorBidi" w:hAnsiTheme="majorBidi" w:cstheme="majorBidi"/>
          <w:sz w:val="24"/>
          <w:szCs w:val="24"/>
        </w:rPr>
      </w:pPr>
      <w:r w:rsidRPr="009F61C0">
        <w:rPr>
          <w:rFonts w:asciiTheme="majorBidi" w:hAnsiTheme="majorBidi" w:cstheme="majorBidi"/>
          <w:sz w:val="24"/>
          <w:szCs w:val="24"/>
        </w:rPr>
        <w:t xml:space="preserve">Where </w:t>
      </w:r>
      <m:oMath>
        <m:r>
          <w:rPr>
            <w:rFonts w:ascii="Cambria Math" w:hAnsi="Cambria Math" w:cstheme="majorBidi"/>
            <w:sz w:val="24"/>
            <w:szCs w:val="24"/>
          </w:rPr>
          <m:t>P(</m:t>
        </m:r>
        <m:sSub>
          <m:sSubPr>
            <m:ctrlPr>
              <w:rPr>
                <w:rFonts w:ascii="Cambria Math" w:hAnsi="Cambria Math" w:cstheme="majorBid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r>
          <w:rPr>
            <w:rFonts w:ascii="Cambria Math" w:hAnsi="Cambria Math" w:cstheme="majorBidi"/>
            <w:sz w:val="24"/>
            <w:szCs w:val="24"/>
          </w:rPr>
          <m:t>)</m:t>
        </m:r>
      </m:oMath>
      <w:r>
        <w:rPr>
          <w:rFonts w:asciiTheme="majorBidi" w:eastAsiaTheme="minorEastAsia" w:hAnsiTheme="majorBidi" w:cstheme="majorBidi"/>
          <w:sz w:val="24"/>
          <w:szCs w:val="24"/>
        </w:rPr>
        <w:t xml:space="preserve"> </w:t>
      </w:r>
      <w:r w:rsidRPr="009F61C0">
        <w:rPr>
          <w:rFonts w:asciiTheme="majorBidi" w:hAnsiTheme="majorBidi" w:cstheme="majorBidi"/>
          <w:sz w:val="24"/>
          <w:szCs w:val="24"/>
        </w:rPr>
        <w:t xml:space="preserve">represents the propensity score, </w:t>
      </w:r>
      <m:oMath>
        <m:r>
          <w:rPr>
            <w:rFonts w:ascii="Cambria Math" w:hAnsi="Cambria Math" w:cstheme="majorBidi"/>
            <w:sz w:val="24"/>
            <w:szCs w:val="24"/>
          </w:rPr>
          <m:t>Trea</m:t>
        </m:r>
        <m:sSub>
          <m:sSubPr>
            <m:ctrlPr>
              <w:rPr>
                <w:rFonts w:ascii="Cambria Math" w:hAnsi="Cambria Math" w:cstheme="majorBidi"/>
                <w:sz w:val="24"/>
                <w:szCs w:val="24"/>
              </w:rPr>
            </m:ctrlPr>
          </m:sSubPr>
          <m:e>
            <m:r>
              <w:rPr>
                <w:rFonts w:ascii="Cambria Math" w:hAnsi="Cambria Math" w:cstheme="majorBidi"/>
                <w:sz w:val="24"/>
                <w:szCs w:val="24"/>
              </w:rPr>
              <m:t>t</m:t>
            </m:r>
          </m:e>
          <m:sub>
            <m:r>
              <w:rPr>
                <w:rFonts w:ascii="Cambria Math" w:hAnsi="Cambria Math" w:cstheme="majorBidi"/>
                <w:sz w:val="24"/>
                <w:szCs w:val="24"/>
              </w:rPr>
              <m:t>i</m:t>
            </m:r>
          </m:sub>
        </m:sSub>
      </m:oMath>
      <w:r w:rsidRPr="009F61C0">
        <w:rPr>
          <w:rFonts w:asciiTheme="majorBidi" w:hAnsiTheme="majorBidi" w:cstheme="majorBidi"/>
          <w:sz w:val="24"/>
          <w:szCs w:val="24"/>
        </w:rPr>
        <w:t xml:space="preserve">is the treatment indicator, and </w:t>
      </w:r>
      <m:oMath>
        <m:sSub>
          <m:sSubPr>
            <m:ctrlPr>
              <w:rPr>
                <w:rFonts w:ascii="Cambria Math" w:hAnsi="Cambria Math" w:cstheme="majorBidi"/>
                <w:sz w:val="24"/>
                <w:szCs w:val="24"/>
              </w:rPr>
            </m:ctrlPr>
          </m:sSubPr>
          <m:e>
            <m:r>
              <w:rPr>
                <w:rFonts w:ascii="Cambria Math" w:hAnsi="Cambria Math" w:cstheme="majorBidi"/>
                <w:sz w:val="24"/>
                <w:szCs w:val="24"/>
              </w:rPr>
              <m:t>X</m:t>
            </m:r>
          </m:e>
          <m:sub>
            <m:r>
              <w:rPr>
                <w:rFonts w:ascii="Cambria Math" w:hAnsi="Cambria Math" w:cstheme="majorBidi"/>
                <w:sz w:val="24"/>
                <w:szCs w:val="24"/>
              </w:rPr>
              <m:t>i</m:t>
            </m:r>
          </m:sub>
        </m:sSub>
      </m:oMath>
      <w:r w:rsidRPr="009F61C0">
        <w:rPr>
          <w:rFonts w:asciiTheme="majorBidi" w:hAnsiTheme="majorBidi" w:cstheme="majorBidi"/>
          <w:sz w:val="24"/>
          <w:szCs w:val="24"/>
        </w:rPr>
        <w:t>is a vector of observed bank and country characteristics used for matching.</w:t>
      </w:r>
    </w:p>
    <w:p w14:paraId="3E7FEC23" w14:textId="77777777" w:rsidR="00D06EBD" w:rsidRDefault="00D06EBD" w:rsidP="00D06EBD">
      <w:pPr>
        <w:spacing w:before="120" w:after="120" w:line="360" w:lineRule="auto"/>
        <w:ind w:firstLine="360"/>
        <w:jc w:val="both"/>
        <w:rPr>
          <w:rFonts w:asciiTheme="majorBidi" w:hAnsiTheme="majorBidi" w:cstheme="majorBidi"/>
          <w:sz w:val="24"/>
          <w:szCs w:val="24"/>
        </w:rPr>
      </w:pPr>
      <w:r w:rsidRPr="00577405">
        <w:rPr>
          <w:rFonts w:asciiTheme="majorBidi" w:hAnsiTheme="majorBidi" w:cstheme="majorBidi"/>
          <w:sz w:val="24"/>
          <w:szCs w:val="24"/>
        </w:rPr>
        <w:t>In addition, we apply entropy balancing to improve covariate balance between treatment and control groups. Unlike traditional matching methods, entropy balancing directly assigns weights to control observations so that the weighted moments of covariates match those of the treated group. The optimization problem can be expressed as:</w:t>
      </w:r>
    </w:p>
    <w:p w14:paraId="4C92E377" w14:textId="77777777" w:rsidR="00D06EBD" w:rsidRDefault="00D06EBD" w:rsidP="00D06EBD">
      <w:pPr>
        <w:spacing w:before="120" w:after="120" w:line="360" w:lineRule="auto"/>
        <w:ind w:firstLine="360"/>
        <w:jc w:val="center"/>
        <w:rPr>
          <w:rFonts w:asciiTheme="majorBidi" w:eastAsia="Times New Roman" w:hAnsiTheme="majorBidi" w:cstheme="majorBidi"/>
          <w:color w:val="000000"/>
          <w:sz w:val="24"/>
          <w:szCs w:val="24"/>
        </w:rPr>
      </w:pPr>
      <m:oMath>
        <m:limLow>
          <m:limLowPr>
            <m:ctrlPr>
              <w:rPr>
                <w:rFonts w:ascii="Cambria Math" w:eastAsia="Times New Roman" w:hAnsi="Cambria Math" w:cstheme="majorBidi"/>
                <w:color w:val="000000"/>
                <w:sz w:val="24"/>
                <w:szCs w:val="24"/>
              </w:rPr>
            </m:ctrlPr>
          </m:limLowPr>
          <m:e>
            <m:r>
              <m:rPr>
                <m:sty m:val="p"/>
              </m:rPr>
              <w:rPr>
                <w:rFonts w:ascii="Cambria Math" w:eastAsia="Times New Roman" w:hAnsi="Cambria Math" w:cstheme="majorBidi"/>
                <w:color w:val="000000"/>
                <w:sz w:val="24"/>
                <w:szCs w:val="24"/>
              </w:rPr>
              <m:t>min</m:t>
            </m:r>
          </m:e>
          <m:lim>
            <m:sSub>
              <m:sSubPr>
                <m:ctrlPr>
                  <w:rPr>
                    <w:rFonts w:ascii="Cambria Math" w:eastAsia="Times New Roman" w:hAnsi="Cambria Math" w:cstheme="majorBidi"/>
                    <w:color w:val="000000"/>
                    <w:sz w:val="24"/>
                    <w:szCs w:val="24"/>
                  </w:rPr>
                </m:ctrlPr>
              </m:sSubPr>
              <m:e>
                <m:r>
                  <w:rPr>
                    <w:rFonts w:ascii="Cambria Math" w:eastAsia="Times New Roman" w:hAnsi="Cambria Math" w:cstheme="majorBidi"/>
                    <w:color w:val="000000"/>
                    <w:sz w:val="24"/>
                    <w:szCs w:val="24"/>
                  </w:rPr>
                  <m:t>w</m:t>
                </m:r>
              </m:e>
              <m:sub>
                <m:r>
                  <w:rPr>
                    <w:rFonts w:ascii="Cambria Math" w:eastAsia="Times New Roman" w:hAnsi="Cambria Math" w:cstheme="majorBidi"/>
                    <w:color w:val="000000"/>
                    <w:sz w:val="24"/>
                    <w:szCs w:val="24"/>
                  </w:rPr>
                  <m:t>i</m:t>
                </m:r>
              </m:sub>
            </m:sSub>
          </m:lim>
        </m:limLow>
        <m:nary>
          <m:naryPr>
            <m:chr m:val="∑"/>
            <m:limLoc m:val="undOvr"/>
            <m:grow m:val="1"/>
            <m:supHide m:val="1"/>
            <m:ctrlPr>
              <w:rPr>
                <w:rFonts w:ascii="Cambria Math" w:eastAsia="Times New Roman" w:hAnsi="Cambria Math" w:cstheme="majorBidi"/>
                <w:color w:val="000000"/>
                <w:sz w:val="24"/>
                <w:szCs w:val="24"/>
              </w:rPr>
            </m:ctrlPr>
          </m:naryPr>
          <m:sub>
            <m:r>
              <w:rPr>
                <w:rFonts w:ascii="Cambria Math" w:eastAsia="Times New Roman" w:hAnsi="Cambria Math" w:cstheme="majorBidi"/>
                <w:color w:val="000000"/>
                <w:sz w:val="24"/>
                <w:szCs w:val="24"/>
              </w:rPr>
              <m:t>i∈c</m:t>
            </m:r>
          </m:sub>
          <m:sup/>
          <m:e>
            <m:sSub>
              <m:sSubPr>
                <m:ctrlPr>
                  <w:rPr>
                    <w:rFonts w:ascii="Cambria Math" w:eastAsia="Times New Roman" w:hAnsi="Cambria Math" w:cstheme="majorBidi"/>
                    <w:color w:val="000000"/>
                    <w:sz w:val="24"/>
                    <w:szCs w:val="24"/>
                  </w:rPr>
                </m:ctrlPr>
              </m:sSubPr>
              <m:e>
                <m:r>
                  <w:rPr>
                    <w:rFonts w:ascii="Cambria Math" w:eastAsia="Times New Roman" w:hAnsi="Cambria Math" w:cstheme="majorBidi"/>
                    <w:color w:val="000000"/>
                    <w:sz w:val="24"/>
                    <w:szCs w:val="24"/>
                  </w:rPr>
                  <m:t>w</m:t>
                </m:r>
              </m:e>
              <m:sub>
                <m:r>
                  <w:rPr>
                    <w:rFonts w:ascii="Cambria Math" w:eastAsia="Times New Roman" w:hAnsi="Cambria Math" w:cstheme="majorBidi"/>
                    <w:color w:val="000000"/>
                    <w:sz w:val="24"/>
                    <w:szCs w:val="24"/>
                  </w:rPr>
                  <m:t>i</m:t>
                </m:r>
              </m:sub>
            </m:sSub>
            <m:r>
              <m:rPr>
                <m:sty m:val="p"/>
              </m:rPr>
              <w:rPr>
                <w:rFonts w:ascii="Cambria Math" w:eastAsia="Times New Roman" w:hAnsi="Cambria Math" w:cstheme="majorBidi"/>
                <w:color w:val="000000"/>
                <w:sz w:val="24"/>
                <w:szCs w:val="24"/>
              </w:rPr>
              <m:t>ln</m:t>
            </m:r>
            <m:r>
              <w:rPr>
                <w:rFonts w:ascii="Cambria Math" w:eastAsia="Times New Roman" w:hAnsi="Cambria Math" w:cstheme="majorBidi"/>
                <w:color w:val="000000"/>
                <w:sz w:val="24"/>
                <w:szCs w:val="24"/>
              </w:rPr>
              <m:t>(</m:t>
            </m:r>
            <m:sSub>
              <m:sSubPr>
                <m:ctrlPr>
                  <w:rPr>
                    <w:rFonts w:ascii="Cambria Math" w:eastAsia="Times New Roman" w:hAnsi="Cambria Math" w:cstheme="majorBidi"/>
                    <w:color w:val="000000"/>
                    <w:sz w:val="24"/>
                    <w:szCs w:val="24"/>
                  </w:rPr>
                </m:ctrlPr>
              </m:sSubPr>
              <m:e>
                <m:r>
                  <w:rPr>
                    <w:rFonts w:ascii="Cambria Math" w:eastAsia="Times New Roman" w:hAnsi="Cambria Math" w:cstheme="majorBidi"/>
                    <w:color w:val="000000"/>
                    <w:sz w:val="24"/>
                    <w:szCs w:val="24"/>
                  </w:rPr>
                  <m:t>w</m:t>
                </m:r>
              </m:e>
              <m:sub>
                <m:r>
                  <w:rPr>
                    <w:rFonts w:ascii="Cambria Math" w:eastAsia="Times New Roman" w:hAnsi="Cambria Math" w:cstheme="majorBidi"/>
                    <w:color w:val="000000"/>
                    <w:sz w:val="24"/>
                    <w:szCs w:val="24"/>
                  </w:rPr>
                  <m:t>i</m:t>
                </m:r>
              </m:sub>
            </m:sSub>
            <m:r>
              <w:rPr>
                <w:rFonts w:ascii="Cambria Math" w:eastAsia="Times New Roman" w:hAnsi="Cambria Math" w:cstheme="majorBidi"/>
                <w:color w:val="000000"/>
                <w:sz w:val="24"/>
                <w:szCs w:val="24"/>
              </w:rPr>
              <m:t>)</m:t>
            </m:r>
          </m:e>
        </m:nary>
      </m:oMath>
      <w:r>
        <w:rPr>
          <w:rFonts w:asciiTheme="majorBidi" w:eastAsia="Times New Roman" w:hAnsiTheme="majorBidi" w:cstheme="majorBidi"/>
          <w:color w:val="000000"/>
          <w:sz w:val="24"/>
          <w:szCs w:val="24"/>
        </w:rPr>
        <w:t xml:space="preserve"> (6)</w:t>
      </w:r>
    </w:p>
    <w:p w14:paraId="3A2D2386" w14:textId="77777777" w:rsidR="00D06EBD" w:rsidRDefault="00D06EBD" w:rsidP="00D06EBD">
      <w:pPr>
        <w:spacing w:before="120" w:after="120" w:line="360" w:lineRule="auto"/>
        <w:ind w:firstLine="360"/>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S</w:t>
      </w:r>
      <w:r w:rsidRPr="008A1E06">
        <w:rPr>
          <w:rFonts w:asciiTheme="majorBidi" w:eastAsia="Times New Roman" w:hAnsiTheme="majorBidi" w:cstheme="majorBidi"/>
          <w:color w:val="000000"/>
          <w:sz w:val="24"/>
          <w:szCs w:val="24"/>
        </w:rPr>
        <w:t>ubject to:</w:t>
      </w:r>
    </w:p>
    <w:p w14:paraId="70B8969B" w14:textId="77777777" w:rsidR="00D06EBD" w:rsidRDefault="00D06EBD" w:rsidP="00D06EBD">
      <w:pPr>
        <w:spacing w:before="120" w:after="120" w:line="360" w:lineRule="auto"/>
        <w:ind w:firstLine="360"/>
        <w:jc w:val="center"/>
        <w:rPr>
          <w:rFonts w:asciiTheme="majorBidi" w:eastAsia="Times New Roman" w:hAnsiTheme="majorBidi" w:cstheme="majorBidi"/>
          <w:color w:val="000000"/>
          <w:sz w:val="24"/>
          <w:szCs w:val="24"/>
        </w:rPr>
      </w:pPr>
      <m:oMath>
        <m:sSubSup>
          <m:sSubSupPr>
            <m:ctrlPr>
              <w:rPr>
                <w:rFonts w:ascii="Cambria Math" w:eastAsia="Times New Roman" w:hAnsi="Cambria Math" w:cstheme="majorBidi"/>
                <w:color w:val="000000"/>
                <w:sz w:val="24"/>
                <w:szCs w:val="24"/>
              </w:rPr>
            </m:ctrlPr>
          </m:sSubSupPr>
          <m:e>
            <m:nary>
              <m:naryPr>
                <m:chr m:val="∑"/>
                <m:limLoc m:val="undOvr"/>
                <m:grow m:val="1"/>
                <m:supHide m:val="1"/>
                <m:ctrlPr>
                  <w:rPr>
                    <w:rFonts w:ascii="Cambria Math" w:eastAsia="Times New Roman" w:hAnsi="Cambria Math" w:cstheme="majorBidi"/>
                    <w:color w:val="000000"/>
                    <w:sz w:val="24"/>
                    <w:szCs w:val="24"/>
                  </w:rPr>
                </m:ctrlPr>
              </m:naryPr>
              <m:sub>
                <m:r>
                  <w:rPr>
                    <w:rFonts w:ascii="Cambria Math" w:eastAsia="Times New Roman" w:hAnsi="Cambria Math" w:cstheme="majorBidi"/>
                    <w:color w:val="000000"/>
                    <w:sz w:val="24"/>
                    <w:szCs w:val="24"/>
                  </w:rPr>
                  <m:t>i∈c</m:t>
                </m:r>
              </m:sub>
              <m:sup/>
              <m:e>
                <m:sSub>
                  <m:sSubPr>
                    <m:ctrlPr>
                      <w:rPr>
                        <w:rFonts w:ascii="Cambria Math" w:eastAsia="Times New Roman" w:hAnsi="Cambria Math" w:cstheme="majorBidi"/>
                        <w:color w:val="000000"/>
                        <w:sz w:val="24"/>
                        <w:szCs w:val="24"/>
                      </w:rPr>
                    </m:ctrlPr>
                  </m:sSubPr>
                  <m:e>
                    <m:r>
                      <w:rPr>
                        <w:rFonts w:ascii="Cambria Math" w:eastAsia="Times New Roman" w:hAnsi="Cambria Math" w:cstheme="majorBidi"/>
                        <w:color w:val="000000"/>
                        <w:sz w:val="24"/>
                        <w:szCs w:val="24"/>
                      </w:rPr>
                      <m:t>w</m:t>
                    </m:r>
                  </m:e>
                  <m:sub>
                    <m:r>
                      <w:rPr>
                        <w:rFonts w:ascii="Cambria Math" w:eastAsia="Times New Roman" w:hAnsi="Cambria Math" w:cstheme="majorBidi"/>
                        <w:color w:val="000000"/>
                        <w:sz w:val="24"/>
                        <w:szCs w:val="24"/>
                      </w:rPr>
                      <m:t>i</m:t>
                    </m:r>
                  </m:sub>
                </m:sSub>
                <m:sSub>
                  <m:sSubPr>
                    <m:ctrlPr>
                      <w:rPr>
                        <w:rFonts w:ascii="Cambria Math" w:eastAsia="Times New Roman" w:hAnsi="Cambria Math" w:cstheme="majorBidi"/>
                        <w:color w:val="000000"/>
                        <w:sz w:val="24"/>
                        <w:szCs w:val="24"/>
                      </w:rPr>
                    </m:ctrlPr>
                  </m:sSubPr>
                  <m:e>
                    <m:r>
                      <w:rPr>
                        <w:rFonts w:ascii="Cambria Math" w:eastAsia="Times New Roman" w:hAnsi="Cambria Math" w:cstheme="majorBidi"/>
                        <w:color w:val="000000"/>
                        <w:sz w:val="24"/>
                        <w:szCs w:val="24"/>
                      </w:rPr>
                      <m:t>X</m:t>
                    </m:r>
                  </m:e>
                  <m:sub>
                    <m:r>
                      <w:rPr>
                        <w:rFonts w:ascii="Cambria Math" w:eastAsia="Times New Roman" w:hAnsi="Cambria Math" w:cstheme="majorBidi"/>
                        <w:color w:val="000000"/>
                        <w:sz w:val="24"/>
                        <w:szCs w:val="24"/>
                      </w:rPr>
                      <m:t>ik</m:t>
                    </m:r>
                  </m:sub>
                </m:sSub>
                <m:r>
                  <w:rPr>
                    <w:rFonts w:ascii="Cambria Math" w:eastAsia="Times New Roman" w:hAnsi="Cambria Math" w:cstheme="majorBidi"/>
                    <w:color w:val="000000"/>
                    <w:sz w:val="24"/>
                    <w:szCs w:val="24"/>
                  </w:rPr>
                  <m:t>=</m:t>
                </m:r>
                <m:acc>
                  <m:accPr>
                    <m:chr m:val="̅"/>
                    <m:ctrlPr>
                      <w:rPr>
                        <w:rFonts w:ascii="Cambria Math" w:eastAsia="Times New Roman" w:hAnsi="Cambria Math" w:cstheme="majorBidi"/>
                        <w:color w:val="000000"/>
                        <w:sz w:val="24"/>
                        <w:szCs w:val="24"/>
                      </w:rPr>
                    </m:ctrlPr>
                  </m:accPr>
                  <m:e>
                    <m:r>
                      <w:rPr>
                        <w:rFonts w:ascii="Cambria Math" w:eastAsia="Times New Roman" w:hAnsi="Cambria Math" w:cstheme="majorBidi"/>
                        <w:color w:val="000000"/>
                        <w:sz w:val="24"/>
                        <w:szCs w:val="24"/>
                      </w:rPr>
                      <m:t>X</m:t>
                    </m:r>
                  </m:e>
                </m:acc>
              </m:e>
            </m:nary>
          </m:e>
          <m:sub>
            <m:r>
              <w:rPr>
                <w:rFonts w:ascii="Cambria Math" w:eastAsia="Times New Roman" w:hAnsi="Cambria Math" w:cstheme="majorBidi"/>
                <w:color w:val="000000"/>
                <w:sz w:val="24"/>
                <w:szCs w:val="24"/>
              </w:rPr>
              <m:t>k</m:t>
            </m:r>
          </m:sub>
          <m:sup>
            <m:r>
              <w:rPr>
                <w:rFonts w:ascii="Cambria Math" w:eastAsia="Times New Roman" w:hAnsi="Cambria Math" w:cstheme="majorBidi"/>
                <w:color w:val="000000"/>
                <w:sz w:val="24"/>
                <w:szCs w:val="24"/>
              </w:rPr>
              <m:t>T</m:t>
            </m:r>
          </m:sup>
        </m:sSubSup>
      </m:oMath>
      <w:r>
        <w:rPr>
          <w:rFonts w:asciiTheme="majorBidi" w:eastAsia="Times New Roman" w:hAnsiTheme="majorBidi" w:cstheme="majorBidi"/>
          <w:color w:val="000000"/>
          <w:sz w:val="24"/>
          <w:szCs w:val="24"/>
        </w:rPr>
        <w:t xml:space="preserve"> (7)</w:t>
      </w:r>
    </w:p>
    <w:p w14:paraId="7476AAB9" w14:textId="77777777" w:rsidR="00D06EBD" w:rsidRDefault="00D06EBD" w:rsidP="00D06EBD">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w:t>
      </w:r>
      <w:r w:rsidRPr="008A1E06">
        <w:rPr>
          <w:rFonts w:ascii="Times New Roman" w:eastAsia="Times New Roman" w:hAnsi="Times New Roman" w:cs="Times New Roman"/>
          <w:sz w:val="24"/>
          <w:szCs w:val="24"/>
        </w:rPr>
        <w:t>here</w:t>
      </w:r>
      <w:r>
        <w:rPr>
          <w:rFonts w:ascii="Times New Roman" w:eastAsia="Times New Roman" w:hAnsi="Times New Roman" w:cs="Times New Roman"/>
          <w:sz w:val="24"/>
          <w:szCs w:val="24"/>
        </w:rPr>
        <w:t>:</w:t>
      </w:r>
      <m:oMath>
        <m:r>
          <w:rPr>
            <w:rFonts w:ascii="Cambria Math" w:eastAsia="Times New Roman" w:hAnsi="Cambria Math" w:cs="Times New Roman"/>
            <w:sz w:val="24"/>
            <w:szCs w:val="24"/>
          </w:rPr>
          <m:t>C</m:t>
        </m:r>
      </m:oMath>
      <w:r>
        <w:rPr>
          <w:rFonts w:ascii="Times New Roman" w:eastAsia="Times New Roman" w:hAnsi="Times New Roman" w:cs="Times New Roman"/>
          <w:sz w:val="24"/>
          <w:szCs w:val="24"/>
        </w:rPr>
        <w:t xml:space="preserve"> </w:t>
      </w:r>
      <w:r w:rsidRPr="008A1E06">
        <w:rPr>
          <w:rFonts w:ascii="Times New Roman" w:eastAsia="Times New Roman" w:hAnsi="Times New Roman" w:cs="Times New Roman"/>
          <w:sz w:val="24"/>
          <w:szCs w:val="24"/>
        </w:rPr>
        <w:t xml:space="preserve">represents the set of control observations,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w</m:t>
            </m:r>
          </m:e>
          <m:sub>
            <m:r>
              <w:rPr>
                <w:rFonts w:ascii="Cambria Math" w:eastAsia="Times New Roman" w:hAnsi="Cambria Math" w:cs="Times New Roman"/>
                <w:sz w:val="24"/>
                <w:szCs w:val="24"/>
              </w:rPr>
              <m:t>i</m:t>
            </m:r>
          </m:sub>
        </m:sSub>
        <m:r>
          <w:rPr>
            <w:rFonts w:ascii="Cambria Math" w:eastAsia="Times New Roman" w:hAnsi="Cambria Math" w:cs="Times New Roman"/>
            <w:sz w:val="24"/>
            <w:szCs w:val="24"/>
          </w:rPr>
          <m:t xml:space="preserve"> </m:t>
        </m:r>
      </m:oMath>
      <w:r>
        <w:rPr>
          <w:rFonts w:ascii="Times New Roman" w:eastAsia="Times New Roman" w:hAnsi="Times New Roman" w:cs="Times New Roman"/>
          <w:sz w:val="24"/>
          <w:szCs w:val="24"/>
        </w:rPr>
        <w:t>d</w:t>
      </w:r>
      <w:proofErr w:type="spellStart"/>
      <w:r w:rsidRPr="008A1E06">
        <w:rPr>
          <w:rFonts w:ascii="Times New Roman" w:eastAsia="Times New Roman" w:hAnsi="Times New Roman" w:cs="Times New Roman"/>
          <w:sz w:val="24"/>
          <w:szCs w:val="24"/>
        </w:rPr>
        <w:t>enotes</w:t>
      </w:r>
      <w:proofErr w:type="spellEnd"/>
      <w:r>
        <w:rPr>
          <w:rFonts w:ascii="Times New Roman" w:eastAsia="Times New Roman" w:hAnsi="Times New Roman" w:cs="Times New Roman"/>
          <w:sz w:val="24"/>
          <w:szCs w:val="24"/>
        </w:rPr>
        <w:t xml:space="preserve"> </w:t>
      </w:r>
      <w:r w:rsidRPr="008A1E06">
        <w:rPr>
          <w:rFonts w:ascii="Times New Roman" w:eastAsia="Times New Roman" w:hAnsi="Times New Roman" w:cs="Times New Roman"/>
          <w:sz w:val="24"/>
          <w:szCs w:val="24"/>
        </w:rPr>
        <w:t xml:space="preserve">the entropy-balancing weight assigned to control unit </w:t>
      </w:r>
      <m:oMath>
        <m:r>
          <w:rPr>
            <w:rFonts w:ascii="Cambria Math" w:eastAsia="Times New Roman" w:hAnsi="Cambria Math" w:cs="Times New Roman"/>
            <w:sz w:val="24"/>
            <w:szCs w:val="24"/>
          </w:rPr>
          <m:t>i</m:t>
        </m:r>
      </m:oMath>
      <w:r w:rsidRPr="008A1E06">
        <w:rPr>
          <w:rFonts w:ascii="Times New Roman" w:eastAsia="Times New Roman" w:hAnsi="Times New Roman" w:cs="Times New Roman"/>
          <w:sz w:val="24"/>
          <w:szCs w:val="24"/>
        </w:rPr>
        <w:t xml:space="preserve">, </w:t>
      </w:r>
      <m:oMath>
        <m:sSub>
          <m:sSubPr>
            <m:ctrlPr>
              <w:rPr>
                <w:rFonts w:ascii="Cambria Math" w:eastAsia="Times New Roman" w:hAnsi="Cambria Math" w:cs="Times New Roman"/>
                <w:sz w:val="24"/>
                <w:szCs w:val="24"/>
              </w:rPr>
            </m:ctrlPr>
          </m:sSubPr>
          <m:e>
            <m:r>
              <w:rPr>
                <w:rFonts w:ascii="Cambria Math" w:eastAsia="Times New Roman" w:hAnsi="Cambria Math" w:cs="Times New Roman"/>
                <w:sz w:val="24"/>
                <w:szCs w:val="24"/>
              </w:rPr>
              <m:t>X</m:t>
            </m:r>
          </m:e>
          <m:sub>
            <m:r>
              <w:rPr>
                <w:rFonts w:ascii="Cambria Math" w:eastAsia="Times New Roman" w:hAnsi="Cambria Math" w:cs="Times New Roman"/>
                <w:sz w:val="24"/>
                <w:szCs w:val="24"/>
              </w:rPr>
              <m:t>ik</m:t>
            </m:r>
          </m:sub>
        </m:sSub>
      </m:oMath>
      <w:r>
        <w:rPr>
          <w:rFonts w:ascii="Times New Roman" w:eastAsia="Times New Roman" w:hAnsi="Times New Roman" w:cs="Times New Roman"/>
          <w:sz w:val="24"/>
          <w:szCs w:val="24"/>
        </w:rPr>
        <w:t xml:space="preserve"> </w:t>
      </w:r>
      <w:r w:rsidRPr="008A1E06">
        <w:rPr>
          <w:rFonts w:ascii="Times New Roman" w:eastAsia="Times New Roman" w:hAnsi="Times New Roman" w:cs="Times New Roman"/>
          <w:sz w:val="24"/>
          <w:szCs w:val="24"/>
        </w:rPr>
        <w:t xml:space="preserve">represents the value of covariate </w:t>
      </w:r>
      <m:oMath>
        <m:r>
          <w:rPr>
            <w:rFonts w:ascii="Cambria Math" w:eastAsia="Times New Roman" w:hAnsi="Cambria Math" w:cs="Times New Roman"/>
            <w:sz w:val="24"/>
            <w:szCs w:val="24"/>
          </w:rPr>
          <m:t>k</m:t>
        </m:r>
      </m:oMath>
      <w:r w:rsidRPr="008A1E06">
        <w:rPr>
          <w:rFonts w:ascii="Times New Roman" w:eastAsia="Times New Roman" w:hAnsi="Times New Roman" w:cs="Times New Roman"/>
          <w:sz w:val="24"/>
          <w:szCs w:val="24"/>
        </w:rPr>
        <w:t xml:space="preserve">for control unit </w:t>
      </w:r>
      <m:oMath>
        <m:r>
          <w:rPr>
            <w:rFonts w:ascii="Cambria Math" w:eastAsia="Times New Roman" w:hAnsi="Cambria Math" w:cs="Times New Roman"/>
            <w:sz w:val="24"/>
            <w:szCs w:val="24"/>
          </w:rPr>
          <m:t>i</m:t>
        </m:r>
      </m:oMath>
      <w:r w:rsidRPr="008A1E06">
        <w:rPr>
          <w:rFonts w:ascii="Times New Roman" w:eastAsia="Times New Roman" w:hAnsi="Times New Roman" w:cs="Times New Roman"/>
          <w:sz w:val="24"/>
          <w:szCs w:val="24"/>
        </w:rPr>
        <w:t xml:space="preserve">, and </w:t>
      </w:r>
      <m:oMath>
        <m:sSubSup>
          <m:sSubSupPr>
            <m:ctrlPr>
              <w:rPr>
                <w:rFonts w:ascii="Cambria Math" w:eastAsia="Times New Roman" w:hAnsi="Cambria Math" w:cs="Times New Roman"/>
                <w:sz w:val="24"/>
                <w:szCs w:val="24"/>
              </w:rPr>
            </m:ctrlPr>
          </m:sSubSupPr>
          <m:e>
            <m:acc>
              <m:accPr>
                <m:chr m:val="ˉ"/>
                <m:ctrlPr>
                  <w:rPr>
                    <w:rFonts w:ascii="Cambria Math" w:eastAsia="Times New Roman" w:hAnsi="Cambria Math" w:cs="Times New Roman"/>
                    <w:sz w:val="24"/>
                    <w:szCs w:val="24"/>
                  </w:rPr>
                </m:ctrlPr>
              </m:accPr>
              <m:e>
                <m:r>
                  <w:rPr>
                    <w:rFonts w:ascii="Cambria Math" w:eastAsia="Times New Roman" w:hAnsi="Cambria Math" w:cs="Times New Roman"/>
                    <w:sz w:val="24"/>
                    <w:szCs w:val="24"/>
                  </w:rPr>
                  <m:t>X</m:t>
                </m:r>
              </m:e>
            </m:acc>
          </m:e>
          <m:sub>
            <m:r>
              <w:rPr>
                <w:rFonts w:ascii="Cambria Math" w:eastAsia="Times New Roman" w:hAnsi="Cambria Math" w:cs="Times New Roman"/>
                <w:sz w:val="24"/>
                <w:szCs w:val="24"/>
              </w:rPr>
              <m:t>k</m:t>
            </m:r>
          </m:sub>
          <m:sup>
            <m:r>
              <w:rPr>
                <w:rFonts w:ascii="Cambria Math" w:eastAsia="Times New Roman" w:hAnsi="Cambria Math" w:cs="Times New Roman"/>
                <w:sz w:val="24"/>
                <w:szCs w:val="24"/>
              </w:rPr>
              <m:t>T</m:t>
            </m:r>
          </m:sup>
        </m:sSubSup>
        <m:r>
          <w:rPr>
            <w:rFonts w:ascii="Cambria Math" w:eastAsia="Times New Roman" w:hAnsi="Cambria Math" w:cs="Times New Roman"/>
            <w:sz w:val="24"/>
            <w:szCs w:val="24"/>
          </w:rPr>
          <m:t xml:space="preserve"> </m:t>
        </m:r>
      </m:oMath>
      <w:r w:rsidRPr="008A1E06">
        <w:rPr>
          <w:rFonts w:ascii="Times New Roman" w:eastAsia="Times New Roman" w:hAnsi="Times New Roman" w:cs="Times New Roman"/>
          <w:sz w:val="24"/>
          <w:szCs w:val="24"/>
        </w:rPr>
        <w:t>is the corresponding covariate moment of the treated group. The balancing constraints ensure that the weighted control group has identical distributions of key covariates, including means and potentially higher-order moments.</w:t>
      </w:r>
    </w:p>
    <w:p w14:paraId="4C4D66F6" w14:textId="5C26B4C4" w:rsidR="00DD79FB" w:rsidRDefault="00D06EBD" w:rsidP="00D06EBD">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17FE1">
        <w:rPr>
          <w:rFonts w:ascii="Times New Roman" w:eastAsia="Times New Roman" w:hAnsi="Times New Roman" w:cs="Times New Roman"/>
          <w:sz w:val="24"/>
          <w:szCs w:val="24"/>
        </w:rPr>
        <w:t xml:space="preserve">Table </w:t>
      </w:r>
      <w:r w:rsidR="00DD79FB">
        <w:rPr>
          <w:rFonts w:ascii="Times New Roman" w:eastAsia="Times New Roman" w:hAnsi="Times New Roman" w:cs="Times New Roman"/>
          <w:sz w:val="24"/>
          <w:szCs w:val="24"/>
        </w:rPr>
        <w:t>A2</w:t>
      </w:r>
      <w:r w:rsidRPr="00317FE1">
        <w:rPr>
          <w:rFonts w:ascii="Times New Roman" w:eastAsia="Times New Roman" w:hAnsi="Times New Roman" w:cs="Times New Roman"/>
          <w:sz w:val="24"/>
          <w:szCs w:val="24"/>
        </w:rPr>
        <w:t xml:space="preserve"> </w:t>
      </w:r>
      <w:proofErr w:type="gramStart"/>
      <w:r w:rsidRPr="00317FE1">
        <w:rPr>
          <w:rFonts w:ascii="Times New Roman" w:eastAsia="Times New Roman" w:hAnsi="Times New Roman" w:cs="Times New Roman"/>
          <w:sz w:val="24"/>
          <w:szCs w:val="24"/>
        </w:rPr>
        <w:t>reports the robustness</w:t>
      </w:r>
      <w:proofErr w:type="gramEnd"/>
      <w:r w:rsidRPr="00317FE1">
        <w:rPr>
          <w:rFonts w:ascii="Times New Roman" w:eastAsia="Times New Roman" w:hAnsi="Times New Roman" w:cs="Times New Roman"/>
          <w:sz w:val="24"/>
          <w:szCs w:val="24"/>
        </w:rPr>
        <w:t xml:space="preserve"> analysis using propensity score matching (PSM) and entropy balancing (EB) approaches to address potential selection bias and ensure that the observed relationship between geopolitical tension growth (GG) and financial resilience is not driven by systematic differences between banks.  The results remain consistent with the baseline findings, providing further support for the negative effect of geopolitical tensions on financial resilience.</w:t>
      </w:r>
      <w:r>
        <w:rPr>
          <w:rFonts w:ascii="Times New Roman" w:eastAsia="Times New Roman" w:hAnsi="Times New Roman" w:cs="Times New Roman"/>
          <w:sz w:val="24"/>
          <w:szCs w:val="24"/>
        </w:rPr>
        <w:t xml:space="preserve"> </w:t>
      </w:r>
      <w:r w:rsidRPr="00317FE1">
        <w:rPr>
          <w:rFonts w:ascii="Times New Roman" w:eastAsia="Times New Roman" w:hAnsi="Times New Roman" w:cs="Times New Roman"/>
          <w:sz w:val="24"/>
          <w:szCs w:val="24"/>
        </w:rPr>
        <w:t>Using the PSM matched sample, GG has a negative and significant effect on ZR (β = −0.045, p &lt; 0.05) and a positive significant effect on SDR (β = 0.025, p &lt; 0.05). Since higher SDR represents greater earnings volatility, these results indicate that increases in geopolitical tensions reduce overall resilience and increase operational instability. Similarly, the EB matched sample produces consistent results, with GG negatively affecting ZR (β = −0.062, p &lt; 0.05) and positively affecting SDR (β = 0.033, p &lt; 0.05).</w:t>
      </w:r>
      <w:r>
        <w:rPr>
          <w:rFonts w:ascii="Times New Roman" w:eastAsia="Times New Roman" w:hAnsi="Times New Roman" w:cs="Times New Roman"/>
          <w:sz w:val="24"/>
          <w:szCs w:val="24"/>
        </w:rPr>
        <w:t xml:space="preserve"> </w:t>
      </w:r>
      <w:r w:rsidRPr="00317FE1">
        <w:rPr>
          <w:rFonts w:ascii="Times New Roman" w:eastAsia="Times New Roman" w:hAnsi="Times New Roman" w:cs="Times New Roman"/>
          <w:sz w:val="24"/>
          <w:szCs w:val="24"/>
        </w:rPr>
        <w:t>These findings confirm that the negative impact of geopolitical tensions is not driven by observable differences across banks or countries.  After balancing the treatment and control groups based on bank characteristics, geopolitical tension growth continues to weaken financial resilience, supporting the financial fragility perspective.  The models include bank-level controls, country fixed effects, and year fixed effects, ensuring that the results account for time-invariant country characteristics and common macroeconomic shocks. The consistent significance and direction of GG across both matching techniques demonstrates the robustness of th</w:t>
      </w:r>
      <w:r w:rsidRPr="00486A9B">
        <w:rPr>
          <w:rFonts w:ascii="Times New Roman" w:eastAsia="Times New Roman" w:hAnsi="Times New Roman" w:cs="Times New Roman"/>
          <w:sz w:val="24"/>
          <w:szCs w:val="24"/>
        </w:rPr>
        <w:t xml:space="preserve">e main findings.  Both the PSM and EB results provide additional evidence that geopolitical tensions have a significant adverse effect on banking resilience, confirming that the baseline relationship remains robust after controlling for potential sample selection bias. </w:t>
      </w:r>
    </w:p>
    <w:p w14:paraId="07806323" w14:textId="53E60158" w:rsidR="00D06EBD" w:rsidRDefault="00DD79FB" w:rsidP="00D06EBD">
      <w:pPr>
        <w:spacing w:before="120" w:after="12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D06EBD" w:rsidRPr="000235B4">
        <w:rPr>
          <w:rFonts w:ascii="Times New Roman" w:eastAsia="Times New Roman" w:hAnsi="Times New Roman" w:cs="Times New Roman"/>
          <w:b/>
          <w:bCs/>
          <w:sz w:val="24"/>
          <w:szCs w:val="24"/>
        </w:rPr>
        <w:t>Figure (</w:t>
      </w:r>
      <w:r>
        <w:rPr>
          <w:rFonts w:ascii="Times New Roman" w:eastAsia="Times New Roman" w:hAnsi="Times New Roman" w:cs="Times New Roman"/>
          <w:b/>
          <w:bCs/>
          <w:sz w:val="24"/>
          <w:szCs w:val="24"/>
        </w:rPr>
        <w:t>B</w:t>
      </w:r>
      <w:r w:rsidR="00D06EBD" w:rsidRPr="000235B4">
        <w:rPr>
          <w:rFonts w:ascii="Times New Roman" w:eastAsia="Times New Roman" w:hAnsi="Times New Roman" w:cs="Times New Roman"/>
          <w:b/>
          <w:bCs/>
          <w:sz w:val="24"/>
          <w:szCs w:val="24"/>
        </w:rPr>
        <w:t xml:space="preserve">) </w:t>
      </w:r>
      <w:r w:rsidR="00D06EBD" w:rsidRPr="00486A9B">
        <w:rPr>
          <w:rFonts w:ascii="Times New Roman" w:eastAsia="Times New Roman" w:hAnsi="Times New Roman" w:cs="Times New Roman"/>
          <w:sz w:val="24"/>
          <w:szCs w:val="24"/>
        </w:rPr>
        <w:t xml:space="preserve">demonstrates that PSM and entropy balancing substantially improve the overlap of propensity score distributions between treated and control banks, confirming </w:t>
      </w:r>
      <w:r w:rsidR="00D06EBD" w:rsidRPr="00486A9B">
        <w:rPr>
          <w:rFonts w:ascii="Times New Roman" w:eastAsia="Times New Roman" w:hAnsi="Times New Roman" w:cs="Times New Roman"/>
          <w:sz w:val="24"/>
          <w:szCs w:val="24"/>
        </w:rPr>
        <w:lastRenderedPageBreak/>
        <w:t>effective sample balancing and supporting the robustness of the negative impact of geopolitical tension growth on financial resilience .</w:t>
      </w:r>
    </w:p>
    <w:p w14:paraId="2E71DF9C" w14:textId="57F6DD04" w:rsidR="00903326" w:rsidRDefault="00903326" w:rsidP="00903326">
      <w:pPr>
        <w:spacing w:before="120" w:after="120" w:line="360" w:lineRule="auto"/>
        <w:jc w:val="center"/>
        <w:rPr>
          <w:rFonts w:ascii="Times New Roman" w:eastAsia="Times New Roman" w:hAnsi="Times New Roman" w:cs="Times New Roman"/>
          <w:b/>
          <w:bCs/>
        </w:rPr>
      </w:pPr>
      <w:r>
        <w:rPr>
          <w:rFonts w:ascii="Times New Roman" w:eastAsia="Times New Roman" w:hAnsi="Times New Roman" w:cs="Times New Roman"/>
          <w:b/>
          <w:bCs/>
        </w:rPr>
        <w:t xml:space="preserve">Table </w:t>
      </w:r>
      <w:r w:rsidR="00DD79FB">
        <w:rPr>
          <w:rFonts w:ascii="Times New Roman" w:eastAsia="Times New Roman" w:hAnsi="Times New Roman" w:cs="Times New Roman"/>
          <w:b/>
          <w:bCs/>
        </w:rPr>
        <w:t>A2</w:t>
      </w:r>
      <w:r>
        <w:rPr>
          <w:rFonts w:ascii="Times New Roman" w:eastAsia="Times New Roman" w:hAnsi="Times New Roman" w:cs="Times New Roman"/>
          <w:b/>
          <w:bCs/>
        </w:rPr>
        <w:t xml:space="preserve">. </w:t>
      </w:r>
      <w:r>
        <w:rPr>
          <w:rFonts w:ascii="Times New Roman" w:hAnsi="Times New Roman" w:cs="Times New Roman"/>
          <w:b/>
          <w:bCs/>
        </w:rPr>
        <w:t>PSM and EB Matched Sample Results</w:t>
      </w:r>
    </w:p>
    <w:tbl>
      <w:tblPr>
        <w:tblW w:w="7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58"/>
        <w:gridCol w:w="1249"/>
        <w:gridCol w:w="1376"/>
        <w:gridCol w:w="1426"/>
        <w:gridCol w:w="1346"/>
      </w:tblGrid>
      <w:tr w:rsidR="00903326" w14:paraId="1EA926C1"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tcPr>
          <w:p w14:paraId="619C3D5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2625" w:type="dxa"/>
            <w:gridSpan w:val="2"/>
            <w:tcBorders>
              <w:top w:val="single" w:sz="4" w:space="0" w:color="auto"/>
              <w:left w:val="single" w:sz="4" w:space="0" w:color="auto"/>
              <w:bottom w:val="single" w:sz="4" w:space="0" w:color="auto"/>
              <w:right w:val="single" w:sz="4" w:space="0" w:color="auto"/>
            </w:tcBorders>
            <w:hideMark/>
          </w:tcPr>
          <w:p w14:paraId="41EADC85"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PSM matched sample</w:t>
            </w:r>
          </w:p>
        </w:tc>
        <w:tc>
          <w:tcPr>
            <w:tcW w:w="2772" w:type="dxa"/>
            <w:gridSpan w:val="2"/>
            <w:tcBorders>
              <w:top w:val="single" w:sz="4" w:space="0" w:color="auto"/>
              <w:left w:val="single" w:sz="4" w:space="0" w:color="auto"/>
              <w:bottom w:val="single" w:sz="4" w:space="0" w:color="auto"/>
              <w:right w:val="single" w:sz="4" w:space="0" w:color="auto"/>
            </w:tcBorders>
            <w:hideMark/>
          </w:tcPr>
          <w:p w14:paraId="6A1ABBF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EB matched sample</w:t>
            </w:r>
          </w:p>
        </w:tc>
      </w:tr>
      <w:tr w:rsidR="00903326" w14:paraId="345DF695"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tcPr>
          <w:p w14:paraId="5A408CE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249" w:type="dxa"/>
            <w:tcBorders>
              <w:top w:val="single" w:sz="4" w:space="0" w:color="auto"/>
              <w:left w:val="single" w:sz="4" w:space="0" w:color="auto"/>
              <w:bottom w:val="single" w:sz="4" w:space="0" w:color="auto"/>
              <w:right w:val="single" w:sz="4" w:space="0" w:color="auto"/>
            </w:tcBorders>
            <w:hideMark/>
          </w:tcPr>
          <w:p w14:paraId="796A957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w:t>
            </w:r>
          </w:p>
        </w:tc>
        <w:tc>
          <w:tcPr>
            <w:tcW w:w="1376" w:type="dxa"/>
            <w:tcBorders>
              <w:top w:val="single" w:sz="4" w:space="0" w:color="auto"/>
              <w:left w:val="single" w:sz="4" w:space="0" w:color="auto"/>
              <w:bottom w:val="single" w:sz="4" w:space="0" w:color="auto"/>
              <w:right w:val="single" w:sz="4" w:space="0" w:color="auto"/>
            </w:tcBorders>
            <w:hideMark/>
          </w:tcPr>
          <w:p w14:paraId="08F4F9B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w:t>
            </w:r>
          </w:p>
        </w:tc>
        <w:tc>
          <w:tcPr>
            <w:tcW w:w="1426" w:type="dxa"/>
            <w:tcBorders>
              <w:top w:val="single" w:sz="4" w:space="0" w:color="auto"/>
              <w:left w:val="single" w:sz="4" w:space="0" w:color="auto"/>
              <w:bottom w:val="single" w:sz="4" w:space="0" w:color="auto"/>
              <w:right w:val="single" w:sz="4" w:space="0" w:color="auto"/>
            </w:tcBorders>
            <w:hideMark/>
          </w:tcPr>
          <w:p w14:paraId="391D4C6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w:t>
            </w:r>
          </w:p>
        </w:tc>
        <w:tc>
          <w:tcPr>
            <w:tcW w:w="1346" w:type="dxa"/>
            <w:tcBorders>
              <w:top w:val="single" w:sz="4" w:space="0" w:color="auto"/>
              <w:left w:val="single" w:sz="4" w:space="0" w:color="auto"/>
              <w:bottom w:val="single" w:sz="4" w:space="0" w:color="auto"/>
              <w:right w:val="single" w:sz="4" w:space="0" w:color="auto"/>
            </w:tcBorders>
            <w:hideMark/>
          </w:tcPr>
          <w:p w14:paraId="34081016"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w:t>
            </w:r>
          </w:p>
        </w:tc>
      </w:tr>
      <w:tr w:rsidR="00903326" w14:paraId="63387B76"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tcPr>
          <w:p w14:paraId="13C97CC3"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249" w:type="dxa"/>
            <w:tcBorders>
              <w:top w:val="single" w:sz="4" w:space="0" w:color="auto"/>
              <w:left w:val="single" w:sz="4" w:space="0" w:color="auto"/>
              <w:bottom w:val="single" w:sz="4" w:space="0" w:color="auto"/>
              <w:right w:val="single" w:sz="4" w:space="0" w:color="auto"/>
            </w:tcBorders>
            <w:hideMark/>
          </w:tcPr>
          <w:p w14:paraId="33C3F505"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ZR</w:t>
            </w:r>
          </w:p>
        </w:tc>
        <w:tc>
          <w:tcPr>
            <w:tcW w:w="1376" w:type="dxa"/>
            <w:tcBorders>
              <w:top w:val="single" w:sz="4" w:space="0" w:color="auto"/>
              <w:left w:val="single" w:sz="4" w:space="0" w:color="auto"/>
              <w:bottom w:val="single" w:sz="4" w:space="0" w:color="auto"/>
              <w:right w:val="single" w:sz="4" w:space="0" w:color="auto"/>
            </w:tcBorders>
            <w:hideMark/>
          </w:tcPr>
          <w:p w14:paraId="7F9B92C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SD</w:t>
            </w:r>
          </w:p>
        </w:tc>
        <w:tc>
          <w:tcPr>
            <w:tcW w:w="1426" w:type="dxa"/>
            <w:tcBorders>
              <w:top w:val="single" w:sz="4" w:space="0" w:color="auto"/>
              <w:left w:val="single" w:sz="4" w:space="0" w:color="auto"/>
              <w:bottom w:val="single" w:sz="4" w:space="0" w:color="auto"/>
              <w:right w:val="single" w:sz="4" w:space="0" w:color="auto"/>
            </w:tcBorders>
            <w:hideMark/>
          </w:tcPr>
          <w:p w14:paraId="0E5B1E4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ZR</w:t>
            </w:r>
          </w:p>
        </w:tc>
        <w:tc>
          <w:tcPr>
            <w:tcW w:w="1346" w:type="dxa"/>
            <w:tcBorders>
              <w:top w:val="single" w:sz="4" w:space="0" w:color="auto"/>
              <w:left w:val="single" w:sz="4" w:space="0" w:color="auto"/>
              <w:bottom w:val="single" w:sz="4" w:space="0" w:color="auto"/>
              <w:right w:val="single" w:sz="4" w:space="0" w:color="auto"/>
            </w:tcBorders>
            <w:hideMark/>
          </w:tcPr>
          <w:p w14:paraId="58A59456"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SD</w:t>
            </w:r>
          </w:p>
        </w:tc>
      </w:tr>
      <w:tr w:rsidR="00903326" w14:paraId="020D67B7"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hideMark/>
          </w:tcPr>
          <w:p w14:paraId="08E53E01"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GG</w:t>
            </w:r>
          </w:p>
        </w:tc>
        <w:tc>
          <w:tcPr>
            <w:tcW w:w="1249" w:type="dxa"/>
            <w:tcBorders>
              <w:top w:val="single" w:sz="4" w:space="0" w:color="auto"/>
              <w:left w:val="single" w:sz="4" w:space="0" w:color="auto"/>
              <w:bottom w:val="single" w:sz="4" w:space="0" w:color="auto"/>
              <w:right w:val="single" w:sz="4" w:space="0" w:color="auto"/>
            </w:tcBorders>
            <w:hideMark/>
          </w:tcPr>
          <w:p w14:paraId="5D886190"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-0.045**</w:t>
            </w:r>
          </w:p>
        </w:tc>
        <w:tc>
          <w:tcPr>
            <w:tcW w:w="1376" w:type="dxa"/>
            <w:tcBorders>
              <w:top w:val="single" w:sz="4" w:space="0" w:color="auto"/>
              <w:left w:val="single" w:sz="4" w:space="0" w:color="auto"/>
              <w:bottom w:val="single" w:sz="4" w:space="0" w:color="auto"/>
              <w:right w:val="single" w:sz="4" w:space="0" w:color="auto"/>
            </w:tcBorders>
            <w:hideMark/>
          </w:tcPr>
          <w:p w14:paraId="5413A9CD"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0.025**</w:t>
            </w:r>
          </w:p>
        </w:tc>
        <w:tc>
          <w:tcPr>
            <w:tcW w:w="1426" w:type="dxa"/>
            <w:tcBorders>
              <w:top w:val="single" w:sz="4" w:space="0" w:color="auto"/>
              <w:left w:val="single" w:sz="4" w:space="0" w:color="auto"/>
              <w:bottom w:val="single" w:sz="4" w:space="0" w:color="auto"/>
              <w:right w:val="single" w:sz="4" w:space="0" w:color="auto"/>
            </w:tcBorders>
            <w:hideMark/>
          </w:tcPr>
          <w:p w14:paraId="11660B2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-0.062**</w:t>
            </w:r>
          </w:p>
        </w:tc>
        <w:tc>
          <w:tcPr>
            <w:tcW w:w="1346" w:type="dxa"/>
            <w:tcBorders>
              <w:top w:val="single" w:sz="4" w:space="0" w:color="auto"/>
              <w:left w:val="single" w:sz="4" w:space="0" w:color="auto"/>
              <w:bottom w:val="single" w:sz="4" w:space="0" w:color="auto"/>
              <w:right w:val="single" w:sz="4" w:space="0" w:color="auto"/>
            </w:tcBorders>
            <w:hideMark/>
          </w:tcPr>
          <w:p w14:paraId="12C7477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0.033**</w:t>
            </w:r>
          </w:p>
        </w:tc>
      </w:tr>
      <w:tr w:rsidR="00903326" w14:paraId="3F54DC69"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tcPr>
          <w:p w14:paraId="575095E5"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249" w:type="dxa"/>
            <w:tcBorders>
              <w:top w:val="single" w:sz="4" w:space="0" w:color="auto"/>
              <w:left w:val="single" w:sz="4" w:space="0" w:color="auto"/>
              <w:bottom w:val="single" w:sz="4" w:space="0" w:color="auto"/>
              <w:right w:val="single" w:sz="4" w:space="0" w:color="auto"/>
            </w:tcBorders>
            <w:hideMark/>
          </w:tcPr>
          <w:p w14:paraId="499357C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(-2.531)</w:t>
            </w:r>
          </w:p>
        </w:tc>
        <w:tc>
          <w:tcPr>
            <w:tcW w:w="1376" w:type="dxa"/>
            <w:tcBorders>
              <w:top w:val="single" w:sz="4" w:space="0" w:color="auto"/>
              <w:left w:val="single" w:sz="4" w:space="0" w:color="auto"/>
              <w:bottom w:val="single" w:sz="4" w:space="0" w:color="auto"/>
              <w:right w:val="single" w:sz="4" w:space="0" w:color="auto"/>
            </w:tcBorders>
            <w:hideMark/>
          </w:tcPr>
          <w:p w14:paraId="349C034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(2.109)</w:t>
            </w:r>
          </w:p>
        </w:tc>
        <w:tc>
          <w:tcPr>
            <w:tcW w:w="1426" w:type="dxa"/>
            <w:tcBorders>
              <w:top w:val="single" w:sz="4" w:space="0" w:color="auto"/>
              <w:left w:val="single" w:sz="4" w:space="0" w:color="auto"/>
              <w:bottom w:val="single" w:sz="4" w:space="0" w:color="auto"/>
              <w:right w:val="single" w:sz="4" w:space="0" w:color="auto"/>
            </w:tcBorders>
            <w:hideMark/>
          </w:tcPr>
          <w:p w14:paraId="6036904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(-1.973)</w:t>
            </w:r>
          </w:p>
        </w:tc>
        <w:tc>
          <w:tcPr>
            <w:tcW w:w="1346" w:type="dxa"/>
            <w:tcBorders>
              <w:top w:val="single" w:sz="4" w:space="0" w:color="auto"/>
              <w:left w:val="single" w:sz="4" w:space="0" w:color="auto"/>
              <w:bottom w:val="single" w:sz="4" w:space="0" w:color="auto"/>
              <w:right w:val="single" w:sz="4" w:space="0" w:color="auto"/>
            </w:tcBorders>
            <w:hideMark/>
          </w:tcPr>
          <w:p w14:paraId="284A240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(2.045)</w:t>
            </w:r>
          </w:p>
        </w:tc>
      </w:tr>
      <w:tr w:rsidR="00903326" w14:paraId="430CDE08"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hideMark/>
          </w:tcPr>
          <w:p w14:paraId="35988701"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Controls</w:t>
            </w:r>
          </w:p>
        </w:tc>
        <w:tc>
          <w:tcPr>
            <w:tcW w:w="1249" w:type="dxa"/>
            <w:tcBorders>
              <w:top w:val="single" w:sz="4" w:space="0" w:color="auto"/>
              <w:left w:val="single" w:sz="4" w:space="0" w:color="auto"/>
              <w:bottom w:val="single" w:sz="4" w:space="0" w:color="auto"/>
              <w:right w:val="single" w:sz="4" w:space="0" w:color="auto"/>
            </w:tcBorders>
            <w:hideMark/>
          </w:tcPr>
          <w:p w14:paraId="3780098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376" w:type="dxa"/>
            <w:tcBorders>
              <w:top w:val="single" w:sz="4" w:space="0" w:color="auto"/>
              <w:left w:val="single" w:sz="4" w:space="0" w:color="auto"/>
              <w:bottom w:val="single" w:sz="4" w:space="0" w:color="auto"/>
              <w:right w:val="single" w:sz="4" w:space="0" w:color="auto"/>
            </w:tcBorders>
            <w:hideMark/>
          </w:tcPr>
          <w:p w14:paraId="45FB5E6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426" w:type="dxa"/>
            <w:tcBorders>
              <w:top w:val="single" w:sz="4" w:space="0" w:color="auto"/>
              <w:left w:val="single" w:sz="4" w:space="0" w:color="auto"/>
              <w:bottom w:val="single" w:sz="4" w:space="0" w:color="auto"/>
              <w:right w:val="single" w:sz="4" w:space="0" w:color="auto"/>
            </w:tcBorders>
            <w:hideMark/>
          </w:tcPr>
          <w:p w14:paraId="5761A31B"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346" w:type="dxa"/>
            <w:tcBorders>
              <w:top w:val="single" w:sz="4" w:space="0" w:color="auto"/>
              <w:left w:val="single" w:sz="4" w:space="0" w:color="auto"/>
              <w:bottom w:val="single" w:sz="4" w:space="0" w:color="auto"/>
              <w:right w:val="single" w:sz="4" w:space="0" w:color="auto"/>
            </w:tcBorders>
            <w:hideMark/>
          </w:tcPr>
          <w:p w14:paraId="57BB2F2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r>
      <w:tr w:rsidR="00903326" w14:paraId="1F409908"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hideMark/>
          </w:tcPr>
          <w:p w14:paraId="5FAEC434"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Country FE</w:t>
            </w:r>
          </w:p>
        </w:tc>
        <w:tc>
          <w:tcPr>
            <w:tcW w:w="1249" w:type="dxa"/>
            <w:tcBorders>
              <w:top w:val="single" w:sz="4" w:space="0" w:color="auto"/>
              <w:left w:val="single" w:sz="4" w:space="0" w:color="auto"/>
              <w:bottom w:val="single" w:sz="4" w:space="0" w:color="auto"/>
              <w:right w:val="single" w:sz="4" w:space="0" w:color="auto"/>
            </w:tcBorders>
            <w:hideMark/>
          </w:tcPr>
          <w:p w14:paraId="4EA9DCED"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376" w:type="dxa"/>
            <w:tcBorders>
              <w:top w:val="single" w:sz="4" w:space="0" w:color="auto"/>
              <w:left w:val="single" w:sz="4" w:space="0" w:color="auto"/>
              <w:bottom w:val="single" w:sz="4" w:space="0" w:color="auto"/>
              <w:right w:val="single" w:sz="4" w:space="0" w:color="auto"/>
            </w:tcBorders>
            <w:hideMark/>
          </w:tcPr>
          <w:p w14:paraId="658D485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426" w:type="dxa"/>
            <w:tcBorders>
              <w:top w:val="single" w:sz="4" w:space="0" w:color="auto"/>
              <w:left w:val="single" w:sz="4" w:space="0" w:color="auto"/>
              <w:bottom w:val="single" w:sz="4" w:space="0" w:color="auto"/>
              <w:right w:val="single" w:sz="4" w:space="0" w:color="auto"/>
            </w:tcBorders>
            <w:hideMark/>
          </w:tcPr>
          <w:p w14:paraId="781DF09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346" w:type="dxa"/>
            <w:tcBorders>
              <w:top w:val="single" w:sz="4" w:space="0" w:color="auto"/>
              <w:left w:val="single" w:sz="4" w:space="0" w:color="auto"/>
              <w:bottom w:val="single" w:sz="4" w:space="0" w:color="auto"/>
              <w:right w:val="single" w:sz="4" w:space="0" w:color="auto"/>
            </w:tcBorders>
            <w:hideMark/>
          </w:tcPr>
          <w:p w14:paraId="2FA31A9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r>
      <w:tr w:rsidR="00903326" w14:paraId="484D08C0"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hideMark/>
          </w:tcPr>
          <w:p w14:paraId="0C3B90E4"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Year FE</w:t>
            </w:r>
          </w:p>
        </w:tc>
        <w:tc>
          <w:tcPr>
            <w:tcW w:w="1249" w:type="dxa"/>
            <w:tcBorders>
              <w:top w:val="single" w:sz="4" w:space="0" w:color="auto"/>
              <w:left w:val="single" w:sz="4" w:space="0" w:color="auto"/>
              <w:bottom w:val="single" w:sz="4" w:space="0" w:color="auto"/>
              <w:right w:val="single" w:sz="4" w:space="0" w:color="auto"/>
            </w:tcBorders>
            <w:hideMark/>
          </w:tcPr>
          <w:p w14:paraId="64322B28"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376" w:type="dxa"/>
            <w:tcBorders>
              <w:top w:val="single" w:sz="4" w:space="0" w:color="auto"/>
              <w:left w:val="single" w:sz="4" w:space="0" w:color="auto"/>
              <w:bottom w:val="single" w:sz="4" w:space="0" w:color="auto"/>
              <w:right w:val="single" w:sz="4" w:space="0" w:color="auto"/>
            </w:tcBorders>
            <w:hideMark/>
          </w:tcPr>
          <w:p w14:paraId="73AE7D70"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426" w:type="dxa"/>
            <w:tcBorders>
              <w:top w:val="single" w:sz="4" w:space="0" w:color="auto"/>
              <w:left w:val="single" w:sz="4" w:space="0" w:color="auto"/>
              <w:bottom w:val="single" w:sz="4" w:space="0" w:color="auto"/>
              <w:right w:val="single" w:sz="4" w:space="0" w:color="auto"/>
            </w:tcBorders>
            <w:hideMark/>
          </w:tcPr>
          <w:p w14:paraId="080F1EB6"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c>
          <w:tcPr>
            <w:tcW w:w="1346" w:type="dxa"/>
            <w:tcBorders>
              <w:top w:val="single" w:sz="4" w:space="0" w:color="auto"/>
              <w:left w:val="single" w:sz="4" w:space="0" w:color="auto"/>
              <w:bottom w:val="single" w:sz="4" w:space="0" w:color="auto"/>
              <w:right w:val="single" w:sz="4" w:space="0" w:color="auto"/>
            </w:tcBorders>
            <w:hideMark/>
          </w:tcPr>
          <w:p w14:paraId="4719EAAF"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Included</w:t>
            </w:r>
          </w:p>
        </w:tc>
      </w:tr>
      <w:tr w:rsidR="00903326" w14:paraId="341F657F"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hideMark/>
          </w:tcPr>
          <w:p w14:paraId="4E558B0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Constant</w:t>
            </w:r>
          </w:p>
        </w:tc>
        <w:tc>
          <w:tcPr>
            <w:tcW w:w="1249" w:type="dxa"/>
            <w:tcBorders>
              <w:top w:val="single" w:sz="4" w:space="0" w:color="auto"/>
              <w:left w:val="single" w:sz="4" w:space="0" w:color="auto"/>
              <w:bottom w:val="single" w:sz="4" w:space="0" w:color="auto"/>
              <w:right w:val="single" w:sz="4" w:space="0" w:color="auto"/>
            </w:tcBorders>
            <w:hideMark/>
          </w:tcPr>
          <w:p w14:paraId="42C3B794"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1.612***</w:t>
            </w:r>
          </w:p>
        </w:tc>
        <w:tc>
          <w:tcPr>
            <w:tcW w:w="1376" w:type="dxa"/>
            <w:tcBorders>
              <w:top w:val="single" w:sz="4" w:space="0" w:color="auto"/>
              <w:left w:val="single" w:sz="4" w:space="0" w:color="auto"/>
              <w:bottom w:val="single" w:sz="4" w:space="0" w:color="auto"/>
              <w:right w:val="single" w:sz="4" w:space="0" w:color="auto"/>
            </w:tcBorders>
            <w:hideMark/>
          </w:tcPr>
          <w:p w14:paraId="6966846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2.311***</w:t>
            </w:r>
          </w:p>
        </w:tc>
        <w:tc>
          <w:tcPr>
            <w:tcW w:w="1426" w:type="dxa"/>
            <w:tcBorders>
              <w:top w:val="single" w:sz="4" w:space="0" w:color="auto"/>
              <w:left w:val="single" w:sz="4" w:space="0" w:color="auto"/>
              <w:bottom w:val="single" w:sz="4" w:space="0" w:color="auto"/>
              <w:right w:val="single" w:sz="4" w:space="0" w:color="auto"/>
            </w:tcBorders>
            <w:hideMark/>
          </w:tcPr>
          <w:p w14:paraId="1CF242E1"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2.671***</w:t>
            </w:r>
          </w:p>
        </w:tc>
        <w:tc>
          <w:tcPr>
            <w:tcW w:w="1346" w:type="dxa"/>
            <w:tcBorders>
              <w:top w:val="single" w:sz="4" w:space="0" w:color="auto"/>
              <w:left w:val="single" w:sz="4" w:space="0" w:color="auto"/>
              <w:bottom w:val="single" w:sz="4" w:space="0" w:color="auto"/>
              <w:right w:val="single" w:sz="4" w:space="0" w:color="auto"/>
            </w:tcBorders>
            <w:hideMark/>
          </w:tcPr>
          <w:p w14:paraId="14FC74F4"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1.031***</w:t>
            </w:r>
          </w:p>
        </w:tc>
      </w:tr>
      <w:tr w:rsidR="00903326" w14:paraId="733C4DC4"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tcPr>
          <w:p w14:paraId="33857D1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p>
        </w:tc>
        <w:tc>
          <w:tcPr>
            <w:tcW w:w="1249" w:type="dxa"/>
            <w:tcBorders>
              <w:top w:val="single" w:sz="4" w:space="0" w:color="auto"/>
              <w:left w:val="single" w:sz="4" w:space="0" w:color="auto"/>
              <w:bottom w:val="single" w:sz="4" w:space="0" w:color="auto"/>
              <w:right w:val="single" w:sz="4" w:space="0" w:color="auto"/>
            </w:tcBorders>
            <w:hideMark/>
          </w:tcPr>
          <w:p w14:paraId="231CF84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(4.103)</w:t>
            </w:r>
          </w:p>
        </w:tc>
        <w:tc>
          <w:tcPr>
            <w:tcW w:w="1376" w:type="dxa"/>
            <w:tcBorders>
              <w:top w:val="single" w:sz="4" w:space="0" w:color="auto"/>
              <w:left w:val="single" w:sz="4" w:space="0" w:color="auto"/>
              <w:bottom w:val="single" w:sz="4" w:space="0" w:color="auto"/>
              <w:right w:val="single" w:sz="4" w:space="0" w:color="auto"/>
            </w:tcBorders>
            <w:hideMark/>
          </w:tcPr>
          <w:p w14:paraId="296CBD17"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(5.223)</w:t>
            </w:r>
          </w:p>
        </w:tc>
        <w:tc>
          <w:tcPr>
            <w:tcW w:w="1426" w:type="dxa"/>
            <w:tcBorders>
              <w:top w:val="single" w:sz="4" w:space="0" w:color="auto"/>
              <w:left w:val="single" w:sz="4" w:space="0" w:color="auto"/>
              <w:bottom w:val="single" w:sz="4" w:space="0" w:color="auto"/>
              <w:right w:val="single" w:sz="4" w:space="0" w:color="auto"/>
            </w:tcBorders>
            <w:hideMark/>
          </w:tcPr>
          <w:p w14:paraId="4B9EEF46"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(4.612)</w:t>
            </w:r>
          </w:p>
        </w:tc>
        <w:tc>
          <w:tcPr>
            <w:tcW w:w="1346" w:type="dxa"/>
            <w:tcBorders>
              <w:top w:val="single" w:sz="4" w:space="0" w:color="auto"/>
              <w:left w:val="single" w:sz="4" w:space="0" w:color="auto"/>
              <w:bottom w:val="single" w:sz="4" w:space="0" w:color="auto"/>
              <w:right w:val="single" w:sz="4" w:space="0" w:color="auto"/>
            </w:tcBorders>
            <w:hideMark/>
          </w:tcPr>
          <w:p w14:paraId="2B4E3B0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(2.841)</w:t>
            </w:r>
          </w:p>
        </w:tc>
      </w:tr>
      <w:tr w:rsidR="00903326" w14:paraId="6D896669"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hideMark/>
          </w:tcPr>
          <w:p w14:paraId="6B80558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N</w:t>
            </w:r>
          </w:p>
        </w:tc>
        <w:tc>
          <w:tcPr>
            <w:tcW w:w="1249" w:type="dxa"/>
            <w:tcBorders>
              <w:top w:val="single" w:sz="4" w:space="0" w:color="auto"/>
              <w:left w:val="single" w:sz="4" w:space="0" w:color="auto"/>
              <w:bottom w:val="single" w:sz="4" w:space="0" w:color="auto"/>
              <w:right w:val="single" w:sz="4" w:space="0" w:color="auto"/>
            </w:tcBorders>
            <w:hideMark/>
          </w:tcPr>
          <w:p w14:paraId="355F247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sidRPr="009731DC">
              <w:rPr>
                <w:rFonts w:ascii="Times New Roman" w:hAnsi="Times New Roman" w:cs="Times New Roman"/>
                <w:sz w:val="20"/>
                <w:szCs w:val="20"/>
              </w:rPr>
              <w:t>1904</w:t>
            </w:r>
          </w:p>
        </w:tc>
        <w:tc>
          <w:tcPr>
            <w:tcW w:w="1376" w:type="dxa"/>
            <w:tcBorders>
              <w:top w:val="single" w:sz="4" w:space="0" w:color="auto"/>
              <w:left w:val="single" w:sz="4" w:space="0" w:color="auto"/>
              <w:bottom w:val="single" w:sz="4" w:space="0" w:color="auto"/>
              <w:right w:val="single" w:sz="4" w:space="0" w:color="auto"/>
            </w:tcBorders>
            <w:hideMark/>
          </w:tcPr>
          <w:p w14:paraId="1E05E6A2"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sidRPr="009731DC">
              <w:rPr>
                <w:rFonts w:ascii="Times New Roman" w:hAnsi="Times New Roman" w:cs="Times New Roman"/>
                <w:sz w:val="20"/>
                <w:szCs w:val="20"/>
              </w:rPr>
              <w:t>1904</w:t>
            </w:r>
          </w:p>
        </w:tc>
        <w:tc>
          <w:tcPr>
            <w:tcW w:w="1426" w:type="dxa"/>
            <w:tcBorders>
              <w:top w:val="single" w:sz="4" w:space="0" w:color="auto"/>
              <w:left w:val="single" w:sz="4" w:space="0" w:color="auto"/>
              <w:bottom w:val="single" w:sz="4" w:space="0" w:color="auto"/>
              <w:right w:val="single" w:sz="4" w:space="0" w:color="auto"/>
            </w:tcBorders>
            <w:hideMark/>
          </w:tcPr>
          <w:p w14:paraId="636D97B0"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sidRPr="009731DC">
              <w:rPr>
                <w:rFonts w:ascii="Times New Roman" w:hAnsi="Times New Roman" w:cs="Times New Roman"/>
                <w:sz w:val="20"/>
                <w:szCs w:val="20"/>
              </w:rPr>
              <w:t>1904</w:t>
            </w:r>
          </w:p>
        </w:tc>
        <w:tc>
          <w:tcPr>
            <w:tcW w:w="1346" w:type="dxa"/>
            <w:tcBorders>
              <w:top w:val="single" w:sz="4" w:space="0" w:color="auto"/>
              <w:left w:val="single" w:sz="4" w:space="0" w:color="auto"/>
              <w:bottom w:val="single" w:sz="4" w:space="0" w:color="auto"/>
              <w:right w:val="single" w:sz="4" w:space="0" w:color="auto"/>
            </w:tcBorders>
            <w:hideMark/>
          </w:tcPr>
          <w:p w14:paraId="7E6115AC"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1904</w:t>
            </w:r>
          </w:p>
        </w:tc>
      </w:tr>
      <w:tr w:rsidR="00903326" w14:paraId="0BF9C2FE" w14:textId="77777777" w:rsidTr="00A366BF">
        <w:trPr>
          <w:trHeight w:val="217"/>
          <w:jc w:val="center"/>
        </w:trPr>
        <w:tc>
          <w:tcPr>
            <w:tcW w:w="1758" w:type="dxa"/>
            <w:tcBorders>
              <w:top w:val="single" w:sz="4" w:space="0" w:color="auto"/>
              <w:left w:val="single" w:sz="4" w:space="0" w:color="auto"/>
              <w:bottom w:val="single" w:sz="4" w:space="0" w:color="auto"/>
              <w:right w:val="single" w:sz="4" w:space="0" w:color="auto"/>
            </w:tcBorders>
            <w:hideMark/>
          </w:tcPr>
          <w:p w14:paraId="4B2ABEF5"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R-sq</w:t>
            </w:r>
          </w:p>
        </w:tc>
        <w:tc>
          <w:tcPr>
            <w:tcW w:w="1249" w:type="dxa"/>
            <w:tcBorders>
              <w:top w:val="single" w:sz="4" w:space="0" w:color="auto"/>
              <w:left w:val="single" w:sz="4" w:space="0" w:color="auto"/>
              <w:bottom w:val="single" w:sz="4" w:space="0" w:color="auto"/>
              <w:right w:val="single" w:sz="4" w:space="0" w:color="auto"/>
            </w:tcBorders>
            <w:hideMark/>
          </w:tcPr>
          <w:p w14:paraId="41EC9DBD"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0.456</w:t>
            </w:r>
          </w:p>
        </w:tc>
        <w:tc>
          <w:tcPr>
            <w:tcW w:w="1376" w:type="dxa"/>
            <w:tcBorders>
              <w:top w:val="single" w:sz="4" w:space="0" w:color="auto"/>
              <w:left w:val="single" w:sz="4" w:space="0" w:color="auto"/>
              <w:bottom w:val="single" w:sz="4" w:space="0" w:color="auto"/>
              <w:right w:val="single" w:sz="4" w:space="0" w:color="auto"/>
            </w:tcBorders>
            <w:hideMark/>
          </w:tcPr>
          <w:p w14:paraId="2D6C223E"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0.345</w:t>
            </w:r>
          </w:p>
        </w:tc>
        <w:tc>
          <w:tcPr>
            <w:tcW w:w="1426" w:type="dxa"/>
            <w:tcBorders>
              <w:top w:val="single" w:sz="4" w:space="0" w:color="auto"/>
              <w:left w:val="single" w:sz="4" w:space="0" w:color="auto"/>
              <w:bottom w:val="single" w:sz="4" w:space="0" w:color="auto"/>
              <w:right w:val="single" w:sz="4" w:space="0" w:color="auto"/>
            </w:tcBorders>
            <w:hideMark/>
          </w:tcPr>
          <w:p w14:paraId="286A8269"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0.398</w:t>
            </w:r>
          </w:p>
        </w:tc>
        <w:tc>
          <w:tcPr>
            <w:tcW w:w="1346" w:type="dxa"/>
            <w:tcBorders>
              <w:top w:val="single" w:sz="4" w:space="0" w:color="auto"/>
              <w:left w:val="single" w:sz="4" w:space="0" w:color="auto"/>
              <w:bottom w:val="single" w:sz="4" w:space="0" w:color="auto"/>
              <w:right w:val="single" w:sz="4" w:space="0" w:color="auto"/>
            </w:tcBorders>
            <w:hideMark/>
          </w:tcPr>
          <w:p w14:paraId="1919C07A" w14:textId="77777777" w:rsidR="00903326" w:rsidRDefault="00903326" w:rsidP="00A366BF">
            <w:pPr>
              <w:widowControl w:val="0"/>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0.321</w:t>
            </w:r>
          </w:p>
        </w:tc>
      </w:tr>
      <w:tr w:rsidR="00903326" w14:paraId="42875A0D" w14:textId="77777777" w:rsidTr="00A366BF">
        <w:trPr>
          <w:trHeight w:val="70"/>
          <w:jc w:val="center"/>
        </w:trPr>
        <w:tc>
          <w:tcPr>
            <w:tcW w:w="7155" w:type="dxa"/>
            <w:gridSpan w:val="5"/>
            <w:tcBorders>
              <w:top w:val="single" w:sz="4" w:space="0" w:color="auto"/>
              <w:left w:val="single" w:sz="4" w:space="0" w:color="auto"/>
              <w:bottom w:val="single" w:sz="4" w:space="0" w:color="auto"/>
              <w:right w:val="single" w:sz="4" w:space="0" w:color="auto"/>
            </w:tcBorders>
            <w:hideMark/>
          </w:tcPr>
          <w:p w14:paraId="07BA465F" w14:textId="77777777" w:rsidR="00903326" w:rsidRDefault="00903326" w:rsidP="00A366BF">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Note: This table presents the results for the PSM and EB sample. Each model incorporates bank-level control variables with year and country fixed effects.  </w:t>
            </w:r>
          </w:p>
          <w:p w14:paraId="102A518D" w14:textId="77777777" w:rsidR="00903326" w:rsidRDefault="00903326" w:rsidP="00A366BF">
            <w:pPr>
              <w:widowControl w:val="0"/>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Robust standard errors clustered at the bank level are shown in parentheses. *** indicates significance at the 1 % level; ** at the 5 % level; * at the 10 % level.</w:t>
            </w:r>
          </w:p>
        </w:tc>
      </w:tr>
    </w:tbl>
    <w:p w14:paraId="10D8DAEA" w14:textId="77777777" w:rsidR="00903326" w:rsidRDefault="00903326" w:rsidP="00903326">
      <w:pPr>
        <w:jc w:val="center"/>
      </w:pPr>
      <w:r>
        <w:rPr>
          <w:noProof/>
        </w:rPr>
        <w:drawing>
          <wp:inline distT="0" distB="0" distL="0" distR="0" wp14:anchorId="0EDA6149" wp14:editId="6AD2F646">
            <wp:extent cx="2635885" cy="2519656"/>
            <wp:effectExtent l="0" t="0" r="0" b="0"/>
            <wp:docPr id="8768098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41365" cy="2524894"/>
                    </a:xfrm>
                    <a:prstGeom prst="rect">
                      <a:avLst/>
                    </a:prstGeom>
                    <a:noFill/>
                    <a:ln>
                      <a:noFill/>
                    </a:ln>
                  </pic:spPr>
                </pic:pic>
              </a:graphicData>
            </a:graphic>
          </wp:inline>
        </w:drawing>
      </w:r>
      <w:r>
        <w:rPr>
          <w:noProof/>
        </w:rPr>
        <w:drawing>
          <wp:inline distT="0" distB="0" distL="0" distR="0" wp14:anchorId="3A3EC395" wp14:editId="14E1F131">
            <wp:extent cx="2647950" cy="2571750"/>
            <wp:effectExtent l="0" t="0" r="0" b="0"/>
            <wp:docPr id="7839403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47950" cy="2571750"/>
                    </a:xfrm>
                    <a:prstGeom prst="rect">
                      <a:avLst/>
                    </a:prstGeom>
                    <a:noFill/>
                    <a:ln>
                      <a:noFill/>
                    </a:ln>
                  </pic:spPr>
                </pic:pic>
              </a:graphicData>
            </a:graphic>
          </wp:inline>
        </w:drawing>
      </w:r>
    </w:p>
    <w:p w14:paraId="6A530B03" w14:textId="76D4E428" w:rsidR="00903326" w:rsidRPr="00486A9B" w:rsidRDefault="00903326" w:rsidP="00903326">
      <w:pPr>
        <w:pStyle w:val="Caption"/>
      </w:pPr>
      <w:r w:rsidRPr="00486A9B">
        <w:t xml:space="preserve">Figure </w:t>
      </w:r>
      <w:r w:rsidR="00DD79FB">
        <w:t>B</w:t>
      </w:r>
      <w:r w:rsidRPr="00486A9B">
        <w:t>. Kernel Density Distribution.</w:t>
      </w:r>
    </w:p>
    <w:p w14:paraId="52C1685A" w14:textId="77777777" w:rsidR="00903326" w:rsidRDefault="00903326" w:rsidP="00D06EBD">
      <w:pPr>
        <w:jc w:val="center"/>
        <w:rPr>
          <w:rFonts w:asciiTheme="majorBidi" w:hAnsiTheme="majorBidi" w:cstheme="majorBidi"/>
          <w:b/>
          <w:bCs/>
          <w:sz w:val="32"/>
          <w:szCs w:val="32"/>
        </w:rPr>
      </w:pPr>
    </w:p>
    <w:p w14:paraId="399A6E1D" w14:textId="77777777" w:rsidR="00903326" w:rsidRDefault="00903326" w:rsidP="00D06EBD">
      <w:pPr>
        <w:jc w:val="center"/>
        <w:rPr>
          <w:rFonts w:asciiTheme="majorBidi" w:hAnsiTheme="majorBidi" w:cstheme="majorBidi"/>
          <w:b/>
          <w:bCs/>
          <w:sz w:val="32"/>
          <w:szCs w:val="32"/>
        </w:rPr>
      </w:pPr>
    </w:p>
    <w:p w14:paraId="4AE6D772" w14:textId="77777777" w:rsidR="00903326" w:rsidRDefault="00903326" w:rsidP="00D06EBD">
      <w:pPr>
        <w:jc w:val="center"/>
        <w:rPr>
          <w:rFonts w:asciiTheme="majorBidi" w:hAnsiTheme="majorBidi" w:cstheme="majorBidi"/>
          <w:b/>
          <w:bCs/>
          <w:sz w:val="32"/>
          <w:szCs w:val="32"/>
        </w:rPr>
      </w:pPr>
    </w:p>
    <w:p w14:paraId="0D589B0B" w14:textId="77777777" w:rsidR="00903326" w:rsidRDefault="00903326" w:rsidP="00D06EBD">
      <w:pPr>
        <w:jc w:val="center"/>
        <w:rPr>
          <w:rFonts w:asciiTheme="majorBidi" w:hAnsiTheme="majorBidi" w:cstheme="majorBidi"/>
          <w:b/>
          <w:bCs/>
          <w:sz w:val="32"/>
          <w:szCs w:val="32"/>
        </w:rPr>
      </w:pPr>
    </w:p>
    <w:p w14:paraId="1D7D19BF" w14:textId="77777777" w:rsidR="00903326" w:rsidRDefault="00903326" w:rsidP="00D06EBD">
      <w:pPr>
        <w:jc w:val="center"/>
        <w:rPr>
          <w:rFonts w:asciiTheme="majorBidi" w:hAnsiTheme="majorBidi" w:cstheme="majorBidi"/>
          <w:b/>
          <w:bCs/>
          <w:sz w:val="32"/>
          <w:szCs w:val="32"/>
        </w:rPr>
      </w:pPr>
    </w:p>
    <w:p w14:paraId="32712775" w14:textId="5022F329" w:rsidR="00D06EBD" w:rsidRPr="00D06EBD" w:rsidRDefault="00D06EBD" w:rsidP="00903326">
      <w:pPr>
        <w:jc w:val="center"/>
        <w:rPr>
          <w:rFonts w:ascii="Times New Roman" w:hAnsi="Times New Roman" w:cs="Times New Roman"/>
          <w:b/>
          <w:bCs/>
          <w:color w:val="000000" w:themeColor="text1"/>
          <w:sz w:val="32"/>
          <w:szCs w:val="32"/>
        </w:rPr>
      </w:pPr>
      <w:r w:rsidRPr="00D06EBD">
        <w:rPr>
          <w:rFonts w:asciiTheme="majorBidi" w:hAnsiTheme="majorBidi" w:cstheme="majorBidi"/>
          <w:b/>
          <w:bCs/>
          <w:sz w:val="32"/>
          <w:szCs w:val="32"/>
        </w:rPr>
        <w:lastRenderedPageBreak/>
        <w:t>Supplementary Material (</w:t>
      </w:r>
      <w:r>
        <w:rPr>
          <w:rFonts w:asciiTheme="majorBidi" w:hAnsiTheme="majorBidi" w:cstheme="majorBidi"/>
          <w:b/>
          <w:bCs/>
          <w:sz w:val="32"/>
          <w:szCs w:val="32"/>
        </w:rPr>
        <w:t>B</w:t>
      </w:r>
      <w:r w:rsidRPr="00D06EBD">
        <w:rPr>
          <w:rFonts w:asciiTheme="majorBidi" w:hAnsiTheme="majorBidi" w:cstheme="majorBidi"/>
          <w:b/>
          <w:bCs/>
          <w:sz w:val="32"/>
          <w:szCs w:val="32"/>
        </w:rPr>
        <w:t>)</w:t>
      </w:r>
      <w:r w:rsidR="00903326">
        <w:rPr>
          <w:rFonts w:asciiTheme="majorBidi" w:hAnsiTheme="majorBidi" w:cstheme="majorBidi"/>
          <w:b/>
          <w:bCs/>
          <w:sz w:val="32"/>
          <w:szCs w:val="32"/>
        </w:rPr>
        <w:t xml:space="preserve">. </w:t>
      </w:r>
      <w:r w:rsidRPr="00D06EBD">
        <w:rPr>
          <w:rFonts w:ascii="Times New Roman" w:hAnsi="Times New Roman" w:cs="Times New Roman"/>
          <w:b/>
          <w:bCs/>
          <w:color w:val="000000" w:themeColor="text1"/>
          <w:sz w:val="32"/>
          <w:szCs w:val="32"/>
        </w:rPr>
        <w:t>Heterogeneity Effects</w:t>
      </w:r>
    </w:p>
    <w:p w14:paraId="3A03700C" w14:textId="37BBC40C" w:rsidR="00D06EBD" w:rsidRPr="008201BA" w:rsidRDefault="00D06EBD" w:rsidP="00D06EBD">
      <w:pPr>
        <w:pStyle w:val="Heading3"/>
        <w:spacing w:before="120" w:after="120" w:line="360" w:lineRule="auto"/>
        <w:ind w:left="57"/>
        <w:rPr>
          <w:rFonts w:asciiTheme="majorBidi" w:hAnsiTheme="majorBidi"/>
          <w:b/>
          <w:bCs/>
          <w:color w:val="000000" w:themeColor="text1"/>
        </w:rPr>
      </w:pPr>
      <w:r w:rsidRPr="008201BA">
        <w:rPr>
          <w:rFonts w:asciiTheme="majorBidi" w:hAnsiTheme="majorBidi"/>
          <w:b/>
          <w:bCs/>
          <w:color w:val="000000" w:themeColor="text1"/>
        </w:rPr>
        <w:t>1. Heterogeneity by Country Income</w:t>
      </w:r>
    </w:p>
    <w:p w14:paraId="30EE4D35" w14:textId="459C317F" w:rsidR="00D06EBD" w:rsidRPr="00977E9B" w:rsidRDefault="00D06EBD" w:rsidP="00D06EBD">
      <w:pPr>
        <w:spacing w:after="0" w:line="360" w:lineRule="auto"/>
        <w:ind w:firstLineChars="200" w:firstLine="480"/>
        <w:jc w:val="both"/>
        <w:rPr>
          <w:rFonts w:ascii="Times New Roman" w:hAnsi="Times New Roman" w:cs="Times New Roman"/>
          <w:sz w:val="24"/>
          <w:szCs w:val="24"/>
        </w:rPr>
      </w:pPr>
      <w:r w:rsidRPr="00977E9B">
        <w:rPr>
          <w:rFonts w:ascii="Times New Roman" w:hAnsi="Times New Roman" w:cs="Times New Roman"/>
          <w:sz w:val="24"/>
          <w:szCs w:val="24"/>
        </w:rPr>
        <w:t xml:space="preserve">Table </w:t>
      </w:r>
      <w:r w:rsidR="00DD79FB">
        <w:rPr>
          <w:rFonts w:ascii="Times New Roman" w:hAnsi="Times New Roman" w:cs="Times New Roman"/>
          <w:sz w:val="24"/>
          <w:szCs w:val="24"/>
        </w:rPr>
        <w:t>B1</w:t>
      </w:r>
      <w:r w:rsidRPr="00977E9B">
        <w:rPr>
          <w:rFonts w:ascii="Times New Roman" w:hAnsi="Times New Roman" w:cs="Times New Roman"/>
          <w:sz w:val="24"/>
          <w:szCs w:val="24"/>
        </w:rPr>
        <w:t xml:space="preserve"> examines whether the effect of geopolitical tensions on financial resilience differs across country income groups. Our sample divided into lower-middle-income, upper-middle-income, and high-income economies to capture differences in institutional capacity, financial development, and shock-absorption ability.</w:t>
      </w:r>
      <w:r>
        <w:rPr>
          <w:rFonts w:ascii="Times New Roman" w:hAnsi="Times New Roman" w:cs="Times New Roman"/>
          <w:sz w:val="24"/>
          <w:szCs w:val="24"/>
        </w:rPr>
        <w:t xml:space="preserve"> </w:t>
      </w:r>
      <w:r w:rsidRPr="00977E9B">
        <w:rPr>
          <w:rFonts w:ascii="Times New Roman" w:hAnsi="Times New Roman" w:cs="Times New Roman"/>
          <w:sz w:val="24"/>
          <w:szCs w:val="24"/>
        </w:rPr>
        <w:t>The results reveal significant heterogeneity across income groups, indicating that the impact of geopolitical tensions is not uniform across MENA economies. For lower-middle-income countries, geopolitical tensions have the strongest negative effect on financial resilience. The coefficients of GT (β = −0.528, p &lt; 0.01) and GG (β = −0.119, p &lt; 0.01) indicate that both persistent geopolitical pressures and their escalation significantly reduce ZR. However, the interaction terms GT*Lower (β = 0.231, p &lt; 0.01) and GG*Lower (β = 0.048, p &lt; 0.01) are positive, suggesting that although these economies are initially more vulnerable, prolonged exposure may encourage stronger adaptation mechanisms. This finding reflects the adaptive resilience perspective, where repeated shocks motivate banks to improve risk management and strengthen internal controls. For upper-middle-income countries, the negative impact of geopolitical tensions becomes stronger, with GT = −0.690 (p &lt; 0.01) and GG = −0.424 (p &lt; 0.01). However, the positive interaction effects (GT*Upper = 0.287, p &lt; 0.01; GG*Upper = 0.044, p &lt; 0.05) indicate that stronger financial systems and greater institutional capacity help mitigate the adverse effects of geopolitical uncertainty. High-income countries exhibit the highest initial sensitivity to geopolitical tensions, with GT = −0.928 (p &lt; 0.01) and GG = −0.232 (p &lt; 0.01). However, the moderating effects are also the strongest, with GT*High = 0.523 (p &lt; 0.01) and GG*High = 0.050 (p &lt; 0.01). This suggests that high-income economies experience larger immediate market reactions due to greater financial integration and international exposure, but they possess stronger institutional frameworks, diversified financial systems, and greater policy capacity to recover from shocks.</w:t>
      </w:r>
    </w:p>
    <w:p w14:paraId="4114C3B8" w14:textId="77777777" w:rsidR="00D06EBD" w:rsidRDefault="00D06EBD" w:rsidP="00D06EBD">
      <w:pPr>
        <w:spacing w:after="0" w:line="360" w:lineRule="auto"/>
        <w:ind w:firstLineChars="200" w:firstLine="480"/>
        <w:jc w:val="both"/>
        <w:rPr>
          <w:rFonts w:ascii="Times New Roman" w:hAnsi="Times New Roman" w:cs="Times New Roman"/>
          <w:sz w:val="24"/>
          <w:szCs w:val="24"/>
        </w:rPr>
      </w:pPr>
      <w:r w:rsidRPr="00977E9B">
        <w:rPr>
          <w:rFonts w:ascii="Times New Roman" w:hAnsi="Times New Roman" w:cs="Times New Roman"/>
          <w:sz w:val="24"/>
          <w:szCs w:val="24"/>
        </w:rPr>
        <w:t xml:space="preserve">Countries with stronger financial systems and governance structures are better equipped to manage uncertainty and external shocks . At the same time, emerging and lower-income economies face greater vulnerability because of weaker institutions, limited </w:t>
      </w:r>
      <w:r w:rsidRPr="00977E9B">
        <w:rPr>
          <w:rFonts w:ascii="Times New Roman" w:hAnsi="Times New Roman" w:cs="Times New Roman"/>
          <w:sz w:val="24"/>
          <w:szCs w:val="24"/>
        </w:rPr>
        <w:lastRenderedPageBreak/>
        <w:t>fiscal capacity, and less-developed financial markets amplify geopolitical shocks. The results demonstrate significant income-based heterogeneity in the geopolitical tensions–financial resilience relationship. While geopolitical tensions negatively affect banks across all income groups, the ability to absorb and recover from these shocks differs substantially. Higher-income economies benefit from stronger institutional environments and financial systems, allowing them to better transform geopolitical challenges into resilience-building opportunities. These findings extend previous literature by highlighting that the consequences of geopolitical uncertainty depend not only on the intensity of shocks but also on countries’ economic development and adaptive capacity.</w:t>
      </w:r>
    </w:p>
    <w:p w14:paraId="2B7B59CC" w14:textId="490A7A85" w:rsidR="00903326" w:rsidRPr="00E654FF" w:rsidRDefault="00903326" w:rsidP="00903326">
      <w:pPr>
        <w:jc w:val="center"/>
        <w:rPr>
          <w:rFonts w:asciiTheme="majorBidi" w:hAnsiTheme="majorBidi" w:cstheme="majorBidi"/>
          <w:b/>
          <w:bCs/>
        </w:rPr>
      </w:pPr>
      <w:r w:rsidRPr="00E654FF">
        <w:rPr>
          <w:rFonts w:asciiTheme="majorBidi" w:hAnsiTheme="majorBidi" w:cstheme="majorBidi"/>
          <w:b/>
          <w:bCs/>
        </w:rPr>
        <w:t xml:space="preserve">Table </w:t>
      </w:r>
      <w:r w:rsidR="00DD79FB">
        <w:rPr>
          <w:rFonts w:asciiTheme="majorBidi" w:hAnsiTheme="majorBidi" w:cstheme="majorBidi"/>
          <w:b/>
          <w:bCs/>
        </w:rPr>
        <w:t>B1</w:t>
      </w:r>
      <w:r>
        <w:rPr>
          <w:rFonts w:asciiTheme="majorBidi" w:hAnsiTheme="majorBidi" w:cstheme="majorBidi"/>
          <w:b/>
          <w:bCs/>
        </w:rPr>
        <w:t>.</w:t>
      </w:r>
      <w:r w:rsidRPr="00E654FF">
        <w:rPr>
          <w:rFonts w:asciiTheme="majorBidi" w:hAnsiTheme="majorBidi" w:cstheme="majorBidi"/>
          <w:b/>
          <w:bCs/>
        </w:rPr>
        <w:t xml:space="preserve"> Heterogeneity by Country Income</w:t>
      </w:r>
    </w:p>
    <w:tbl>
      <w:tblPr>
        <w:tblW w:w="9913"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1560"/>
        <w:gridCol w:w="1418"/>
        <w:gridCol w:w="1559"/>
        <w:gridCol w:w="1417"/>
        <w:gridCol w:w="1134"/>
        <w:gridCol w:w="1560"/>
        <w:gridCol w:w="1265"/>
      </w:tblGrid>
      <w:tr w:rsidR="00903326" w:rsidRPr="00351ED7" w14:paraId="1ECBC51C" w14:textId="77777777" w:rsidTr="00A366BF">
        <w:tc>
          <w:tcPr>
            <w:tcW w:w="1560" w:type="dxa"/>
            <w:vMerge w:val="restart"/>
          </w:tcPr>
          <w:p w14:paraId="3630B96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VAR</w:t>
            </w:r>
          </w:p>
        </w:tc>
        <w:tc>
          <w:tcPr>
            <w:tcW w:w="1418" w:type="dxa"/>
          </w:tcPr>
          <w:p w14:paraId="0644A90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w:t>
            </w:r>
          </w:p>
        </w:tc>
        <w:tc>
          <w:tcPr>
            <w:tcW w:w="1559" w:type="dxa"/>
          </w:tcPr>
          <w:p w14:paraId="1314ABB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w:t>
            </w:r>
          </w:p>
        </w:tc>
        <w:tc>
          <w:tcPr>
            <w:tcW w:w="1417" w:type="dxa"/>
          </w:tcPr>
          <w:p w14:paraId="1B0C33D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[3]</w:t>
            </w:r>
          </w:p>
        </w:tc>
        <w:tc>
          <w:tcPr>
            <w:tcW w:w="1134" w:type="dxa"/>
          </w:tcPr>
          <w:p w14:paraId="3E2EA1D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w:t>
            </w:r>
          </w:p>
        </w:tc>
        <w:tc>
          <w:tcPr>
            <w:tcW w:w="1560" w:type="dxa"/>
          </w:tcPr>
          <w:p w14:paraId="1E02A46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w:t>
            </w:r>
          </w:p>
        </w:tc>
        <w:tc>
          <w:tcPr>
            <w:tcW w:w="1265" w:type="dxa"/>
          </w:tcPr>
          <w:p w14:paraId="666A806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[6]</w:t>
            </w:r>
          </w:p>
        </w:tc>
      </w:tr>
      <w:tr w:rsidR="00903326" w:rsidRPr="00351ED7" w14:paraId="20AA64E0" w14:textId="77777777" w:rsidTr="00A366BF">
        <w:trPr>
          <w:trHeight w:val="52"/>
        </w:trPr>
        <w:tc>
          <w:tcPr>
            <w:tcW w:w="1560" w:type="dxa"/>
            <w:vMerge/>
          </w:tcPr>
          <w:p w14:paraId="0A557BA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0C76275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ZR</w:t>
            </w:r>
          </w:p>
        </w:tc>
        <w:tc>
          <w:tcPr>
            <w:tcW w:w="1559" w:type="dxa"/>
          </w:tcPr>
          <w:p w14:paraId="2BCEF9E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ZR</w:t>
            </w:r>
          </w:p>
        </w:tc>
        <w:tc>
          <w:tcPr>
            <w:tcW w:w="1417" w:type="dxa"/>
          </w:tcPr>
          <w:p w14:paraId="3E553A6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ZR</w:t>
            </w:r>
          </w:p>
        </w:tc>
        <w:tc>
          <w:tcPr>
            <w:tcW w:w="1134" w:type="dxa"/>
          </w:tcPr>
          <w:p w14:paraId="66AF53F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ZR</w:t>
            </w:r>
          </w:p>
        </w:tc>
        <w:tc>
          <w:tcPr>
            <w:tcW w:w="1560" w:type="dxa"/>
          </w:tcPr>
          <w:p w14:paraId="6F34376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ZR</w:t>
            </w:r>
          </w:p>
        </w:tc>
        <w:tc>
          <w:tcPr>
            <w:tcW w:w="1265" w:type="dxa"/>
          </w:tcPr>
          <w:p w14:paraId="413EC8C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ZR</w:t>
            </w:r>
          </w:p>
        </w:tc>
      </w:tr>
      <w:tr w:rsidR="00903326" w:rsidRPr="00351ED7" w14:paraId="7AC7A1AE" w14:textId="77777777" w:rsidTr="00A366BF">
        <w:tc>
          <w:tcPr>
            <w:tcW w:w="1560" w:type="dxa"/>
          </w:tcPr>
          <w:p w14:paraId="43EC974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GT</w:t>
            </w:r>
          </w:p>
        </w:tc>
        <w:tc>
          <w:tcPr>
            <w:tcW w:w="1418" w:type="dxa"/>
          </w:tcPr>
          <w:p w14:paraId="6674579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-0.528***</w:t>
            </w:r>
          </w:p>
        </w:tc>
        <w:tc>
          <w:tcPr>
            <w:tcW w:w="1559" w:type="dxa"/>
          </w:tcPr>
          <w:p w14:paraId="1850D25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6FA1F39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-0.690***</w:t>
            </w:r>
          </w:p>
        </w:tc>
        <w:tc>
          <w:tcPr>
            <w:tcW w:w="1134" w:type="dxa"/>
          </w:tcPr>
          <w:p w14:paraId="330B23E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4D6E11F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-0.928***</w:t>
            </w:r>
          </w:p>
        </w:tc>
        <w:tc>
          <w:tcPr>
            <w:tcW w:w="1265" w:type="dxa"/>
          </w:tcPr>
          <w:p w14:paraId="12B3120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7B23C906" w14:textId="77777777" w:rsidTr="00A366BF">
        <w:tc>
          <w:tcPr>
            <w:tcW w:w="1560" w:type="dxa"/>
          </w:tcPr>
          <w:p w14:paraId="57929C2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2E7E4FE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(-5.467)</w:t>
            </w:r>
          </w:p>
        </w:tc>
        <w:tc>
          <w:tcPr>
            <w:tcW w:w="1559" w:type="dxa"/>
          </w:tcPr>
          <w:p w14:paraId="3ECB22E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12080D8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(-7.743)</w:t>
            </w:r>
          </w:p>
        </w:tc>
        <w:tc>
          <w:tcPr>
            <w:tcW w:w="1134" w:type="dxa"/>
          </w:tcPr>
          <w:p w14:paraId="59FAF02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0ADC877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(-7.717)</w:t>
            </w:r>
          </w:p>
        </w:tc>
        <w:tc>
          <w:tcPr>
            <w:tcW w:w="1265" w:type="dxa"/>
          </w:tcPr>
          <w:p w14:paraId="49451AD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33FD4B50" w14:textId="77777777" w:rsidTr="00A366BF">
        <w:tc>
          <w:tcPr>
            <w:tcW w:w="1560" w:type="dxa"/>
          </w:tcPr>
          <w:p w14:paraId="26E3F55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GG</w:t>
            </w:r>
          </w:p>
        </w:tc>
        <w:tc>
          <w:tcPr>
            <w:tcW w:w="1418" w:type="dxa"/>
          </w:tcPr>
          <w:p w14:paraId="12482F1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7642BA4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-0.119***</w:t>
            </w:r>
          </w:p>
        </w:tc>
        <w:tc>
          <w:tcPr>
            <w:tcW w:w="1417" w:type="dxa"/>
          </w:tcPr>
          <w:p w14:paraId="78F10F7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52EBCBD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-0.424***</w:t>
            </w:r>
          </w:p>
        </w:tc>
        <w:tc>
          <w:tcPr>
            <w:tcW w:w="1560" w:type="dxa"/>
          </w:tcPr>
          <w:p w14:paraId="3AF8793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694FC31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-0.232***</w:t>
            </w:r>
          </w:p>
        </w:tc>
      </w:tr>
      <w:tr w:rsidR="00903326" w:rsidRPr="00351ED7" w14:paraId="41CF77C2" w14:textId="77777777" w:rsidTr="00A366BF">
        <w:tc>
          <w:tcPr>
            <w:tcW w:w="1560" w:type="dxa"/>
          </w:tcPr>
          <w:p w14:paraId="173F07B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6818C90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19E51CE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(-2.969)</w:t>
            </w:r>
          </w:p>
        </w:tc>
        <w:tc>
          <w:tcPr>
            <w:tcW w:w="1417" w:type="dxa"/>
          </w:tcPr>
          <w:p w14:paraId="0592EAC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7046208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(-3.026)</w:t>
            </w:r>
          </w:p>
        </w:tc>
        <w:tc>
          <w:tcPr>
            <w:tcW w:w="1560" w:type="dxa"/>
          </w:tcPr>
          <w:p w14:paraId="4D5B7A8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4978FEB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(-3.096)</w:t>
            </w:r>
          </w:p>
        </w:tc>
      </w:tr>
      <w:tr w:rsidR="00903326" w:rsidRPr="00351ED7" w14:paraId="3BB4FC36" w14:textId="77777777" w:rsidTr="00A366BF">
        <w:tc>
          <w:tcPr>
            <w:tcW w:w="1560" w:type="dxa"/>
          </w:tcPr>
          <w:p w14:paraId="4F3234C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Low middle</w:t>
            </w:r>
          </w:p>
        </w:tc>
        <w:tc>
          <w:tcPr>
            <w:tcW w:w="1418" w:type="dxa"/>
          </w:tcPr>
          <w:p w14:paraId="542088D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-0.053**</w:t>
            </w:r>
          </w:p>
        </w:tc>
        <w:tc>
          <w:tcPr>
            <w:tcW w:w="1559" w:type="dxa"/>
          </w:tcPr>
          <w:p w14:paraId="7F2DACC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-0.104***</w:t>
            </w:r>
          </w:p>
        </w:tc>
        <w:tc>
          <w:tcPr>
            <w:tcW w:w="1417" w:type="dxa"/>
          </w:tcPr>
          <w:p w14:paraId="164AACA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49CF6D3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359EE22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2B56CAF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10785CE4" w14:textId="77777777" w:rsidTr="00A366BF">
        <w:tc>
          <w:tcPr>
            <w:tcW w:w="1560" w:type="dxa"/>
          </w:tcPr>
          <w:p w14:paraId="293C69F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0DBA64C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(-2.044)</w:t>
            </w:r>
          </w:p>
        </w:tc>
        <w:tc>
          <w:tcPr>
            <w:tcW w:w="1559" w:type="dxa"/>
          </w:tcPr>
          <w:p w14:paraId="42B9E32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(-5.374)</w:t>
            </w:r>
          </w:p>
        </w:tc>
        <w:tc>
          <w:tcPr>
            <w:tcW w:w="1417" w:type="dxa"/>
          </w:tcPr>
          <w:p w14:paraId="704CA22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46F6124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692812B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4163106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4592EA19" w14:textId="77777777" w:rsidTr="00A366BF">
        <w:tc>
          <w:tcPr>
            <w:tcW w:w="1560" w:type="dxa"/>
          </w:tcPr>
          <w:p w14:paraId="74904FC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Upper middle</w:t>
            </w:r>
          </w:p>
        </w:tc>
        <w:tc>
          <w:tcPr>
            <w:tcW w:w="1418" w:type="dxa"/>
          </w:tcPr>
          <w:p w14:paraId="5F513A9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4A40AC3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2E1B5DC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0.059***</w:t>
            </w:r>
          </w:p>
        </w:tc>
        <w:tc>
          <w:tcPr>
            <w:tcW w:w="1134" w:type="dxa"/>
          </w:tcPr>
          <w:p w14:paraId="6AEA2E3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0.049***</w:t>
            </w:r>
          </w:p>
        </w:tc>
        <w:tc>
          <w:tcPr>
            <w:tcW w:w="1560" w:type="dxa"/>
          </w:tcPr>
          <w:p w14:paraId="34FB6B9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2C5B4C8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2F043CFE" w14:textId="77777777" w:rsidTr="00A366BF">
        <w:tc>
          <w:tcPr>
            <w:tcW w:w="1560" w:type="dxa"/>
          </w:tcPr>
          <w:p w14:paraId="302B96E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1347E86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48AB161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667AB74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(3.154)</w:t>
            </w:r>
          </w:p>
        </w:tc>
        <w:tc>
          <w:tcPr>
            <w:tcW w:w="1134" w:type="dxa"/>
          </w:tcPr>
          <w:p w14:paraId="0CD54F7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(2.718)</w:t>
            </w:r>
          </w:p>
        </w:tc>
        <w:tc>
          <w:tcPr>
            <w:tcW w:w="1560" w:type="dxa"/>
          </w:tcPr>
          <w:p w14:paraId="6E55948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643060F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4A58E030" w14:textId="77777777" w:rsidTr="00A366BF">
        <w:tc>
          <w:tcPr>
            <w:tcW w:w="1560" w:type="dxa"/>
          </w:tcPr>
          <w:p w14:paraId="50A4B9A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High income</w:t>
            </w:r>
          </w:p>
        </w:tc>
        <w:tc>
          <w:tcPr>
            <w:tcW w:w="1418" w:type="dxa"/>
          </w:tcPr>
          <w:p w14:paraId="5A72622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712B638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28952BB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7DBA31C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6B15025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0.170***</w:t>
            </w:r>
          </w:p>
        </w:tc>
        <w:tc>
          <w:tcPr>
            <w:tcW w:w="1265" w:type="dxa"/>
          </w:tcPr>
          <w:p w14:paraId="2007126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318A58C7" w14:textId="77777777" w:rsidTr="00A366BF">
        <w:tc>
          <w:tcPr>
            <w:tcW w:w="1560" w:type="dxa"/>
          </w:tcPr>
          <w:p w14:paraId="4E9D802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0B4B506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63579A1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32C0348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12AD2C9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189554A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(4.417)</w:t>
            </w:r>
          </w:p>
        </w:tc>
        <w:tc>
          <w:tcPr>
            <w:tcW w:w="1265" w:type="dxa"/>
          </w:tcPr>
          <w:p w14:paraId="33DC9D4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0.087***</w:t>
            </w:r>
          </w:p>
        </w:tc>
      </w:tr>
      <w:tr w:rsidR="00903326" w:rsidRPr="00351ED7" w14:paraId="25FEC40A" w14:textId="77777777" w:rsidTr="00A366BF">
        <w:tc>
          <w:tcPr>
            <w:tcW w:w="1560" w:type="dxa"/>
          </w:tcPr>
          <w:p w14:paraId="237C95A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GT*Lower</w:t>
            </w:r>
          </w:p>
        </w:tc>
        <w:tc>
          <w:tcPr>
            <w:tcW w:w="1418" w:type="dxa"/>
          </w:tcPr>
          <w:p w14:paraId="7D86B6F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0.231***</w:t>
            </w:r>
          </w:p>
        </w:tc>
        <w:tc>
          <w:tcPr>
            <w:tcW w:w="1559" w:type="dxa"/>
          </w:tcPr>
          <w:p w14:paraId="3426B0A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4B54892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051D9E3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5C4C6F8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7B5FD1C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(4.563)</w:t>
            </w:r>
          </w:p>
        </w:tc>
      </w:tr>
      <w:tr w:rsidR="00903326" w:rsidRPr="00351ED7" w14:paraId="7AD786B4" w14:textId="77777777" w:rsidTr="00A366BF">
        <w:tc>
          <w:tcPr>
            <w:tcW w:w="1560" w:type="dxa"/>
          </w:tcPr>
          <w:p w14:paraId="39B36EE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33B2616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(4.683)</w:t>
            </w:r>
          </w:p>
        </w:tc>
        <w:tc>
          <w:tcPr>
            <w:tcW w:w="1559" w:type="dxa"/>
          </w:tcPr>
          <w:p w14:paraId="5D4F327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4250B43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2D1F3EE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22BE283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7418EA0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3C057DDB" w14:textId="77777777" w:rsidTr="00A366BF">
        <w:tc>
          <w:tcPr>
            <w:tcW w:w="1560" w:type="dxa"/>
          </w:tcPr>
          <w:p w14:paraId="3957980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GG* Lower</w:t>
            </w:r>
          </w:p>
        </w:tc>
        <w:tc>
          <w:tcPr>
            <w:tcW w:w="1418" w:type="dxa"/>
          </w:tcPr>
          <w:p w14:paraId="706F5ED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7B9731D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0.048***</w:t>
            </w:r>
          </w:p>
        </w:tc>
        <w:tc>
          <w:tcPr>
            <w:tcW w:w="1417" w:type="dxa"/>
          </w:tcPr>
          <w:p w14:paraId="725F816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54F55D0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63FFEB4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6BF1F30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3174BED9" w14:textId="77777777" w:rsidTr="00A366BF">
        <w:tc>
          <w:tcPr>
            <w:tcW w:w="1560" w:type="dxa"/>
          </w:tcPr>
          <w:p w14:paraId="39BA0F7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31EFA74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51F0922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(2.678)</w:t>
            </w:r>
          </w:p>
        </w:tc>
        <w:tc>
          <w:tcPr>
            <w:tcW w:w="1417" w:type="dxa"/>
          </w:tcPr>
          <w:p w14:paraId="1524A43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39BC799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0E927F9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25365C0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2C85A381" w14:textId="77777777" w:rsidTr="00A366BF">
        <w:tc>
          <w:tcPr>
            <w:tcW w:w="1560" w:type="dxa"/>
          </w:tcPr>
          <w:p w14:paraId="66CA69E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GT* Upper</w:t>
            </w:r>
          </w:p>
        </w:tc>
        <w:tc>
          <w:tcPr>
            <w:tcW w:w="1418" w:type="dxa"/>
          </w:tcPr>
          <w:p w14:paraId="7E4E231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16A5884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6769813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0.287***</w:t>
            </w:r>
          </w:p>
        </w:tc>
        <w:tc>
          <w:tcPr>
            <w:tcW w:w="1134" w:type="dxa"/>
          </w:tcPr>
          <w:p w14:paraId="558F76D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7BCE2D9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2FB7780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51AA892A" w14:textId="77777777" w:rsidTr="00A366BF">
        <w:tc>
          <w:tcPr>
            <w:tcW w:w="1560" w:type="dxa"/>
          </w:tcPr>
          <w:p w14:paraId="1DDE4D5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744A461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606FDCB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3E74063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(5.599)</w:t>
            </w:r>
          </w:p>
        </w:tc>
        <w:tc>
          <w:tcPr>
            <w:tcW w:w="1134" w:type="dxa"/>
          </w:tcPr>
          <w:p w14:paraId="041F57B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41755C0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4E5944A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0D6771DB" w14:textId="77777777" w:rsidTr="00A366BF">
        <w:tc>
          <w:tcPr>
            <w:tcW w:w="1560" w:type="dxa"/>
          </w:tcPr>
          <w:p w14:paraId="165CDE5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GG* Upper</w:t>
            </w:r>
          </w:p>
        </w:tc>
        <w:tc>
          <w:tcPr>
            <w:tcW w:w="1418" w:type="dxa"/>
          </w:tcPr>
          <w:p w14:paraId="03CA471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0214DEA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75AF264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5B5B672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0.044**</w:t>
            </w:r>
          </w:p>
        </w:tc>
        <w:tc>
          <w:tcPr>
            <w:tcW w:w="1560" w:type="dxa"/>
          </w:tcPr>
          <w:p w14:paraId="5C9218E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6BD2B49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5BE88199" w14:textId="77777777" w:rsidTr="00A366BF">
        <w:tc>
          <w:tcPr>
            <w:tcW w:w="1560" w:type="dxa"/>
          </w:tcPr>
          <w:p w14:paraId="5487A66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730811C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179E5D3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316A550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574BDB4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(2.552)</w:t>
            </w:r>
          </w:p>
        </w:tc>
        <w:tc>
          <w:tcPr>
            <w:tcW w:w="1560" w:type="dxa"/>
          </w:tcPr>
          <w:p w14:paraId="142843C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67BD155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19C629D4" w14:textId="77777777" w:rsidTr="00A366BF">
        <w:tc>
          <w:tcPr>
            <w:tcW w:w="1560" w:type="dxa"/>
          </w:tcPr>
          <w:p w14:paraId="01C0A00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GT* High</w:t>
            </w:r>
          </w:p>
        </w:tc>
        <w:tc>
          <w:tcPr>
            <w:tcW w:w="1418" w:type="dxa"/>
          </w:tcPr>
          <w:p w14:paraId="55C6FC8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4DD2FA2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31D26CC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70A2D46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31BB0DF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0.523***</w:t>
            </w:r>
          </w:p>
        </w:tc>
        <w:tc>
          <w:tcPr>
            <w:tcW w:w="1265" w:type="dxa"/>
          </w:tcPr>
          <w:p w14:paraId="7012BC1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1355C984" w14:textId="77777777" w:rsidTr="00A366BF">
        <w:tc>
          <w:tcPr>
            <w:tcW w:w="1560" w:type="dxa"/>
          </w:tcPr>
          <w:p w14:paraId="623F667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354B6CE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299E9DA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4514176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2ED248D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5441676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(4.156)</w:t>
            </w:r>
          </w:p>
        </w:tc>
        <w:tc>
          <w:tcPr>
            <w:tcW w:w="1265" w:type="dxa"/>
          </w:tcPr>
          <w:p w14:paraId="6C299C1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r>
      <w:tr w:rsidR="00903326" w:rsidRPr="00351ED7" w14:paraId="2DD4CFD3" w14:textId="77777777" w:rsidTr="00A366BF">
        <w:tc>
          <w:tcPr>
            <w:tcW w:w="1560" w:type="dxa"/>
          </w:tcPr>
          <w:p w14:paraId="5D20986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GG* High</w:t>
            </w:r>
          </w:p>
        </w:tc>
        <w:tc>
          <w:tcPr>
            <w:tcW w:w="1418" w:type="dxa"/>
          </w:tcPr>
          <w:p w14:paraId="4683A44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4340F64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2E33EEA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1956A09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2B5B44E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676F246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0.050***</w:t>
            </w:r>
          </w:p>
        </w:tc>
      </w:tr>
      <w:tr w:rsidR="00903326" w:rsidRPr="00351ED7" w14:paraId="5C139BD0" w14:textId="77777777" w:rsidTr="00A366BF">
        <w:tc>
          <w:tcPr>
            <w:tcW w:w="1560" w:type="dxa"/>
          </w:tcPr>
          <w:p w14:paraId="583598E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1B37F28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59" w:type="dxa"/>
          </w:tcPr>
          <w:p w14:paraId="4C5FA3E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7" w:type="dxa"/>
          </w:tcPr>
          <w:p w14:paraId="0C2052C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134" w:type="dxa"/>
          </w:tcPr>
          <w:p w14:paraId="4F145F0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560" w:type="dxa"/>
          </w:tcPr>
          <w:p w14:paraId="5B8F6FD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265" w:type="dxa"/>
          </w:tcPr>
          <w:p w14:paraId="28C3013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(2.692)</w:t>
            </w:r>
          </w:p>
        </w:tc>
      </w:tr>
      <w:tr w:rsidR="00903326" w:rsidRPr="00351ED7" w14:paraId="3750D3BB" w14:textId="77777777" w:rsidTr="00A366BF">
        <w:tc>
          <w:tcPr>
            <w:tcW w:w="1560" w:type="dxa"/>
          </w:tcPr>
          <w:p w14:paraId="774D50C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BS</w:t>
            </w:r>
          </w:p>
        </w:tc>
        <w:tc>
          <w:tcPr>
            <w:tcW w:w="1418" w:type="dxa"/>
          </w:tcPr>
          <w:p w14:paraId="6C21CB4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0.021*</w:t>
            </w:r>
          </w:p>
        </w:tc>
        <w:tc>
          <w:tcPr>
            <w:tcW w:w="1559" w:type="dxa"/>
          </w:tcPr>
          <w:p w14:paraId="6781022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0.007*</w:t>
            </w:r>
          </w:p>
        </w:tc>
        <w:tc>
          <w:tcPr>
            <w:tcW w:w="1417" w:type="dxa"/>
          </w:tcPr>
          <w:p w14:paraId="5B3C0FB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0.009*</w:t>
            </w:r>
          </w:p>
        </w:tc>
        <w:tc>
          <w:tcPr>
            <w:tcW w:w="1134" w:type="dxa"/>
          </w:tcPr>
          <w:p w14:paraId="2A32F9B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0.020*</w:t>
            </w:r>
          </w:p>
        </w:tc>
        <w:tc>
          <w:tcPr>
            <w:tcW w:w="1560" w:type="dxa"/>
          </w:tcPr>
          <w:p w14:paraId="00A33B2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0.012*</w:t>
            </w:r>
          </w:p>
        </w:tc>
        <w:tc>
          <w:tcPr>
            <w:tcW w:w="1265" w:type="dxa"/>
          </w:tcPr>
          <w:p w14:paraId="1120EDD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0.003*</w:t>
            </w:r>
          </w:p>
        </w:tc>
      </w:tr>
      <w:tr w:rsidR="00903326" w:rsidRPr="00351ED7" w14:paraId="2E6BE9A4" w14:textId="77777777" w:rsidTr="00A366BF">
        <w:tc>
          <w:tcPr>
            <w:tcW w:w="1560" w:type="dxa"/>
          </w:tcPr>
          <w:p w14:paraId="32D779A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0F61B24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(1.757)</w:t>
            </w:r>
          </w:p>
        </w:tc>
        <w:tc>
          <w:tcPr>
            <w:tcW w:w="1559" w:type="dxa"/>
          </w:tcPr>
          <w:p w14:paraId="3200849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(1.842)</w:t>
            </w:r>
          </w:p>
        </w:tc>
        <w:tc>
          <w:tcPr>
            <w:tcW w:w="1417" w:type="dxa"/>
          </w:tcPr>
          <w:p w14:paraId="58EB5CE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(1.903)</w:t>
            </w:r>
          </w:p>
        </w:tc>
        <w:tc>
          <w:tcPr>
            <w:tcW w:w="1134" w:type="dxa"/>
          </w:tcPr>
          <w:p w14:paraId="585932F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(1.780)</w:t>
            </w:r>
          </w:p>
        </w:tc>
        <w:tc>
          <w:tcPr>
            <w:tcW w:w="1560" w:type="dxa"/>
          </w:tcPr>
          <w:p w14:paraId="7105D88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(1.692)</w:t>
            </w:r>
          </w:p>
        </w:tc>
        <w:tc>
          <w:tcPr>
            <w:tcW w:w="1265" w:type="dxa"/>
          </w:tcPr>
          <w:p w14:paraId="0851350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(1.932)</w:t>
            </w:r>
          </w:p>
        </w:tc>
      </w:tr>
      <w:tr w:rsidR="00903326" w:rsidRPr="00351ED7" w14:paraId="57D22238" w14:textId="77777777" w:rsidTr="00A366BF">
        <w:tc>
          <w:tcPr>
            <w:tcW w:w="1560" w:type="dxa"/>
          </w:tcPr>
          <w:p w14:paraId="7CEF16D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CA</w:t>
            </w:r>
          </w:p>
        </w:tc>
        <w:tc>
          <w:tcPr>
            <w:tcW w:w="1418" w:type="dxa"/>
          </w:tcPr>
          <w:p w14:paraId="7B4BFCE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0.006***</w:t>
            </w:r>
          </w:p>
        </w:tc>
        <w:tc>
          <w:tcPr>
            <w:tcW w:w="1559" w:type="dxa"/>
          </w:tcPr>
          <w:p w14:paraId="2D32698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0.008***</w:t>
            </w:r>
          </w:p>
        </w:tc>
        <w:tc>
          <w:tcPr>
            <w:tcW w:w="1417" w:type="dxa"/>
          </w:tcPr>
          <w:p w14:paraId="02068B9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0.010***</w:t>
            </w:r>
          </w:p>
        </w:tc>
        <w:tc>
          <w:tcPr>
            <w:tcW w:w="1134" w:type="dxa"/>
          </w:tcPr>
          <w:p w14:paraId="5026519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0.010***</w:t>
            </w:r>
          </w:p>
        </w:tc>
        <w:tc>
          <w:tcPr>
            <w:tcW w:w="1560" w:type="dxa"/>
          </w:tcPr>
          <w:p w14:paraId="6914BBA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0.007***</w:t>
            </w:r>
          </w:p>
        </w:tc>
        <w:tc>
          <w:tcPr>
            <w:tcW w:w="1265" w:type="dxa"/>
          </w:tcPr>
          <w:p w14:paraId="5B6F4C6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0.019***</w:t>
            </w:r>
          </w:p>
        </w:tc>
      </w:tr>
      <w:tr w:rsidR="00903326" w:rsidRPr="00351ED7" w14:paraId="147FCEEE" w14:textId="77777777" w:rsidTr="00A366BF">
        <w:tc>
          <w:tcPr>
            <w:tcW w:w="1560" w:type="dxa"/>
          </w:tcPr>
          <w:p w14:paraId="3377974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0DF3964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(4.675)</w:t>
            </w:r>
          </w:p>
        </w:tc>
        <w:tc>
          <w:tcPr>
            <w:tcW w:w="1559" w:type="dxa"/>
          </w:tcPr>
          <w:p w14:paraId="54D9C61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(5.393)</w:t>
            </w:r>
          </w:p>
        </w:tc>
        <w:tc>
          <w:tcPr>
            <w:tcW w:w="1417" w:type="dxa"/>
          </w:tcPr>
          <w:p w14:paraId="41912A1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(5.326)</w:t>
            </w:r>
          </w:p>
        </w:tc>
        <w:tc>
          <w:tcPr>
            <w:tcW w:w="1134" w:type="dxa"/>
          </w:tcPr>
          <w:p w14:paraId="79085DA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(6.234)</w:t>
            </w:r>
          </w:p>
        </w:tc>
        <w:tc>
          <w:tcPr>
            <w:tcW w:w="1560" w:type="dxa"/>
          </w:tcPr>
          <w:p w14:paraId="50FD39A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(5.893)</w:t>
            </w:r>
          </w:p>
        </w:tc>
        <w:tc>
          <w:tcPr>
            <w:tcW w:w="1265" w:type="dxa"/>
          </w:tcPr>
          <w:p w14:paraId="1D99132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(6.812)</w:t>
            </w:r>
          </w:p>
        </w:tc>
      </w:tr>
      <w:tr w:rsidR="00903326" w:rsidRPr="00351ED7" w14:paraId="1905B9F1" w14:textId="77777777" w:rsidTr="00A366BF">
        <w:tc>
          <w:tcPr>
            <w:tcW w:w="1560" w:type="dxa"/>
          </w:tcPr>
          <w:p w14:paraId="0632303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AG</w:t>
            </w:r>
          </w:p>
        </w:tc>
        <w:tc>
          <w:tcPr>
            <w:tcW w:w="1418" w:type="dxa"/>
          </w:tcPr>
          <w:p w14:paraId="4E6F965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0.135*</w:t>
            </w:r>
          </w:p>
        </w:tc>
        <w:tc>
          <w:tcPr>
            <w:tcW w:w="1559" w:type="dxa"/>
          </w:tcPr>
          <w:p w14:paraId="29E6D5C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0.094*</w:t>
            </w:r>
          </w:p>
        </w:tc>
        <w:tc>
          <w:tcPr>
            <w:tcW w:w="1417" w:type="dxa"/>
          </w:tcPr>
          <w:p w14:paraId="17A4152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0.114*</w:t>
            </w:r>
          </w:p>
        </w:tc>
        <w:tc>
          <w:tcPr>
            <w:tcW w:w="1134" w:type="dxa"/>
          </w:tcPr>
          <w:p w14:paraId="0CCC353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0.121*</w:t>
            </w:r>
          </w:p>
        </w:tc>
        <w:tc>
          <w:tcPr>
            <w:tcW w:w="1560" w:type="dxa"/>
          </w:tcPr>
          <w:p w14:paraId="112138E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0.120*</w:t>
            </w:r>
          </w:p>
        </w:tc>
        <w:tc>
          <w:tcPr>
            <w:tcW w:w="1265" w:type="dxa"/>
          </w:tcPr>
          <w:p w14:paraId="428F92F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0.113*</w:t>
            </w:r>
          </w:p>
        </w:tc>
      </w:tr>
      <w:tr w:rsidR="00903326" w:rsidRPr="00351ED7" w14:paraId="60E7EC5E" w14:textId="77777777" w:rsidTr="00A366BF">
        <w:tc>
          <w:tcPr>
            <w:tcW w:w="1560" w:type="dxa"/>
          </w:tcPr>
          <w:p w14:paraId="0BBB0C7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21DA411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(1.958)</w:t>
            </w:r>
          </w:p>
        </w:tc>
        <w:tc>
          <w:tcPr>
            <w:tcW w:w="1559" w:type="dxa"/>
          </w:tcPr>
          <w:p w14:paraId="4D0005F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(1.722)</w:t>
            </w:r>
          </w:p>
        </w:tc>
        <w:tc>
          <w:tcPr>
            <w:tcW w:w="1417" w:type="dxa"/>
          </w:tcPr>
          <w:p w14:paraId="14F1C32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(1.949)</w:t>
            </w:r>
          </w:p>
        </w:tc>
        <w:tc>
          <w:tcPr>
            <w:tcW w:w="1134" w:type="dxa"/>
          </w:tcPr>
          <w:p w14:paraId="19D9652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(1.721)</w:t>
            </w:r>
          </w:p>
        </w:tc>
        <w:tc>
          <w:tcPr>
            <w:tcW w:w="1560" w:type="dxa"/>
          </w:tcPr>
          <w:p w14:paraId="440A277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(1.790)</w:t>
            </w:r>
          </w:p>
        </w:tc>
        <w:tc>
          <w:tcPr>
            <w:tcW w:w="1265" w:type="dxa"/>
          </w:tcPr>
          <w:p w14:paraId="5497DC3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(1.671)</w:t>
            </w:r>
          </w:p>
        </w:tc>
      </w:tr>
      <w:tr w:rsidR="00903326" w:rsidRPr="00351ED7" w14:paraId="22340542" w14:textId="77777777" w:rsidTr="00A366BF">
        <w:tc>
          <w:tcPr>
            <w:tcW w:w="1560" w:type="dxa"/>
          </w:tcPr>
          <w:p w14:paraId="3C63A97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LG</w:t>
            </w:r>
          </w:p>
        </w:tc>
        <w:tc>
          <w:tcPr>
            <w:tcW w:w="1418" w:type="dxa"/>
          </w:tcPr>
          <w:p w14:paraId="56681EF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0.095*</w:t>
            </w:r>
          </w:p>
        </w:tc>
        <w:tc>
          <w:tcPr>
            <w:tcW w:w="1559" w:type="dxa"/>
          </w:tcPr>
          <w:p w14:paraId="73794F3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0.159*</w:t>
            </w:r>
          </w:p>
        </w:tc>
        <w:tc>
          <w:tcPr>
            <w:tcW w:w="1417" w:type="dxa"/>
          </w:tcPr>
          <w:p w14:paraId="0FE198A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0.069*</w:t>
            </w:r>
          </w:p>
        </w:tc>
        <w:tc>
          <w:tcPr>
            <w:tcW w:w="1134" w:type="dxa"/>
          </w:tcPr>
          <w:p w14:paraId="5CA9E8D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0.077*</w:t>
            </w:r>
          </w:p>
        </w:tc>
        <w:tc>
          <w:tcPr>
            <w:tcW w:w="1560" w:type="dxa"/>
          </w:tcPr>
          <w:p w14:paraId="7D56D72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0.071*</w:t>
            </w:r>
          </w:p>
        </w:tc>
        <w:tc>
          <w:tcPr>
            <w:tcW w:w="1265" w:type="dxa"/>
          </w:tcPr>
          <w:p w14:paraId="0788B27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0.018*</w:t>
            </w:r>
          </w:p>
        </w:tc>
      </w:tr>
      <w:tr w:rsidR="00903326" w:rsidRPr="00351ED7" w14:paraId="1DF2145C" w14:textId="77777777" w:rsidTr="00A366BF">
        <w:tc>
          <w:tcPr>
            <w:tcW w:w="1560" w:type="dxa"/>
          </w:tcPr>
          <w:p w14:paraId="40BA700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4B684EC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(1.713)</w:t>
            </w:r>
          </w:p>
        </w:tc>
        <w:tc>
          <w:tcPr>
            <w:tcW w:w="1559" w:type="dxa"/>
          </w:tcPr>
          <w:p w14:paraId="7BA1FAE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(1.811)</w:t>
            </w:r>
          </w:p>
        </w:tc>
        <w:tc>
          <w:tcPr>
            <w:tcW w:w="1417" w:type="dxa"/>
          </w:tcPr>
          <w:p w14:paraId="10238A5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(1.832)</w:t>
            </w:r>
          </w:p>
        </w:tc>
        <w:tc>
          <w:tcPr>
            <w:tcW w:w="1134" w:type="dxa"/>
          </w:tcPr>
          <w:p w14:paraId="3E7F39B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(1.698)</w:t>
            </w:r>
          </w:p>
        </w:tc>
        <w:tc>
          <w:tcPr>
            <w:tcW w:w="1560" w:type="dxa"/>
          </w:tcPr>
          <w:p w14:paraId="31D71DD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(1.761)</w:t>
            </w:r>
          </w:p>
        </w:tc>
        <w:tc>
          <w:tcPr>
            <w:tcW w:w="1265" w:type="dxa"/>
          </w:tcPr>
          <w:p w14:paraId="249FB51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(1.943)</w:t>
            </w:r>
          </w:p>
        </w:tc>
      </w:tr>
      <w:tr w:rsidR="00903326" w:rsidRPr="00351ED7" w14:paraId="6E492A47" w14:textId="77777777" w:rsidTr="00A366BF">
        <w:tc>
          <w:tcPr>
            <w:tcW w:w="1560" w:type="dxa"/>
          </w:tcPr>
          <w:p w14:paraId="6B03D65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w:t>
            </w:r>
          </w:p>
        </w:tc>
        <w:tc>
          <w:tcPr>
            <w:tcW w:w="1418" w:type="dxa"/>
          </w:tcPr>
          <w:p w14:paraId="0D42243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-0.006***</w:t>
            </w:r>
          </w:p>
        </w:tc>
        <w:tc>
          <w:tcPr>
            <w:tcW w:w="1559" w:type="dxa"/>
          </w:tcPr>
          <w:p w14:paraId="3D751C3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-0.012***</w:t>
            </w:r>
          </w:p>
        </w:tc>
        <w:tc>
          <w:tcPr>
            <w:tcW w:w="1417" w:type="dxa"/>
          </w:tcPr>
          <w:p w14:paraId="50C74A1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-0.005*</w:t>
            </w:r>
          </w:p>
        </w:tc>
        <w:tc>
          <w:tcPr>
            <w:tcW w:w="1134" w:type="dxa"/>
          </w:tcPr>
          <w:p w14:paraId="0871F00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-0.006**</w:t>
            </w:r>
          </w:p>
        </w:tc>
        <w:tc>
          <w:tcPr>
            <w:tcW w:w="1560" w:type="dxa"/>
          </w:tcPr>
          <w:p w14:paraId="1611312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-0.005**</w:t>
            </w:r>
          </w:p>
        </w:tc>
        <w:tc>
          <w:tcPr>
            <w:tcW w:w="1265" w:type="dxa"/>
          </w:tcPr>
          <w:p w14:paraId="2C986AE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-0.004*</w:t>
            </w:r>
          </w:p>
        </w:tc>
      </w:tr>
      <w:tr w:rsidR="00903326" w:rsidRPr="00351ED7" w14:paraId="5A8E852E" w14:textId="77777777" w:rsidTr="00A366BF">
        <w:tc>
          <w:tcPr>
            <w:tcW w:w="1560" w:type="dxa"/>
          </w:tcPr>
          <w:p w14:paraId="07E7DF4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656C850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(-2.657)</w:t>
            </w:r>
          </w:p>
        </w:tc>
        <w:tc>
          <w:tcPr>
            <w:tcW w:w="1559" w:type="dxa"/>
          </w:tcPr>
          <w:p w14:paraId="0F380AC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(-5.485)</w:t>
            </w:r>
          </w:p>
        </w:tc>
        <w:tc>
          <w:tcPr>
            <w:tcW w:w="1417" w:type="dxa"/>
          </w:tcPr>
          <w:p w14:paraId="7403293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(-1.936)</w:t>
            </w:r>
          </w:p>
        </w:tc>
        <w:tc>
          <w:tcPr>
            <w:tcW w:w="1134" w:type="dxa"/>
          </w:tcPr>
          <w:p w14:paraId="385145E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(-2.337)</w:t>
            </w:r>
          </w:p>
        </w:tc>
        <w:tc>
          <w:tcPr>
            <w:tcW w:w="1560" w:type="dxa"/>
          </w:tcPr>
          <w:p w14:paraId="20F2780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(-2.113)</w:t>
            </w:r>
          </w:p>
        </w:tc>
        <w:tc>
          <w:tcPr>
            <w:tcW w:w="1265" w:type="dxa"/>
          </w:tcPr>
          <w:p w14:paraId="10F322E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(-1.697)</w:t>
            </w:r>
          </w:p>
        </w:tc>
      </w:tr>
      <w:tr w:rsidR="00903326" w:rsidRPr="00351ED7" w14:paraId="1AFAF8FF" w14:textId="77777777" w:rsidTr="00A366BF">
        <w:tc>
          <w:tcPr>
            <w:tcW w:w="1560" w:type="dxa"/>
          </w:tcPr>
          <w:p w14:paraId="2898155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GD</w:t>
            </w:r>
          </w:p>
        </w:tc>
        <w:tc>
          <w:tcPr>
            <w:tcW w:w="1418" w:type="dxa"/>
          </w:tcPr>
          <w:p w14:paraId="6D76BBE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0.011**</w:t>
            </w:r>
          </w:p>
        </w:tc>
        <w:tc>
          <w:tcPr>
            <w:tcW w:w="1559" w:type="dxa"/>
          </w:tcPr>
          <w:p w14:paraId="7F14B52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0.015***</w:t>
            </w:r>
          </w:p>
        </w:tc>
        <w:tc>
          <w:tcPr>
            <w:tcW w:w="1417" w:type="dxa"/>
          </w:tcPr>
          <w:p w14:paraId="5876D11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0.009**</w:t>
            </w:r>
          </w:p>
        </w:tc>
        <w:tc>
          <w:tcPr>
            <w:tcW w:w="1134" w:type="dxa"/>
          </w:tcPr>
          <w:p w14:paraId="6141430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0.006*</w:t>
            </w:r>
          </w:p>
        </w:tc>
        <w:tc>
          <w:tcPr>
            <w:tcW w:w="1560" w:type="dxa"/>
          </w:tcPr>
          <w:p w14:paraId="1FB5B9F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0.011***</w:t>
            </w:r>
          </w:p>
        </w:tc>
        <w:tc>
          <w:tcPr>
            <w:tcW w:w="1265" w:type="dxa"/>
          </w:tcPr>
          <w:p w14:paraId="19ACF33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0.005*</w:t>
            </w:r>
          </w:p>
        </w:tc>
      </w:tr>
      <w:tr w:rsidR="00903326" w:rsidRPr="00351ED7" w14:paraId="0DFCAF40" w14:textId="77777777" w:rsidTr="00A366BF">
        <w:tc>
          <w:tcPr>
            <w:tcW w:w="1560" w:type="dxa"/>
          </w:tcPr>
          <w:p w14:paraId="292EFFB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0B14E85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(2.441)</w:t>
            </w:r>
          </w:p>
        </w:tc>
        <w:tc>
          <w:tcPr>
            <w:tcW w:w="1559" w:type="dxa"/>
          </w:tcPr>
          <w:p w14:paraId="3C22622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(3.364)</w:t>
            </w:r>
          </w:p>
        </w:tc>
        <w:tc>
          <w:tcPr>
            <w:tcW w:w="1417" w:type="dxa"/>
          </w:tcPr>
          <w:p w14:paraId="0E1BE7A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(2.039)</w:t>
            </w:r>
          </w:p>
        </w:tc>
        <w:tc>
          <w:tcPr>
            <w:tcW w:w="1134" w:type="dxa"/>
          </w:tcPr>
          <w:p w14:paraId="5F93C79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(1.861)</w:t>
            </w:r>
          </w:p>
        </w:tc>
        <w:tc>
          <w:tcPr>
            <w:tcW w:w="1560" w:type="dxa"/>
          </w:tcPr>
          <w:p w14:paraId="435BD8D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(2.601)</w:t>
            </w:r>
          </w:p>
        </w:tc>
        <w:tc>
          <w:tcPr>
            <w:tcW w:w="1265" w:type="dxa"/>
          </w:tcPr>
          <w:p w14:paraId="359AC82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(1.938)</w:t>
            </w:r>
          </w:p>
        </w:tc>
      </w:tr>
      <w:tr w:rsidR="00903326" w:rsidRPr="00351ED7" w14:paraId="1248BC53" w14:textId="77777777" w:rsidTr="00A366BF">
        <w:tc>
          <w:tcPr>
            <w:tcW w:w="1560" w:type="dxa"/>
          </w:tcPr>
          <w:p w14:paraId="31DBD72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lastRenderedPageBreak/>
              <w:t>Year FE</w:t>
            </w:r>
          </w:p>
        </w:tc>
        <w:tc>
          <w:tcPr>
            <w:tcW w:w="1418" w:type="dxa"/>
          </w:tcPr>
          <w:p w14:paraId="59D9059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559" w:type="dxa"/>
          </w:tcPr>
          <w:p w14:paraId="75B98F8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417" w:type="dxa"/>
          </w:tcPr>
          <w:p w14:paraId="6AC44E6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134" w:type="dxa"/>
          </w:tcPr>
          <w:p w14:paraId="0800211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560" w:type="dxa"/>
          </w:tcPr>
          <w:p w14:paraId="0801D28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265" w:type="dxa"/>
          </w:tcPr>
          <w:p w14:paraId="48F5A1B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r>
      <w:tr w:rsidR="00903326" w:rsidRPr="00351ED7" w14:paraId="6B8B3ADD" w14:textId="77777777" w:rsidTr="00A366BF">
        <w:tc>
          <w:tcPr>
            <w:tcW w:w="1560" w:type="dxa"/>
          </w:tcPr>
          <w:p w14:paraId="0B6D786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Country FE</w:t>
            </w:r>
          </w:p>
        </w:tc>
        <w:tc>
          <w:tcPr>
            <w:tcW w:w="1418" w:type="dxa"/>
          </w:tcPr>
          <w:p w14:paraId="01B0960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559" w:type="dxa"/>
          </w:tcPr>
          <w:p w14:paraId="6E78747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417" w:type="dxa"/>
          </w:tcPr>
          <w:p w14:paraId="1E19D97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134" w:type="dxa"/>
          </w:tcPr>
          <w:p w14:paraId="60B8BD5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560" w:type="dxa"/>
          </w:tcPr>
          <w:p w14:paraId="2A43956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c>
          <w:tcPr>
            <w:tcW w:w="1265" w:type="dxa"/>
          </w:tcPr>
          <w:p w14:paraId="7DC78D7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Included</w:t>
            </w:r>
          </w:p>
        </w:tc>
      </w:tr>
      <w:tr w:rsidR="00903326" w:rsidRPr="00351ED7" w14:paraId="44888E80" w14:textId="77777777" w:rsidTr="00A366BF">
        <w:tc>
          <w:tcPr>
            <w:tcW w:w="1560" w:type="dxa"/>
          </w:tcPr>
          <w:p w14:paraId="575E1D4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Constant</w:t>
            </w:r>
          </w:p>
        </w:tc>
        <w:tc>
          <w:tcPr>
            <w:tcW w:w="1418" w:type="dxa"/>
          </w:tcPr>
          <w:p w14:paraId="50971E4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1.542***</w:t>
            </w:r>
          </w:p>
        </w:tc>
        <w:tc>
          <w:tcPr>
            <w:tcW w:w="1559" w:type="dxa"/>
          </w:tcPr>
          <w:p w14:paraId="5070E3E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1.665***</w:t>
            </w:r>
          </w:p>
        </w:tc>
        <w:tc>
          <w:tcPr>
            <w:tcW w:w="1417" w:type="dxa"/>
          </w:tcPr>
          <w:p w14:paraId="15E30C0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1.480***</w:t>
            </w:r>
          </w:p>
        </w:tc>
        <w:tc>
          <w:tcPr>
            <w:tcW w:w="1134" w:type="dxa"/>
          </w:tcPr>
          <w:p w14:paraId="4251217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1.508***</w:t>
            </w:r>
          </w:p>
        </w:tc>
        <w:tc>
          <w:tcPr>
            <w:tcW w:w="1560" w:type="dxa"/>
          </w:tcPr>
          <w:p w14:paraId="3D7E940C"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1.591***</w:t>
            </w:r>
          </w:p>
        </w:tc>
        <w:tc>
          <w:tcPr>
            <w:tcW w:w="1265" w:type="dxa"/>
          </w:tcPr>
          <w:p w14:paraId="3C026FD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1.538***</w:t>
            </w:r>
          </w:p>
        </w:tc>
      </w:tr>
      <w:tr w:rsidR="00903326" w:rsidRPr="00351ED7" w14:paraId="7D305F3B" w14:textId="77777777" w:rsidTr="00A366BF">
        <w:tc>
          <w:tcPr>
            <w:tcW w:w="1560" w:type="dxa"/>
          </w:tcPr>
          <w:p w14:paraId="45CF9BB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p>
        </w:tc>
        <w:tc>
          <w:tcPr>
            <w:tcW w:w="1418" w:type="dxa"/>
          </w:tcPr>
          <w:p w14:paraId="4895A5C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(6.371)</w:t>
            </w:r>
          </w:p>
        </w:tc>
        <w:tc>
          <w:tcPr>
            <w:tcW w:w="1559" w:type="dxa"/>
          </w:tcPr>
          <w:p w14:paraId="3006A00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(3.145)</w:t>
            </w:r>
          </w:p>
        </w:tc>
        <w:tc>
          <w:tcPr>
            <w:tcW w:w="1417" w:type="dxa"/>
          </w:tcPr>
          <w:p w14:paraId="0935543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(5.640)</w:t>
            </w:r>
          </w:p>
        </w:tc>
        <w:tc>
          <w:tcPr>
            <w:tcW w:w="1134" w:type="dxa"/>
          </w:tcPr>
          <w:p w14:paraId="5DEC22CF"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(4.687)</w:t>
            </w:r>
          </w:p>
        </w:tc>
        <w:tc>
          <w:tcPr>
            <w:tcW w:w="1560" w:type="dxa"/>
          </w:tcPr>
          <w:p w14:paraId="470049D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(4.996)</w:t>
            </w:r>
          </w:p>
        </w:tc>
        <w:tc>
          <w:tcPr>
            <w:tcW w:w="1265" w:type="dxa"/>
          </w:tcPr>
          <w:p w14:paraId="711CE95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(3.907)</w:t>
            </w:r>
          </w:p>
        </w:tc>
      </w:tr>
      <w:tr w:rsidR="00903326" w:rsidRPr="00351ED7" w14:paraId="48E17C64" w14:textId="77777777" w:rsidTr="00A366BF">
        <w:tc>
          <w:tcPr>
            <w:tcW w:w="1560" w:type="dxa"/>
          </w:tcPr>
          <w:p w14:paraId="43C2564A"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N</w:t>
            </w:r>
          </w:p>
        </w:tc>
        <w:tc>
          <w:tcPr>
            <w:tcW w:w="1418" w:type="dxa"/>
          </w:tcPr>
          <w:p w14:paraId="1175387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936</w:t>
            </w:r>
          </w:p>
        </w:tc>
        <w:tc>
          <w:tcPr>
            <w:tcW w:w="1559" w:type="dxa"/>
          </w:tcPr>
          <w:p w14:paraId="5903F011"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936</w:t>
            </w:r>
          </w:p>
        </w:tc>
        <w:tc>
          <w:tcPr>
            <w:tcW w:w="1417" w:type="dxa"/>
          </w:tcPr>
          <w:p w14:paraId="071D96E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270</w:t>
            </w:r>
          </w:p>
        </w:tc>
        <w:tc>
          <w:tcPr>
            <w:tcW w:w="1134" w:type="dxa"/>
          </w:tcPr>
          <w:p w14:paraId="1533679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270</w:t>
            </w:r>
          </w:p>
        </w:tc>
        <w:tc>
          <w:tcPr>
            <w:tcW w:w="1560" w:type="dxa"/>
          </w:tcPr>
          <w:p w14:paraId="701940B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810</w:t>
            </w:r>
          </w:p>
        </w:tc>
        <w:tc>
          <w:tcPr>
            <w:tcW w:w="1265" w:type="dxa"/>
          </w:tcPr>
          <w:p w14:paraId="13D40C1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810</w:t>
            </w:r>
          </w:p>
        </w:tc>
      </w:tr>
      <w:tr w:rsidR="00903326" w:rsidRPr="00351ED7" w14:paraId="5C4EDF52" w14:textId="77777777" w:rsidTr="00A366BF">
        <w:tc>
          <w:tcPr>
            <w:tcW w:w="1560" w:type="dxa"/>
          </w:tcPr>
          <w:p w14:paraId="0D6DE997"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R-squared</w:t>
            </w:r>
          </w:p>
        </w:tc>
        <w:tc>
          <w:tcPr>
            <w:tcW w:w="1418" w:type="dxa"/>
          </w:tcPr>
          <w:p w14:paraId="4CA6F07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0.564</w:t>
            </w:r>
          </w:p>
        </w:tc>
        <w:tc>
          <w:tcPr>
            <w:tcW w:w="1559" w:type="dxa"/>
          </w:tcPr>
          <w:p w14:paraId="3B64D2D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0.439</w:t>
            </w:r>
          </w:p>
        </w:tc>
        <w:tc>
          <w:tcPr>
            <w:tcW w:w="1417" w:type="dxa"/>
          </w:tcPr>
          <w:p w14:paraId="25F8428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0.467</w:t>
            </w:r>
          </w:p>
        </w:tc>
        <w:tc>
          <w:tcPr>
            <w:tcW w:w="1134" w:type="dxa"/>
          </w:tcPr>
          <w:p w14:paraId="401C8A56"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0.360</w:t>
            </w:r>
          </w:p>
        </w:tc>
        <w:tc>
          <w:tcPr>
            <w:tcW w:w="1560" w:type="dxa"/>
          </w:tcPr>
          <w:p w14:paraId="21F3CA8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0.569</w:t>
            </w:r>
          </w:p>
        </w:tc>
        <w:tc>
          <w:tcPr>
            <w:tcW w:w="1265" w:type="dxa"/>
          </w:tcPr>
          <w:p w14:paraId="20AE5DB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0.554</w:t>
            </w:r>
          </w:p>
        </w:tc>
      </w:tr>
      <w:tr w:rsidR="00903326" w:rsidRPr="00351ED7" w14:paraId="48F055A3" w14:textId="77777777" w:rsidTr="00A366BF">
        <w:tc>
          <w:tcPr>
            <w:tcW w:w="1560" w:type="dxa"/>
          </w:tcPr>
          <w:p w14:paraId="58DA277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Wald Chi2</w:t>
            </w:r>
          </w:p>
        </w:tc>
        <w:tc>
          <w:tcPr>
            <w:tcW w:w="1418" w:type="dxa"/>
          </w:tcPr>
          <w:p w14:paraId="44285EB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437.8***</w:t>
            </w:r>
          </w:p>
        </w:tc>
        <w:tc>
          <w:tcPr>
            <w:tcW w:w="1559" w:type="dxa"/>
          </w:tcPr>
          <w:p w14:paraId="5BC74B1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561.7***</w:t>
            </w:r>
          </w:p>
        </w:tc>
        <w:tc>
          <w:tcPr>
            <w:tcW w:w="1417" w:type="dxa"/>
          </w:tcPr>
          <w:p w14:paraId="079836FB"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550.6***</w:t>
            </w:r>
          </w:p>
        </w:tc>
        <w:tc>
          <w:tcPr>
            <w:tcW w:w="1134" w:type="dxa"/>
          </w:tcPr>
          <w:p w14:paraId="7581E032"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674.5***</w:t>
            </w:r>
          </w:p>
        </w:tc>
        <w:tc>
          <w:tcPr>
            <w:tcW w:w="1560" w:type="dxa"/>
          </w:tcPr>
          <w:p w14:paraId="1282D40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767.1***</w:t>
            </w:r>
          </w:p>
        </w:tc>
        <w:tc>
          <w:tcPr>
            <w:tcW w:w="1265" w:type="dxa"/>
          </w:tcPr>
          <w:p w14:paraId="400CDFBE"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599.2***</w:t>
            </w:r>
          </w:p>
        </w:tc>
      </w:tr>
      <w:tr w:rsidR="00903326" w:rsidRPr="00351ED7" w14:paraId="6961A205" w14:textId="77777777" w:rsidTr="00A366BF">
        <w:tc>
          <w:tcPr>
            <w:tcW w:w="1560" w:type="dxa"/>
          </w:tcPr>
          <w:p w14:paraId="47123158"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N of Banks</w:t>
            </w:r>
          </w:p>
        </w:tc>
        <w:tc>
          <w:tcPr>
            <w:tcW w:w="1418" w:type="dxa"/>
          </w:tcPr>
          <w:p w14:paraId="1FFBE2B9"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52</w:t>
            </w:r>
          </w:p>
        </w:tc>
        <w:tc>
          <w:tcPr>
            <w:tcW w:w="1559" w:type="dxa"/>
          </w:tcPr>
          <w:p w14:paraId="1D35A050"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52</w:t>
            </w:r>
          </w:p>
        </w:tc>
        <w:tc>
          <w:tcPr>
            <w:tcW w:w="1417" w:type="dxa"/>
          </w:tcPr>
          <w:p w14:paraId="2D53CD05"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15</w:t>
            </w:r>
          </w:p>
        </w:tc>
        <w:tc>
          <w:tcPr>
            <w:tcW w:w="1134" w:type="dxa"/>
          </w:tcPr>
          <w:p w14:paraId="02ECF5E3"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15</w:t>
            </w:r>
          </w:p>
        </w:tc>
        <w:tc>
          <w:tcPr>
            <w:tcW w:w="1560" w:type="dxa"/>
          </w:tcPr>
          <w:p w14:paraId="57A1BA5D"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45</w:t>
            </w:r>
          </w:p>
        </w:tc>
        <w:tc>
          <w:tcPr>
            <w:tcW w:w="1265" w:type="dxa"/>
          </w:tcPr>
          <w:p w14:paraId="727764C4" w14:textId="77777777" w:rsidR="00903326" w:rsidRPr="00351ED7" w:rsidRDefault="00903326" w:rsidP="00A366BF">
            <w:pPr>
              <w:widowControl w:val="0"/>
              <w:autoSpaceDE w:val="0"/>
              <w:autoSpaceDN w:val="0"/>
              <w:adjustRightInd w:val="0"/>
              <w:spacing w:after="0" w:line="240" w:lineRule="auto"/>
              <w:jc w:val="center"/>
              <w:rPr>
                <w:rFonts w:asciiTheme="majorBidi" w:hAnsiTheme="majorBidi" w:cstheme="majorBidi"/>
                <w:sz w:val="20"/>
                <w:szCs w:val="20"/>
              </w:rPr>
            </w:pPr>
            <w:r w:rsidRPr="00351ED7">
              <w:rPr>
                <w:rFonts w:asciiTheme="majorBidi" w:hAnsiTheme="majorBidi" w:cstheme="majorBidi"/>
                <w:sz w:val="20"/>
                <w:szCs w:val="20"/>
              </w:rPr>
              <w:t>45</w:t>
            </w:r>
          </w:p>
        </w:tc>
      </w:tr>
    </w:tbl>
    <w:p w14:paraId="64824231" w14:textId="1918262C" w:rsidR="00D06EBD" w:rsidRPr="008201BA" w:rsidRDefault="00D06EBD" w:rsidP="00D06EBD">
      <w:pPr>
        <w:pStyle w:val="Heading3"/>
        <w:spacing w:before="120" w:after="120" w:line="360" w:lineRule="auto"/>
        <w:rPr>
          <w:rFonts w:asciiTheme="majorBidi" w:hAnsiTheme="majorBidi"/>
          <w:b/>
          <w:bCs/>
          <w:color w:val="000000" w:themeColor="text1"/>
        </w:rPr>
      </w:pPr>
      <w:r w:rsidRPr="008201BA">
        <w:rPr>
          <w:rFonts w:asciiTheme="majorBidi" w:hAnsiTheme="majorBidi"/>
          <w:b/>
          <w:bCs/>
          <w:color w:val="000000" w:themeColor="text1"/>
        </w:rPr>
        <w:t>2. Heterogeneity by Oil Dependence</w:t>
      </w:r>
    </w:p>
    <w:p w14:paraId="74324A95" w14:textId="7CB0CFF5" w:rsidR="00D06EBD" w:rsidRPr="00977E9B" w:rsidRDefault="00D06EBD" w:rsidP="00D06EBD">
      <w:pPr>
        <w:pStyle w:val="ListParagraph"/>
        <w:spacing w:after="0" w:line="360" w:lineRule="auto"/>
        <w:ind w:left="0" w:firstLineChars="200" w:firstLine="480"/>
        <w:jc w:val="both"/>
        <w:rPr>
          <w:rFonts w:ascii="Times New Roman" w:hAnsi="Times New Roman" w:cs="Times New Roman"/>
        </w:rPr>
      </w:pPr>
      <w:r w:rsidRPr="00977E9B">
        <w:rPr>
          <w:rFonts w:ascii="Times New Roman" w:hAnsi="Times New Roman" w:cs="Times New Roman"/>
        </w:rPr>
        <w:t xml:space="preserve">Table </w:t>
      </w:r>
      <w:r w:rsidR="00DD79FB">
        <w:rPr>
          <w:rFonts w:ascii="Times New Roman" w:hAnsi="Times New Roman" w:cs="Times New Roman"/>
        </w:rPr>
        <w:t>B2</w:t>
      </w:r>
      <w:r w:rsidRPr="00977E9B">
        <w:rPr>
          <w:rFonts w:ascii="Times New Roman" w:hAnsi="Times New Roman" w:cs="Times New Roman"/>
        </w:rPr>
        <w:t xml:space="preserve"> investigates whether the effect of geopolitical tensions on financial resilience differs between high and low oil-dependent economies. Countries are classified according to whether their oil rents as a percentage of GDP are above or below the sample median. The results reveal significant heterogeneity, indicating that oil dependence shapes banks’ vulnerability and adjustment capacity during geopolitical shocks. For high oil-dependent economies, geopolitical tensions have a significant negative impact on distance-to-default (DD).  Specifically, the coefficient of GT is  negative (B= −0.331, p &lt; 0.01), indicating that persistent geopolitical tensions reduce banks’ financial resilience by increasing uncertainty, weakening economic stability, and amplifying exposure to external shocks. This effect becomes stronger when geopolitical tensions increase rapidly, as shown by the larger negative coefficient of GT (B= −0.615, p &lt; 0.01) in the alternative specification. These findings are consistent with previous studies showing that economies highly dependent on natural resources are more vulnerable to geopolitical uncertainty because oil revenues, fiscal conditions, and financial market expectations are closely linked to geopolitical developments. For low oil-dependent economies, geopolitical tensions also negatively affect financial resilience.  The coefficients of GG are  negative (B=−0.411 ;−0.192, p &lt; 0.05), suggesting that sudden increases in geopolitical tensions weaken banks’ distance-to-default even in less oil-dependent countries. However, the relatively smaller effect compared with high oil-dependent economies indicates that diversified economies may have greater capacity to absorb geopolitical shocks due to lower dependence on oil revenues and more diversified economic structures.</w:t>
      </w:r>
      <w:r w:rsidR="00903326">
        <w:rPr>
          <w:rFonts w:ascii="Times New Roman" w:hAnsi="Times New Roman" w:cs="Times New Roman"/>
        </w:rPr>
        <w:t xml:space="preserve"> </w:t>
      </w:r>
    </w:p>
    <w:p w14:paraId="398BA4AE" w14:textId="1C93B96C" w:rsidR="00D06EBD" w:rsidRDefault="00D06EBD" w:rsidP="00903326">
      <w:pPr>
        <w:pStyle w:val="ListParagraph"/>
        <w:spacing w:after="0" w:line="360" w:lineRule="auto"/>
        <w:ind w:left="0" w:firstLineChars="200" w:firstLine="480"/>
        <w:jc w:val="both"/>
        <w:rPr>
          <w:rFonts w:ascii="Times New Roman" w:hAnsi="Times New Roman" w:cs="Times New Roman"/>
        </w:rPr>
      </w:pPr>
      <w:r w:rsidRPr="00977E9B">
        <w:rPr>
          <w:rFonts w:ascii="Times New Roman" w:hAnsi="Times New Roman" w:cs="Times New Roman"/>
        </w:rPr>
        <w:t xml:space="preserve">The results highlight an important economic mechanism. Oil-dependent economies face greater exposure because geopolitical tensions can directly affect oil production, export revenues, fiscal stability, and investor confidence. These channels can increase liquidity pressures and credit risks in the banking sector. In contrast, lower oil-dependent </w:t>
      </w:r>
      <w:r w:rsidRPr="00977E9B">
        <w:rPr>
          <w:rFonts w:ascii="Times New Roman" w:hAnsi="Times New Roman" w:cs="Times New Roman"/>
        </w:rPr>
        <w:lastRenderedPageBreak/>
        <w:t>economies are relatively less exposed to commodity-related shocks and may rely on broader economic activities, reducing the transmission of geopolitical risks to banks. The findings demonstrate that oil dependence is an important source of heterogeneity in the geopolitical tensions–financial resilience relationship. Although geopolitical tensions weaken banking resilience across all economies, the adverse effect is stronger in oil-dependent countries due to their greater exposure to energy-market volatility and geopolitical disruptions. These results are consistent with the resource dependence perspective and extend previous literature by showing that economic structure influences banks’ ability to absorb geopolitical shocks. Therefore, policymakers in oil-dependent economies should strengthen financial diversification, institutional capacity, and risk-management frameworks to reduce vulnerability to geopolitical uncertainty.</w:t>
      </w:r>
    </w:p>
    <w:p w14:paraId="3C8AB4FE" w14:textId="52F6D48D" w:rsidR="00903326" w:rsidRDefault="00903326" w:rsidP="00903326">
      <w:pPr>
        <w:jc w:val="center"/>
        <w:rPr>
          <w:rFonts w:asciiTheme="majorBidi" w:hAnsiTheme="majorBidi" w:cstheme="majorBidi"/>
          <w:b/>
          <w:bCs/>
        </w:rPr>
      </w:pPr>
      <w:r w:rsidRPr="00E654FF">
        <w:rPr>
          <w:rFonts w:asciiTheme="majorBidi" w:hAnsiTheme="majorBidi" w:cstheme="majorBidi"/>
          <w:b/>
          <w:bCs/>
        </w:rPr>
        <w:t xml:space="preserve">Table </w:t>
      </w:r>
      <w:r w:rsidR="00DD79FB">
        <w:rPr>
          <w:rFonts w:asciiTheme="majorBidi" w:hAnsiTheme="majorBidi" w:cstheme="majorBidi"/>
          <w:b/>
          <w:bCs/>
        </w:rPr>
        <w:t>B2</w:t>
      </w:r>
      <w:r w:rsidRPr="00E654FF">
        <w:rPr>
          <w:rFonts w:asciiTheme="majorBidi" w:hAnsiTheme="majorBidi" w:cstheme="majorBidi"/>
          <w:b/>
          <w:bCs/>
        </w:rPr>
        <w:t xml:space="preserve">  Heterogeneity by Oil Dependence</w:t>
      </w:r>
    </w:p>
    <w:tbl>
      <w:tblPr>
        <w:tblStyle w:val="TableGrid"/>
        <w:tblW w:w="0" w:type="auto"/>
        <w:tblLook w:val="04A0" w:firstRow="1" w:lastRow="0" w:firstColumn="1" w:lastColumn="0" w:noHBand="0" w:noVBand="1"/>
      </w:tblPr>
      <w:tblGrid>
        <w:gridCol w:w="1726"/>
        <w:gridCol w:w="1726"/>
        <w:gridCol w:w="1726"/>
        <w:gridCol w:w="1726"/>
        <w:gridCol w:w="1726"/>
      </w:tblGrid>
      <w:tr w:rsidR="00903326" w14:paraId="583C0AAF" w14:textId="77777777" w:rsidTr="00A366BF">
        <w:tc>
          <w:tcPr>
            <w:tcW w:w="1726" w:type="dxa"/>
            <w:vMerge w:val="restart"/>
          </w:tcPr>
          <w:p w14:paraId="304E41C0" w14:textId="77777777" w:rsidR="00903326" w:rsidRPr="00DD70CD" w:rsidRDefault="00903326" w:rsidP="00A366BF">
            <w:pPr>
              <w:jc w:val="center"/>
              <w:rPr>
                <w:rFonts w:asciiTheme="majorBidi" w:hAnsiTheme="majorBidi" w:cstheme="majorBidi"/>
                <w:sz w:val="20"/>
                <w:szCs w:val="20"/>
              </w:rPr>
            </w:pPr>
          </w:p>
        </w:tc>
        <w:tc>
          <w:tcPr>
            <w:tcW w:w="6904" w:type="dxa"/>
            <w:gridSpan w:val="4"/>
          </w:tcPr>
          <w:p w14:paraId="453D358C"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Oil Dependence</w:t>
            </w:r>
          </w:p>
        </w:tc>
      </w:tr>
      <w:tr w:rsidR="00903326" w14:paraId="58674005" w14:textId="77777777" w:rsidTr="00A366BF">
        <w:tc>
          <w:tcPr>
            <w:tcW w:w="1726" w:type="dxa"/>
            <w:vMerge/>
          </w:tcPr>
          <w:p w14:paraId="1272B8B7" w14:textId="77777777" w:rsidR="00903326" w:rsidRPr="00DD70CD" w:rsidRDefault="00903326" w:rsidP="00A366BF">
            <w:pPr>
              <w:jc w:val="center"/>
              <w:rPr>
                <w:rFonts w:asciiTheme="majorBidi" w:hAnsiTheme="majorBidi" w:cstheme="majorBidi"/>
                <w:sz w:val="20"/>
                <w:szCs w:val="20"/>
              </w:rPr>
            </w:pPr>
          </w:p>
        </w:tc>
        <w:tc>
          <w:tcPr>
            <w:tcW w:w="1726" w:type="dxa"/>
          </w:tcPr>
          <w:p w14:paraId="5624EF7D"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 xml:space="preserve">High </w:t>
            </w:r>
          </w:p>
        </w:tc>
        <w:tc>
          <w:tcPr>
            <w:tcW w:w="1726" w:type="dxa"/>
          </w:tcPr>
          <w:p w14:paraId="6204724A"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High</w:t>
            </w:r>
          </w:p>
        </w:tc>
        <w:tc>
          <w:tcPr>
            <w:tcW w:w="1726" w:type="dxa"/>
          </w:tcPr>
          <w:p w14:paraId="5FA15F97"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 xml:space="preserve">Low </w:t>
            </w:r>
          </w:p>
        </w:tc>
        <w:tc>
          <w:tcPr>
            <w:tcW w:w="1726" w:type="dxa"/>
          </w:tcPr>
          <w:p w14:paraId="4CDD1479"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 xml:space="preserve">Low </w:t>
            </w:r>
          </w:p>
        </w:tc>
      </w:tr>
      <w:tr w:rsidR="00903326" w14:paraId="57F843A1" w14:textId="77777777" w:rsidTr="00A366BF">
        <w:tc>
          <w:tcPr>
            <w:tcW w:w="1726" w:type="dxa"/>
            <w:vMerge/>
          </w:tcPr>
          <w:p w14:paraId="0C0FE666" w14:textId="77777777" w:rsidR="00903326" w:rsidRPr="00DD70CD" w:rsidRDefault="00903326" w:rsidP="00A366BF">
            <w:pPr>
              <w:jc w:val="center"/>
              <w:rPr>
                <w:rFonts w:asciiTheme="majorBidi" w:hAnsiTheme="majorBidi" w:cstheme="majorBidi"/>
                <w:sz w:val="20"/>
                <w:szCs w:val="20"/>
              </w:rPr>
            </w:pPr>
          </w:p>
        </w:tc>
        <w:tc>
          <w:tcPr>
            <w:tcW w:w="1726" w:type="dxa"/>
          </w:tcPr>
          <w:p w14:paraId="59067DB7"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DD</w:t>
            </w:r>
          </w:p>
        </w:tc>
        <w:tc>
          <w:tcPr>
            <w:tcW w:w="1726" w:type="dxa"/>
          </w:tcPr>
          <w:p w14:paraId="6911CB31"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DD</w:t>
            </w:r>
          </w:p>
        </w:tc>
        <w:tc>
          <w:tcPr>
            <w:tcW w:w="1726" w:type="dxa"/>
          </w:tcPr>
          <w:p w14:paraId="6AACFE59"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DD</w:t>
            </w:r>
          </w:p>
        </w:tc>
        <w:tc>
          <w:tcPr>
            <w:tcW w:w="1726" w:type="dxa"/>
          </w:tcPr>
          <w:p w14:paraId="09A69D96" w14:textId="77777777" w:rsidR="00903326" w:rsidRPr="00DD70CD" w:rsidRDefault="00903326" w:rsidP="00A366BF">
            <w:pPr>
              <w:jc w:val="center"/>
              <w:rPr>
                <w:rFonts w:asciiTheme="majorBidi" w:hAnsiTheme="majorBidi" w:cstheme="majorBidi"/>
                <w:sz w:val="20"/>
                <w:szCs w:val="20"/>
              </w:rPr>
            </w:pPr>
            <w:r w:rsidRPr="00E654FF">
              <w:rPr>
                <w:rFonts w:asciiTheme="majorBidi" w:hAnsiTheme="majorBidi" w:cstheme="majorBidi"/>
                <w:sz w:val="20"/>
                <w:szCs w:val="20"/>
              </w:rPr>
              <w:t>DD</w:t>
            </w:r>
          </w:p>
        </w:tc>
      </w:tr>
      <w:tr w:rsidR="00903326" w14:paraId="5F44C091" w14:textId="77777777" w:rsidTr="00A366BF">
        <w:tc>
          <w:tcPr>
            <w:tcW w:w="1726" w:type="dxa"/>
          </w:tcPr>
          <w:p w14:paraId="6A4763E8"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GT</w:t>
            </w:r>
          </w:p>
        </w:tc>
        <w:tc>
          <w:tcPr>
            <w:tcW w:w="1726" w:type="dxa"/>
          </w:tcPr>
          <w:p w14:paraId="4FD0B51D"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-0.331***</w:t>
            </w:r>
          </w:p>
        </w:tc>
        <w:tc>
          <w:tcPr>
            <w:tcW w:w="1726" w:type="dxa"/>
          </w:tcPr>
          <w:p w14:paraId="14C100B7"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-0.615***</w:t>
            </w:r>
          </w:p>
        </w:tc>
        <w:tc>
          <w:tcPr>
            <w:tcW w:w="1726" w:type="dxa"/>
          </w:tcPr>
          <w:p w14:paraId="4B452487" w14:textId="77777777" w:rsidR="00903326" w:rsidRPr="00DD70CD" w:rsidRDefault="00903326" w:rsidP="00A366BF">
            <w:pPr>
              <w:jc w:val="center"/>
              <w:rPr>
                <w:rFonts w:asciiTheme="majorBidi" w:hAnsiTheme="majorBidi" w:cstheme="majorBidi"/>
                <w:sz w:val="20"/>
                <w:szCs w:val="20"/>
              </w:rPr>
            </w:pPr>
          </w:p>
        </w:tc>
        <w:tc>
          <w:tcPr>
            <w:tcW w:w="1726" w:type="dxa"/>
          </w:tcPr>
          <w:p w14:paraId="369723CA" w14:textId="77777777" w:rsidR="00903326" w:rsidRPr="00DD70CD" w:rsidRDefault="00903326" w:rsidP="00A366BF">
            <w:pPr>
              <w:jc w:val="center"/>
              <w:rPr>
                <w:rFonts w:asciiTheme="majorBidi" w:hAnsiTheme="majorBidi" w:cstheme="majorBidi"/>
                <w:sz w:val="20"/>
                <w:szCs w:val="20"/>
              </w:rPr>
            </w:pPr>
          </w:p>
        </w:tc>
      </w:tr>
      <w:tr w:rsidR="00903326" w14:paraId="2CD016EB" w14:textId="77777777" w:rsidTr="00A366BF">
        <w:tc>
          <w:tcPr>
            <w:tcW w:w="1726" w:type="dxa"/>
          </w:tcPr>
          <w:p w14:paraId="6B9C5FC0" w14:textId="77777777" w:rsidR="00903326" w:rsidRPr="00DD70CD" w:rsidRDefault="00903326" w:rsidP="00A366BF">
            <w:pPr>
              <w:jc w:val="center"/>
              <w:rPr>
                <w:rFonts w:asciiTheme="majorBidi" w:hAnsiTheme="majorBidi" w:cstheme="majorBidi"/>
                <w:sz w:val="20"/>
                <w:szCs w:val="20"/>
              </w:rPr>
            </w:pPr>
          </w:p>
        </w:tc>
        <w:tc>
          <w:tcPr>
            <w:tcW w:w="1726" w:type="dxa"/>
          </w:tcPr>
          <w:p w14:paraId="69124A39"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(-2.419)</w:t>
            </w:r>
          </w:p>
        </w:tc>
        <w:tc>
          <w:tcPr>
            <w:tcW w:w="1726" w:type="dxa"/>
          </w:tcPr>
          <w:p w14:paraId="7DB6681C"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(-3.344)</w:t>
            </w:r>
          </w:p>
        </w:tc>
        <w:tc>
          <w:tcPr>
            <w:tcW w:w="1726" w:type="dxa"/>
          </w:tcPr>
          <w:p w14:paraId="59C50098" w14:textId="77777777" w:rsidR="00903326" w:rsidRPr="00DD70CD" w:rsidRDefault="00903326" w:rsidP="00A366BF">
            <w:pPr>
              <w:jc w:val="center"/>
              <w:rPr>
                <w:rFonts w:asciiTheme="majorBidi" w:hAnsiTheme="majorBidi" w:cstheme="majorBidi"/>
                <w:sz w:val="20"/>
                <w:szCs w:val="20"/>
              </w:rPr>
            </w:pPr>
          </w:p>
        </w:tc>
        <w:tc>
          <w:tcPr>
            <w:tcW w:w="1726" w:type="dxa"/>
          </w:tcPr>
          <w:p w14:paraId="75B49BF6" w14:textId="77777777" w:rsidR="00903326" w:rsidRPr="00DD70CD" w:rsidRDefault="00903326" w:rsidP="00A366BF">
            <w:pPr>
              <w:jc w:val="center"/>
              <w:rPr>
                <w:rFonts w:asciiTheme="majorBidi" w:hAnsiTheme="majorBidi" w:cstheme="majorBidi"/>
                <w:sz w:val="20"/>
                <w:szCs w:val="20"/>
              </w:rPr>
            </w:pPr>
          </w:p>
        </w:tc>
      </w:tr>
      <w:tr w:rsidR="00903326" w14:paraId="4E979BAD" w14:textId="77777777" w:rsidTr="00A366BF">
        <w:tc>
          <w:tcPr>
            <w:tcW w:w="1726" w:type="dxa"/>
          </w:tcPr>
          <w:p w14:paraId="460BF43C"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GG</w:t>
            </w:r>
          </w:p>
        </w:tc>
        <w:tc>
          <w:tcPr>
            <w:tcW w:w="1726" w:type="dxa"/>
          </w:tcPr>
          <w:p w14:paraId="53A58AD8" w14:textId="77777777" w:rsidR="00903326" w:rsidRPr="00DD70CD" w:rsidRDefault="00903326" w:rsidP="00A366BF">
            <w:pPr>
              <w:jc w:val="center"/>
              <w:rPr>
                <w:rFonts w:asciiTheme="majorBidi" w:hAnsiTheme="majorBidi" w:cstheme="majorBidi"/>
                <w:sz w:val="20"/>
                <w:szCs w:val="20"/>
              </w:rPr>
            </w:pPr>
          </w:p>
        </w:tc>
        <w:tc>
          <w:tcPr>
            <w:tcW w:w="1726" w:type="dxa"/>
          </w:tcPr>
          <w:p w14:paraId="10CC73A3" w14:textId="77777777" w:rsidR="00903326" w:rsidRPr="00DD70CD" w:rsidRDefault="00903326" w:rsidP="00A366BF">
            <w:pPr>
              <w:jc w:val="center"/>
              <w:rPr>
                <w:rFonts w:asciiTheme="majorBidi" w:hAnsiTheme="majorBidi" w:cstheme="majorBidi"/>
                <w:sz w:val="20"/>
                <w:szCs w:val="20"/>
              </w:rPr>
            </w:pPr>
          </w:p>
        </w:tc>
        <w:tc>
          <w:tcPr>
            <w:tcW w:w="1726" w:type="dxa"/>
          </w:tcPr>
          <w:p w14:paraId="0E7CEEAA"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-0.411**</w:t>
            </w:r>
          </w:p>
        </w:tc>
        <w:tc>
          <w:tcPr>
            <w:tcW w:w="1726" w:type="dxa"/>
          </w:tcPr>
          <w:p w14:paraId="69DC96F1"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-0.192**</w:t>
            </w:r>
          </w:p>
        </w:tc>
      </w:tr>
      <w:tr w:rsidR="00903326" w14:paraId="435E4DF0" w14:textId="77777777" w:rsidTr="00A366BF">
        <w:tc>
          <w:tcPr>
            <w:tcW w:w="1726" w:type="dxa"/>
          </w:tcPr>
          <w:p w14:paraId="293C2CEB" w14:textId="77777777" w:rsidR="00903326" w:rsidRPr="00DD70CD" w:rsidRDefault="00903326" w:rsidP="00A366BF">
            <w:pPr>
              <w:jc w:val="center"/>
              <w:rPr>
                <w:rFonts w:asciiTheme="majorBidi" w:hAnsiTheme="majorBidi" w:cstheme="majorBidi"/>
                <w:sz w:val="20"/>
                <w:szCs w:val="20"/>
              </w:rPr>
            </w:pPr>
          </w:p>
        </w:tc>
        <w:tc>
          <w:tcPr>
            <w:tcW w:w="1726" w:type="dxa"/>
          </w:tcPr>
          <w:p w14:paraId="0493EA86" w14:textId="77777777" w:rsidR="00903326" w:rsidRPr="00DD70CD" w:rsidRDefault="00903326" w:rsidP="00A366BF">
            <w:pPr>
              <w:jc w:val="center"/>
              <w:rPr>
                <w:rFonts w:asciiTheme="majorBidi" w:hAnsiTheme="majorBidi" w:cstheme="majorBidi"/>
                <w:sz w:val="20"/>
                <w:szCs w:val="20"/>
              </w:rPr>
            </w:pPr>
          </w:p>
        </w:tc>
        <w:tc>
          <w:tcPr>
            <w:tcW w:w="1726" w:type="dxa"/>
          </w:tcPr>
          <w:p w14:paraId="3998BE2B" w14:textId="77777777" w:rsidR="00903326" w:rsidRPr="00DD70CD" w:rsidRDefault="00903326" w:rsidP="00A366BF">
            <w:pPr>
              <w:jc w:val="center"/>
              <w:rPr>
                <w:rFonts w:asciiTheme="majorBidi" w:hAnsiTheme="majorBidi" w:cstheme="majorBidi"/>
                <w:sz w:val="20"/>
                <w:szCs w:val="20"/>
              </w:rPr>
            </w:pPr>
          </w:p>
        </w:tc>
        <w:tc>
          <w:tcPr>
            <w:tcW w:w="1726" w:type="dxa"/>
          </w:tcPr>
          <w:p w14:paraId="33C446E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(-2.198)</w:t>
            </w:r>
          </w:p>
        </w:tc>
        <w:tc>
          <w:tcPr>
            <w:tcW w:w="1726" w:type="dxa"/>
          </w:tcPr>
          <w:p w14:paraId="0BE09FC7"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(-1.987)</w:t>
            </w:r>
          </w:p>
        </w:tc>
      </w:tr>
      <w:tr w:rsidR="00903326" w14:paraId="5218FE24" w14:textId="77777777" w:rsidTr="00A366BF">
        <w:tc>
          <w:tcPr>
            <w:tcW w:w="1726" w:type="dxa"/>
          </w:tcPr>
          <w:p w14:paraId="13E0D651"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BS</w:t>
            </w:r>
          </w:p>
        </w:tc>
        <w:tc>
          <w:tcPr>
            <w:tcW w:w="1726" w:type="dxa"/>
          </w:tcPr>
          <w:p w14:paraId="338AAB0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0.019***</w:t>
            </w:r>
          </w:p>
        </w:tc>
        <w:tc>
          <w:tcPr>
            <w:tcW w:w="1726" w:type="dxa"/>
          </w:tcPr>
          <w:p w14:paraId="69CF2D70"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0.026***</w:t>
            </w:r>
          </w:p>
        </w:tc>
        <w:tc>
          <w:tcPr>
            <w:tcW w:w="1726" w:type="dxa"/>
          </w:tcPr>
          <w:p w14:paraId="4C0F06FD"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0.018**</w:t>
            </w:r>
          </w:p>
        </w:tc>
        <w:tc>
          <w:tcPr>
            <w:tcW w:w="1726" w:type="dxa"/>
          </w:tcPr>
          <w:p w14:paraId="778C07ED"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0.010***</w:t>
            </w:r>
          </w:p>
        </w:tc>
      </w:tr>
      <w:tr w:rsidR="00903326" w14:paraId="52F1B935" w14:textId="77777777" w:rsidTr="00A366BF">
        <w:tc>
          <w:tcPr>
            <w:tcW w:w="1726" w:type="dxa"/>
          </w:tcPr>
          <w:p w14:paraId="23DA8C69" w14:textId="77777777" w:rsidR="00903326" w:rsidRPr="00DD70CD" w:rsidRDefault="00903326" w:rsidP="00A366BF">
            <w:pPr>
              <w:jc w:val="center"/>
              <w:rPr>
                <w:rFonts w:asciiTheme="majorBidi" w:hAnsiTheme="majorBidi" w:cstheme="majorBidi"/>
                <w:sz w:val="20"/>
                <w:szCs w:val="20"/>
              </w:rPr>
            </w:pPr>
          </w:p>
        </w:tc>
        <w:tc>
          <w:tcPr>
            <w:tcW w:w="1726" w:type="dxa"/>
          </w:tcPr>
          <w:p w14:paraId="1249701D"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(2.111)</w:t>
            </w:r>
          </w:p>
        </w:tc>
        <w:tc>
          <w:tcPr>
            <w:tcW w:w="1726" w:type="dxa"/>
          </w:tcPr>
          <w:p w14:paraId="265EC574"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(2.811)</w:t>
            </w:r>
          </w:p>
        </w:tc>
        <w:tc>
          <w:tcPr>
            <w:tcW w:w="1726" w:type="dxa"/>
          </w:tcPr>
          <w:p w14:paraId="1CC9C078"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(1.991)</w:t>
            </w:r>
          </w:p>
        </w:tc>
        <w:tc>
          <w:tcPr>
            <w:tcW w:w="1726" w:type="dxa"/>
          </w:tcPr>
          <w:p w14:paraId="02E9807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(2.901)</w:t>
            </w:r>
          </w:p>
        </w:tc>
      </w:tr>
      <w:tr w:rsidR="00903326" w14:paraId="0473D454" w14:textId="77777777" w:rsidTr="00A366BF">
        <w:tc>
          <w:tcPr>
            <w:tcW w:w="1726" w:type="dxa"/>
          </w:tcPr>
          <w:p w14:paraId="1E5B02A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CA</w:t>
            </w:r>
          </w:p>
        </w:tc>
        <w:tc>
          <w:tcPr>
            <w:tcW w:w="1726" w:type="dxa"/>
          </w:tcPr>
          <w:p w14:paraId="24813D00"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0.021***</w:t>
            </w:r>
          </w:p>
        </w:tc>
        <w:tc>
          <w:tcPr>
            <w:tcW w:w="1726" w:type="dxa"/>
          </w:tcPr>
          <w:p w14:paraId="0D0DE04D"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0.016***</w:t>
            </w:r>
          </w:p>
        </w:tc>
        <w:tc>
          <w:tcPr>
            <w:tcW w:w="1726" w:type="dxa"/>
          </w:tcPr>
          <w:p w14:paraId="68629F6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0.015***</w:t>
            </w:r>
          </w:p>
        </w:tc>
        <w:tc>
          <w:tcPr>
            <w:tcW w:w="1726" w:type="dxa"/>
          </w:tcPr>
          <w:p w14:paraId="2A89D317"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0.010***</w:t>
            </w:r>
          </w:p>
        </w:tc>
      </w:tr>
      <w:tr w:rsidR="00903326" w14:paraId="6C56086F" w14:textId="77777777" w:rsidTr="00A366BF">
        <w:tc>
          <w:tcPr>
            <w:tcW w:w="1726" w:type="dxa"/>
          </w:tcPr>
          <w:p w14:paraId="6AA54C1E" w14:textId="77777777" w:rsidR="00903326" w:rsidRPr="00DD70CD" w:rsidRDefault="00903326" w:rsidP="00A366BF">
            <w:pPr>
              <w:jc w:val="center"/>
              <w:rPr>
                <w:rFonts w:asciiTheme="majorBidi" w:hAnsiTheme="majorBidi" w:cstheme="majorBidi"/>
                <w:sz w:val="20"/>
                <w:szCs w:val="20"/>
              </w:rPr>
            </w:pPr>
          </w:p>
        </w:tc>
        <w:tc>
          <w:tcPr>
            <w:tcW w:w="1726" w:type="dxa"/>
          </w:tcPr>
          <w:p w14:paraId="6265FE2D"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(4.076)</w:t>
            </w:r>
          </w:p>
        </w:tc>
        <w:tc>
          <w:tcPr>
            <w:tcW w:w="1726" w:type="dxa"/>
          </w:tcPr>
          <w:p w14:paraId="7DD4F809"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(3.281)</w:t>
            </w:r>
          </w:p>
        </w:tc>
        <w:tc>
          <w:tcPr>
            <w:tcW w:w="1726" w:type="dxa"/>
          </w:tcPr>
          <w:p w14:paraId="6E3C5C7D"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(3.017)</w:t>
            </w:r>
          </w:p>
        </w:tc>
        <w:tc>
          <w:tcPr>
            <w:tcW w:w="1726" w:type="dxa"/>
          </w:tcPr>
          <w:p w14:paraId="1CB524EB"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(2.815)</w:t>
            </w:r>
          </w:p>
        </w:tc>
      </w:tr>
      <w:tr w:rsidR="00903326" w14:paraId="09A81507" w14:textId="77777777" w:rsidTr="00A366BF">
        <w:tc>
          <w:tcPr>
            <w:tcW w:w="1726" w:type="dxa"/>
          </w:tcPr>
          <w:p w14:paraId="3B8E8BF3"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AG</w:t>
            </w:r>
          </w:p>
        </w:tc>
        <w:tc>
          <w:tcPr>
            <w:tcW w:w="1726" w:type="dxa"/>
          </w:tcPr>
          <w:p w14:paraId="669BCC68"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0.044*</w:t>
            </w:r>
          </w:p>
        </w:tc>
        <w:tc>
          <w:tcPr>
            <w:tcW w:w="1726" w:type="dxa"/>
          </w:tcPr>
          <w:p w14:paraId="01FD978A"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0.055*</w:t>
            </w:r>
          </w:p>
        </w:tc>
        <w:tc>
          <w:tcPr>
            <w:tcW w:w="1726" w:type="dxa"/>
          </w:tcPr>
          <w:p w14:paraId="78AB2FDE"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0.032*</w:t>
            </w:r>
          </w:p>
        </w:tc>
        <w:tc>
          <w:tcPr>
            <w:tcW w:w="1726" w:type="dxa"/>
          </w:tcPr>
          <w:p w14:paraId="5A58545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0.107*</w:t>
            </w:r>
          </w:p>
        </w:tc>
      </w:tr>
      <w:tr w:rsidR="00903326" w14:paraId="2A62187A" w14:textId="77777777" w:rsidTr="00A366BF">
        <w:tc>
          <w:tcPr>
            <w:tcW w:w="1726" w:type="dxa"/>
          </w:tcPr>
          <w:p w14:paraId="103B6059" w14:textId="77777777" w:rsidR="00903326" w:rsidRPr="00DD70CD" w:rsidRDefault="00903326" w:rsidP="00A366BF">
            <w:pPr>
              <w:jc w:val="center"/>
              <w:rPr>
                <w:rFonts w:asciiTheme="majorBidi" w:hAnsiTheme="majorBidi" w:cstheme="majorBidi"/>
                <w:sz w:val="20"/>
                <w:szCs w:val="20"/>
              </w:rPr>
            </w:pPr>
          </w:p>
        </w:tc>
        <w:tc>
          <w:tcPr>
            <w:tcW w:w="1726" w:type="dxa"/>
          </w:tcPr>
          <w:p w14:paraId="50EBEFA7"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(1.941)</w:t>
            </w:r>
          </w:p>
        </w:tc>
        <w:tc>
          <w:tcPr>
            <w:tcW w:w="1726" w:type="dxa"/>
          </w:tcPr>
          <w:p w14:paraId="0655B1CA"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(1.711)</w:t>
            </w:r>
          </w:p>
        </w:tc>
        <w:tc>
          <w:tcPr>
            <w:tcW w:w="1726" w:type="dxa"/>
          </w:tcPr>
          <w:p w14:paraId="209236E0"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(1.675)</w:t>
            </w:r>
          </w:p>
        </w:tc>
        <w:tc>
          <w:tcPr>
            <w:tcW w:w="1726" w:type="dxa"/>
          </w:tcPr>
          <w:p w14:paraId="244FF476"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(1.881)</w:t>
            </w:r>
          </w:p>
        </w:tc>
      </w:tr>
      <w:tr w:rsidR="00903326" w14:paraId="39E2CC38" w14:textId="77777777" w:rsidTr="00A366BF">
        <w:tc>
          <w:tcPr>
            <w:tcW w:w="1726" w:type="dxa"/>
          </w:tcPr>
          <w:p w14:paraId="1051D059"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LG</w:t>
            </w:r>
          </w:p>
        </w:tc>
        <w:tc>
          <w:tcPr>
            <w:tcW w:w="1726" w:type="dxa"/>
          </w:tcPr>
          <w:p w14:paraId="2DB2998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0.008**</w:t>
            </w:r>
          </w:p>
        </w:tc>
        <w:tc>
          <w:tcPr>
            <w:tcW w:w="1726" w:type="dxa"/>
          </w:tcPr>
          <w:p w14:paraId="37B7EC64"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0.022*</w:t>
            </w:r>
          </w:p>
        </w:tc>
        <w:tc>
          <w:tcPr>
            <w:tcW w:w="1726" w:type="dxa"/>
          </w:tcPr>
          <w:p w14:paraId="25F47BD7"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0.067*</w:t>
            </w:r>
          </w:p>
        </w:tc>
        <w:tc>
          <w:tcPr>
            <w:tcW w:w="1726" w:type="dxa"/>
          </w:tcPr>
          <w:p w14:paraId="2F3FB3D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0.115*</w:t>
            </w:r>
          </w:p>
        </w:tc>
      </w:tr>
      <w:tr w:rsidR="00903326" w14:paraId="51FE79B7" w14:textId="77777777" w:rsidTr="00A366BF">
        <w:tc>
          <w:tcPr>
            <w:tcW w:w="1726" w:type="dxa"/>
          </w:tcPr>
          <w:p w14:paraId="4CC15204" w14:textId="77777777" w:rsidR="00903326" w:rsidRPr="00DD70CD" w:rsidRDefault="00903326" w:rsidP="00A366BF">
            <w:pPr>
              <w:jc w:val="center"/>
              <w:rPr>
                <w:rFonts w:asciiTheme="majorBidi" w:hAnsiTheme="majorBidi" w:cstheme="majorBidi"/>
                <w:sz w:val="20"/>
                <w:szCs w:val="20"/>
              </w:rPr>
            </w:pPr>
          </w:p>
        </w:tc>
        <w:tc>
          <w:tcPr>
            <w:tcW w:w="1726" w:type="dxa"/>
          </w:tcPr>
          <w:p w14:paraId="2F743CD8"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(2.013)</w:t>
            </w:r>
          </w:p>
        </w:tc>
        <w:tc>
          <w:tcPr>
            <w:tcW w:w="1726" w:type="dxa"/>
          </w:tcPr>
          <w:p w14:paraId="194EF8B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(1.917)</w:t>
            </w:r>
          </w:p>
        </w:tc>
        <w:tc>
          <w:tcPr>
            <w:tcW w:w="1726" w:type="dxa"/>
          </w:tcPr>
          <w:p w14:paraId="05A7906C"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(1.706)</w:t>
            </w:r>
          </w:p>
        </w:tc>
        <w:tc>
          <w:tcPr>
            <w:tcW w:w="1726" w:type="dxa"/>
          </w:tcPr>
          <w:p w14:paraId="085C24DA"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(1.811)</w:t>
            </w:r>
          </w:p>
        </w:tc>
      </w:tr>
      <w:tr w:rsidR="00903326" w14:paraId="1C5F5D58" w14:textId="77777777" w:rsidTr="00A366BF">
        <w:tc>
          <w:tcPr>
            <w:tcW w:w="1726" w:type="dxa"/>
          </w:tcPr>
          <w:p w14:paraId="2A903600"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IN</w:t>
            </w:r>
          </w:p>
        </w:tc>
        <w:tc>
          <w:tcPr>
            <w:tcW w:w="1726" w:type="dxa"/>
          </w:tcPr>
          <w:p w14:paraId="797473A4"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-0.009**</w:t>
            </w:r>
          </w:p>
        </w:tc>
        <w:tc>
          <w:tcPr>
            <w:tcW w:w="1726" w:type="dxa"/>
          </w:tcPr>
          <w:p w14:paraId="03854C06"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-0.012*</w:t>
            </w:r>
          </w:p>
        </w:tc>
        <w:tc>
          <w:tcPr>
            <w:tcW w:w="1726" w:type="dxa"/>
          </w:tcPr>
          <w:p w14:paraId="2BC235F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-0.008*</w:t>
            </w:r>
          </w:p>
        </w:tc>
        <w:tc>
          <w:tcPr>
            <w:tcW w:w="1726" w:type="dxa"/>
          </w:tcPr>
          <w:p w14:paraId="549CBF2F"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-0.013**</w:t>
            </w:r>
          </w:p>
        </w:tc>
      </w:tr>
      <w:tr w:rsidR="00903326" w14:paraId="314FDA46" w14:textId="77777777" w:rsidTr="00A366BF">
        <w:tc>
          <w:tcPr>
            <w:tcW w:w="1726" w:type="dxa"/>
          </w:tcPr>
          <w:p w14:paraId="118CC8B2" w14:textId="77777777" w:rsidR="00903326" w:rsidRPr="00DD70CD" w:rsidRDefault="00903326" w:rsidP="00A366BF">
            <w:pPr>
              <w:jc w:val="center"/>
              <w:rPr>
                <w:rFonts w:asciiTheme="majorBidi" w:hAnsiTheme="majorBidi" w:cstheme="majorBidi"/>
                <w:sz w:val="20"/>
                <w:szCs w:val="20"/>
              </w:rPr>
            </w:pPr>
          </w:p>
        </w:tc>
        <w:tc>
          <w:tcPr>
            <w:tcW w:w="1726" w:type="dxa"/>
          </w:tcPr>
          <w:p w14:paraId="60FC1254"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(-2.108)</w:t>
            </w:r>
          </w:p>
        </w:tc>
        <w:tc>
          <w:tcPr>
            <w:tcW w:w="1726" w:type="dxa"/>
          </w:tcPr>
          <w:p w14:paraId="41580D29"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(-1.713)</w:t>
            </w:r>
          </w:p>
        </w:tc>
        <w:tc>
          <w:tcPr>
            <w:tcW w:w="1726" w:type="dxa"/>
          </w:tcPr>
          <w:p w14:paraId="69FDC644"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(-1.901)</w:t>
            </w:r>
          </w:p>
        </w:tc>
        <w:tc>
          <w:tcPr>
            <w:tcW w:w="1726" w:type="dxa"/>
          </w:tcPr>
          <w:p w14:paraId="47AC1FE1"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(-2.011)</w:t>
            </w:r>
          </w:p>
        </w:tc>
      </w:tr>
      <w:tr w:rsidR="00903326" w14:paraId="44641670" w14:textId="77777777" w:rsidTr="00A366BF">
        <w:tc>
          <w:tcPr>
            <w:tcW w:w="1726" w:type="dxa"/>
          </w:tcPr>
          <w:p w14:paraId="5F75799B"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GD</w:t>
            </w:r>
          </w:p>
        </w:tc>
        <w:tc>
          <w:tcPr>
            <w:tcW w:w="1726" w:type="dxa"/>
          </w:tcPr>
          <w:p w14:paraId="38C728C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0.011**</w:t>
            </w:r>
          </w:p>
        </w:tc>
        <w:tc>
          <w:tcPr>
            <w:tcW w:w="1726" w:type="dxa"/>
          </w:tcPr>
          <w:p w14:paraId="4B73D1E7"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0.025**</w:t>
            </w:r>
          </w:p>
        </w:tc>
        <w:tc>
          <w:tcPr>
            <w:tcW w:w="1726" w:type="dxa"/>
          </w:tcPr>
          <w:p w14:paraId="3548579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0.045**</w:t>
            </w:r>
          </w:p>
        </w:tc>
        <w:tc>
          <w:tcPr>
            <w:tcW w:w="1726" w:type="dxa"/>
          </w:tcPr>
          <w:p w14:paraId="33544EE9"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0.006*</w:t>
            </w:r>
          </w:p>
        </w:tc>
      </w:tr>
      <w:tr w:rsidR="00903326" w14:paraId="4B29D604" w14:textId="77777777" w:rsidTr="00A366BF">
        <w:tc>
          <w:tcPr>
            <w:tcW w:w="1726" w:type="dxa"/>
          </w:tcPr>
          <w:p w14:paraId="4EBD9FB4" w14:textId="77777777" w:rsidR="00903326" w:rsidRPr="00DD70CD" w:rsidRDefault="00903326" w:rsidP="00A366BF">
            <w:pPr>
              <w:jc w:val="center"/>
              <w:rPr>
                <w:rFonts w:asciiTheme="majorBidi" w:hAnsiTheme="majorBidi" w:cstheme="majorBidi"/>
                <w:sz w:val="20"/>
                <w:szCs w:val="20"/>
              </w:rPr>
            </w:pPr>
          </w:p>
        </w:tc>
        <w:tc>
          <w:tcPr>
            <w:tcW w:w="1726" w:type="dxa"/>
          </w:tcPr>
          <w:p w14:paraId="5BA48E23"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(2.514)</w:t>
            </w:r>
          </w:p>
        </w:tc>
        <w:tc>
          <w:tcPr>
            <w:tcW w:w="1726" w:type="dxa"/>
          </w:tcPr>
          <w:p w14:paraId="52EDB51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(2.011)</w:t>
            </w:r>
          </w:p>
        </w:tc>
        <w:tc>
          <w:tcPr>
            <w:tcW w:w="1726" w:type="dxa"/>
          </w:tcPr>
          <w:p w14:paraId="04486403"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(2.331)</w:t>
            </w:r>
          </w:p>
        </w:tc>
        <w:tc>
          <w:tcPr>
            <w:tcW w:w="1726" w:type="dxa"/>
          </w:tcPr>
          <w:p w14:paraId="68316CDA"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(1.690)</w:t>
            </w:r>
          </w:p>
        </w:tc>
      </w:tr>
      <w:tr w:rsidR="00903326" w14:paraId="041D5D60" w14:textId="77777777" w:rsidTr="00A366BF">
        <w:tc>
          <w:tcPr>
            <w:tcW w:w="1726" w:type="dxa"/>
          </w:tcPr>
          <w:p w14:paraId="1F0423BC"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Cons</w:t>
            </w:r>
          </w:p>
        </w:tc>
        <w:tc>
          <w:tcPr>
            <w:tcW w:w="1726" w:type="dxa"/>
          </w:tcPr>
          <w:p w14:paraId="7CDB9353"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1.117***</w:t>
            </w:r>
          </w:p>
        </w:tc>
        <w:tc>
          <w:tcPr>
            <w:tcW w:w="1726" w:type="dxa"/>
          </w:tcPr>
          <w:p w14:paraId="0EAFC18E"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1.055***</w:t>
            </w:r>
          </w:p>
        </w:tc>
        <w:tc>
          <w:tcPr>
            <w:tcW w:w="1726" w:type="dxa"/>
          </w:tcPr>
          <w:p w14:paraId="07A1155E"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1.653***</w:t>
            </w:r>
          </w:p>
        </w:tc>
        <w:tc>
          <w:tcPr>
            <w:tcW w:w="1726" w:type="dxa"/>
          </w:tcPr>
          <w:p w14:paraId="49BD7424"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1.333***</w:t>
            </w:r>
          </w:p>
        </w:tc>
      </w:tr>
      <w:tr w:rsidR="00903326" w14:paraId="0A7A25B6" w14:textId="77777777" w:rsidTr="00A366BF">
        <w:tc>
          <w:tcPr>
            <w:tcW w:w="1726" w:type="dxa"/>
          </w:tcPr>
          <w:p w14:paraId="7593EC9C" w14:textId="77777777" w:rsidR="00903326" w:rsidRPr="00DD70CD" w:rsidRDefault="00903326" w:rsidP="00A366BF">
            <w:pPr>
              <w:jc w:val="center"/>
              <w:rPr>
                <w:rFonts w:asciiTheme="majorBidi" w:hAnsiTheme="majorBidi" w:cstheme="majorBidi"/>
                <w:sz w:val="20"/>
                <w:szCs w:val="20"/>
              </w:rPr>
            </w:pPr>
          </w:p>
        </w:tc>
        <w:tc>
          <w:tcPr>
            <w:tcW w:w="1726" w:type="dxa"/>
          </w:tcPr>
          <w:p w14:paraId="46E91A7A"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(2.611)</w:t>
            </w:r>
          </w:p>
        </w:tc>
        <w:tc>
          <w:tcPr>
            <w:tcW w:w="1726" w:type="dxa"/>
          </w:tcPr>
          <w:p w14:paraId="77A9934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(5.081)</w:t>
            </w:r>
          </w:p>
        </w:tc>
        <w:tc>
          <w:tcPr>
            <w:tcW w:w="1726" w:type="dxa"/>
          </w:tcPr>
          <w:p w14:paraId="3F833C1E"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(2.816)</w:t>
            </w:r>
          </w:p>
        </w:tc>
        <w:tc>
          <w:tcPr>
            <w:tcW w:w="1726" w:type="dxa"/>
          </w:tcPr>
          <w:p w14:paraId="28A62F87"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(4.411)</w:t>
            </w:r>
          </w:p>
        </w:tc>
      </w:tr>
      <w:tr w:rsidR="00903326" w14:paraId="3F7F32BA" w14:textId="77777777" w:rsidTr="00A366BF">
        <w:tc>
          <w:tcPr>
            <w:tcW w:w="1726" w:type="dxa"/>
          </w:tcPr>
          <w:p w14:paraId="0B057E87"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N</w:t>
            </w:r>
          </w:p>
        </w:tc>
        <w:tc>
          <w:tcPr>
            <w:tcW w:w="1726" w:type="dxa"/>
          </w:tcPr>
          <w:p w14:paraId="6CD3B87D"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1,003</w:t>
            </w:r>
          </w:p>
        </w:tc>
        <w:tc>
          <w:tcPr>
            <w:tcW w:w="1726" w:type="dxa"/>
          </w:tcPr>
          <w:p w14:paraId="11597D23"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816</w:t>
            </w:r>
          </w:p>
        </w:tc>
        <w:tc>
          <w:tcPr>
            <w:tcW w:w="1726" w:type="dxa"/>
          </w:tcPr>
          <w:p w14:paraId="3122669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969</w:t>
            </w:r>
          </w:p>
        </w:tc>
        <w:tc>
          <w:tcPr>
            <w:tcW w:w="1726" w:type="dxa"/>
          </w:tcPr>
          <w:p w14:paraId="0FC624D1"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850</w:t>
            </w:r>
          </w:p>
        </w:tc>
      </w:tr>
      <w:tr w:rsidR="00903326" w14:paraId="6BCBC761" w14:textId="77777777" w:rsidTr="00A366BF">
        <w:tc>
          <w:tcPr>
            <w:tcW w:w="1726" w:type="dxa"/>
          </w:tcPr>
          <w:p w14:paraId="0DC9EA6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Wald chi2</w:t>
            </w:r>
          </w:p>
        </w:tc>
        <w:tc>
          <w:tcPr>
            <w:tcW w:w="1726" w:type="dxa"/>
          </w:tcPr>
          <w:p w14:paraId="163158CB"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346.8***</w:t>
            </w:r>
          </w:p>
        </w:tc>
        <w:tc>
          <w:tcPr>
            <w:tcW w:w="1726" w:type="dxa"/>
          </w:tcPr>
          <w:p w14:paraId="7E28172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511.3***</w:t>
            </w:r>
          </w:p>
        </w:tc>
        <w:tc>
          <w:tcPr>
            <w:tcW w:w="1726" w:type="dxa"/>
          </w:tcPr>
          <w:p w14:paraId="630CD78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981.2***</w:t>
            </w:r>
          </w:p>
        </w:tc>
        <w:tc>
          <w:tcPr>
            <w:tcW w:w="1726" w:type="dxa"/>
          </w:tcPr>
          <w:p w14:paraId="7EB473CF"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561.7***</w:t>
            </w:r>
          </w:p>
        </w:tc>
      </w:tr>
      <w:tr w:rsidR="00903326" w14:paraId="5E833B53" w14:textId="77777777" w:rsidTr="00A366BF">
        <w:tc>
          <w:tcPr>
            <w:tcW w:w="1726" w:type="dxa"/>
          </w:tcPr>
          <w:p w14:paraId="03ACC5C2"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N of Banks</w:t>
            </w:r>
          </w:p>
        </w:tc>
        <w:tc>
          <w:tcPr>
            <w:tcW w:w="1726" w:type="dxa"/>
          </w:tcPr>
          <w:p w14:paraId="162B5E26"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60</w:t>
            </w:r>
          </w:p>
        </w:tc>
        <w:tc>
          <w:tcPr>
            <w:tcW w:w="1726" w:type="dxa"/>
          </w:tcPr>
          <w:p w14:paraId="18C793E6"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60</w:t>
            </w:r>
          </w:p>
        </w:tc>
        <w:tc>
          <w:tcPr>
            <w:tcW w:w="1726" w:type="dxa"/>
          </w:tcPr>
          <w:p w14:paraId="3B81ABF5"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52</w:t>
            </w:r>
          </w:p>
        </w:tc>
        <w:tc>
          <w:tcPr>
            <w:tcW w:w="1726" w:type="dxa"/>
          </w:tcPr>
          <w:p w14:paraId="78AEA1D4" w14:textId="77777777" w:rsidR="00903326" w:rsidRPr="00DD70CD" w:rsidRDefault="00903326" w:rsidP="00A366BF">
            <w:pPr>
              <w:jc w:val="center"/>
              <w:rPr>
                <w:rFonts w:asciiTheme="majorBidi" w:hAnsiTheme="majorBidi" w:cstheme="majorBidi"/>
                <w:sz w:val="20"/>
                <w:szCs w:val="20"/>
              </w:rPr>
            </w:pPr>
            <w:r w:rsidRPr="00DD70CD">
              <w:rPr>
                <w:rFonts w:asciiTheme="majorBidi" w:hAnsiTheme="majorBidi" w:cstheme="majorBidi"/>
                <w:sz w:val="20"/>
                <w:szCs w:val="20"/>
              </w:rPr>
              <w:t>52</w:t>
            </w:r>
          </w:p>
        </w:tc>
      </w:tr>
      <w:tr w:rsidR="00903326" w14:paraId="2D7ADE15" w14:textId="77777777" w:rsidTr="00A366BF">
        <w:tc>
          <w:tcPr>
            <w:tcW w:w="8630" w:type="dxa"/>
            <w:gridSpan w:val="5"/>
          </w:tcPr>
          <w:p w14:paraId="6B87BBFC" w14:textId="77777777" w:rsidR="00903326" w:rsidRPr="00E654FF" w:rsidRDefault="00903326" w:rsidP="00A366BF">
            <w:pPr>
              <w:widowControl w:val="0"/>
              <w:autoSpaceDE w:val="0"/>
              <w:autoSpaceDN w:val="0"/>
              <w:adjustRightInd w:val="0"/>
              <w:jc w:val="both"/>
              <w:rPr>
                <w:rFonts w:asciiTheme="majorBidi" w:hAnsiTheme="majorBidi" w:cstheme="majorBidi"/>
                <w:sz w:val="20"/>
                <w:szCs w:val="20"/>
              </w:rPr>
            </w:pPr>
            <w:r w:rsidRPr="00E654FF">
              <w:rPr>
                <w:rFonts w:asciiTheme="majorBidi" w:hAnsiTheme="majorBidi" w:cstheme="majorBidi"/>
                <w:sz w:val="20"/>
                <w:szCs w:val="20"/>
              </w:rPr>
              <w:t>Note: Z-statistics in parentheses; *** p&lt;0.01, ** p&lt;0.05, * p&lt;0.1</w:t>
            </w:r>
          </w:p>
          <w:p w14:paraId="5143B4C6" w14:textId="77777777" w:rsidR="00903326" w:rsidRPr="00DD70CD" w:rsidRDefault="00903326" w:rsidP="00A366BF">
            <w:pPr>
              <w:jc w:val="both"/>
              <w:rPr>
                <w:rFonts w:asciiTheme="majorBidi" w:hAnsiTheme="majorBidi" w:cstheme="majorBidi"/>
                <w:sz w:val="20"/>
                <w:szCs w:val="20"/>
              </w:rPr>
            </w:pPr>
            <w:r w:rsidRPr="00E654FF">
              <w:rPr>
                <w:rFonts w:asciiTheme="majorBidi" w:hAnsiTheme="majorBidi" w:cstheme="majorBidi"/>
                <w:sz w:val="20"/>
                <w:szCs w:val="20"/>
              </w:rPr>
              <w:t>DD= default to distance (financial resilience); GT = Geopolitical tensions index; GG= the growth of geopolitical tensions; BS = Bank size; CA = Capital adequacy ratio; AG= Assets growth, LG = Loan growth; GD= Gross domestic product, IN = Inflation rate; High oil dependence = 1 if a country's oil rents (% GDP) are above the median; 0 otherwise. High values indicate oil-dependent economies.</w:t>
            </w:r>
          </w:p>
        </w:tc>
      </w:tr>
    </w:tbl>
    <w:p w14:paraId="05D05381" w14:textId="77777777" w:rsidR="00D06EBD" w:rsidRDefault="00D06EBD" w:rsidP="00903326"/>
    <w:sectPr w:rsidR="00D06EB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TIX-Regular">
    <w:altName w:val="Times New Roman"/>
    <w:panose1 w:val="00000000000000000000"/>
    <w:charset w:val="A1"/>
    <w:family w:val="roman"/>
    <w:notTrueType/>
    <w:pitch w:val="default"/>
    <w:sig w:usb0="00000081" w:usb1="00000000" w:usb2="00000000" w:usb3="00000000" w:csb0="00000008"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BD"/>
    <w:rsid w:val="00903326"/>
    <w:rsid w:val="00BC65C4"/>
    <w:rsid w:val="00D06EBD"/>
    <w:rsid w:val="00DD79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393BD"/>
  <w15:chartTrackingRefBased/>
  <w15:docId w15:val="{F717BA4C-A72C-4830-82FF-B99B31EAE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EBD"/>
    <w:pPr>
      <w:spacing w:line="259" w:lineRule="auto"/>
    </w:pPr>
    <w:rPr>
      <w:kern w:val="0"/>
      <w:sz w:val="22"/>
      <w:szCs w:val="22"/>
      <w14:ligatures w14:val="none"/>
    </w:rPr>
  </w:style>
  <w:style w:type="paragraph" w:styleId="Heading1">
    <w:name w:val="heading 1"/>
    <w:basedOn w:val="Normal"/>
    <w:next w:val="Normal"/>
    <w:link w:val="Heading1Char"/>
    <w:uiPriority w:val="9"/>
    <w:qFormat/>
    <w:rsid w:val="00D06EBD"/>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06EBD"/>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06EBD"/>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06EBD"/>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06EBD"/>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06EB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06EB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06EB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06EB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6E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6E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6E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6E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6E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6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6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6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6EBD"/>
    <w:rPr>
      <w:rFonts w:eastAsiaTheme="majorEastAsia" w:cstheme="majorBidi"/>
      <w:color w:val="272727" w:themeColor="text1" w:themeTint="D8"/>
    </w:rPr>
  </w:style>
  <w:style w:type="paragraph" w:styleId="Title">
    <w:name w:val="Title"/>
    <w:basedOn w:val="Normal"/>
    <w:next w:val="Normal"/>
    <w:link w:val="TitleChar"/>
    <w:uiPriority w:val="10"/>
    <w:qFormat/>
    <w:rsid w:val="00D06EB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06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6EB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06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6EB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06EBD"/>
    <w:rPr>
      <w:i/>
      <w:iCs/>
      <w:color w:val="404040" w:themeColor="text1" w:themeTint="BF"/>
    </w:rPr>
  </w:style>
  <w:style w:type="paragraph" w:styleId="ListParagraph">
    <w:name w:val="List Paragraph"/>
    <w:basedOn w:val="Normal"/>
    <w:uiPriority w:val="34"/>
    <w:qFormat/>
    <w:rsid w:val="00D06EB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D06EBD"/>
    <w:rPr>
      <w:i/>
      <w:iCs/>
      <w:color w:val="0F4761" w:themeColor="accent1" w:themeShade="BF"/>
    </w:rPr>
  </w:style>
  <w:style w:type="paragraph" w:styleId="IntenseQuote">
    <w:name w:val="Intense Quote"/>
    <w:basedOn w:val="Normal"/>
    <w:next w:val="Normal"/>
    <w:link w:val="IntenseQuoteChar"/>
    <w:uiPriority w:val="30"/>
    <w:qFormat/>
    <w:rsid w:val="00D06EB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06EBD"/>
    <w:rPr>
      <w:i/>
      <w:iCs/>
      <w:color w:val="0F4761" w:themeColor="accent1" w:themeShade="BF"/>
    </w:rPr>
  </w:style>
  <w:style w:type="character" w:styleId="IntenseReference">
    <w:name w:val="Intense Reference"/>
    <w:basedOn w:val="DefaultParagraphFont"/>
    <w:uiPriority w:val="32"/>
    <w:qFormat/>
    <w:rsid w:val="00D06EBD"/>
    <w:rPr>
      <w:b/>
      <w:bCs/>
      <w:smallCaps/>
      <w:color w:val="0F4761" w:themeColor="accent1" w:themeShade="BF"/>
      <w:spacing w:val="5"/>
    </w:rPr>
  </w:style>
  <w:style w:type="paragraph" w:styleId="NormalWeb">
    <w:name w:val="Normal (Web)"/>
    <w:basedOn w:val="Normal"/>
    <w:link w:val="NormalWebChar"/>
    <w:uiPriority w:val="99"/>
    <w:rsid w:val="00D06EBD"/>
    <w:pPr>
      <w:spacing w:before="100" w:beforeAutospacing="1" w:after="100" w:afterAutospacing="1" w:line="360" w:lineRule="auto"/>
      <w:ind w:firstLine="202"/>
    </w:pPr>
    <w:rPr>
      <w:rFonts w:ascii="Wingdings" w:eastAsia="STIX-Regular" w:hAnsi="Wingdings" w:cs="STIX-Regular"/>
      <w:sz w:val="24"/>
      <w:szCs w:val="24"/>
      <w:lang w:eastAsia="zh-CN"/>
    </w:rPr>
  </w:style>
  <w:style w:type="character" w:customStyle="1" w:styleId="NormalWebChar">
    <w:name w:val="Normal (Web) Char"/>
    <w:link w:val="NormalWeb"/>
    <w:uiPriority w:val="99"/>
    <w:rsid w:val="00D06EBD"/>
    <w:rPr>
      <w:rFonts w:ascii="Wingdings" w:eastAsia="STIX-Regular" w:hAnsi="Wingdings" w:cs="STIX-Regular"/>
      <w:kern w:val="0"/>
      <w:lang w:eastAsia="zh-CN"/>
      <w14:ligatures w14:val="none"/>
    </w:rPr>
  </w:style>
  <w:style w:type="paragraph" w:styleId="Caption">
    <w:name w:val="caption"/>
    <w:aliases w:val="图题"/>
    <w:basedOn w:val="Normal"/>
    <w:next w:val="Normal"/>
    <w:link w:val="CaptionChar"/>
    <w:autoRedefine/>
    <w:uiPriority w:val="35"/>
    <w:qFormat/>
    <w:rsid w:val="00903326"/>
    <w:pPr>
      <w:keepNext/>
      <w:spacing w:before="120" w:after="120" w:line="360" w:lineRule="auto"/>
      <w:ind w:left="284"/>
      <w:jc w:val="center"/>
    </w:pPr>
    <w:rPr>
      <w:rFonts w:asciiTheme="majorBidi" w:eastAsia="SimSun" w:hAnsiTheme="majorBidi" w:cstheme="majorBidi"/>
      <w:b/>
      <w:bCs/>
      <w:kern w:val="2"/>
      <w:sz w:val="24"/>
      <w:szCs w:val="24"/>
      <w:lang w:eastAsia="zh-CN"/>
    </w:rPr>
  </w:style>
  <w:style w:type="character" w:customStyle="1" w:styleId="CaptionChar">
    <w:name w:val="Caption Char"/>
    <w:aliases w:val="图题 Char"/>
    <w:link w:val="Caption"/>
    <w:uiPriority w:val="35"/>
    <w:rsid w:val="00903326"/>
    <w:rPr>
      <w:rFonts w:asciiTheme="majorBidi" w:eastAsia="SimSun" w:hAnsiTheme="majorBidi" w:cstheme="majorBidi"/>
      <w:b/>
      <w:bCs/>
      <w:lang w:eastAsia="zh-CN"/>
      <w14:ligatures w14:val="none"/>
    </w:rPr>
  </w:style>
  <w:style w:type="table" w:styleId="TableGrid">
    <w:name w:val="Table Grid"/>
    <w:basedOn w:val="TableNormal"/>
    <w:uiPriority w:val="39"/>
    <w:rsid w:val="00903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9</Pages>
  <Words>2870</Words>
  <Characters>16364</Characters>
  <Application>Microsoft Office Word</Application>
  <DocSecurity>0</DocSecurity>
  <Lines>136</Lines>
  <Paragraphs>38</Paragraphs>
  <ScaleCrop>false</ScaleCrop>
  <Company/>
  <LinksUpToDate>false</LinksUpToDate>
  <CharactersWithSpaces>19196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Rashed</dc:creator>
  <cp:keywords/>
  <dc:description/>
  <cp:lastModifiedBy>Ahmed Rashed</cp:lastModifiedBy>
  <cp:revision>4</cp:revision>
  <dcterms:created xsi:type="dcterms:W3CDTF">2026-08-17T14:50:00Z</dcterms:created>
  <dcterms:modified xsi:type="dcterms:W3CDTF">2026-08-17T15:17:00Z</dcterms:modified>
</cp:coreProperties>
</file>