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7682A" w14:textId="77777777" w:rsidR="00A3793C" w:rsidRDefault="00A3793C" w:rsidP="00A3793C">
      <w:pPr>
        <w:pStyle w:val="Heading1"/>
        <w:spacing w:before="320" w:after="180"/>
      </w:pPr>
      <w:r>
        <w:rPr>
          <w:rFonts w:ascii="Times New Roman" w:eastAsia="Times New Roman" w:hAnsi="Times New Roman" w:cs="Times New Roman"/>
          <w:b/>
          <w:bCs/>
          <w:sz w:val="30"/>
          <w:szCs w:val="30"/>
        </w:rPr>
        <w:t>Supplementary Materials</w:t>
      </w:r>
    </w:p>
    <w:p w14:paraId="43741A34" w14:textId="77777777" w:rsidR="00A3793C" w:rsidRDefault="00A3793C" w:rsidP="00A3793C">
      <w:pPr>
        <w:pStyle w:val="Heading2"/>
        <w:spacing w:before="260" w:after="140"/>
      </w:pPr>
      <w:r>
        <w:rPr>
          <w:rFonts w:ascii="Times New Roman" w:eastAsia="Times New Roman" w:hAnsi="Times New Roman" w:cs="Times New Roman"/>
          <w:b/>
          <w:bCs/>
          <w:sz w:val="26"/>
          <w:szCs w:val="26"/>
        </w:rPr>
        <w:t>S1. OLS Regression Diagnostics for Model A</w:t>
      </w:r>
    </w:p>
    <w:p w14:paraId="581E1BF9" w14:textId="77777777" w:rsidR="00A3793C" w:rsidRDefault="00A3793C" w:rsidP="00A3793C">
      <w:pPr>
        <w:spacing w:after="180" w:line="270" w:lineRule="auto"/>
      </w:pPr>
      <w:r>
        <w:t>Because ordinary least squares is used throughout this study (as the primary interpretable benchmark, as the basis for the Community Priority Score, and as the model whose residuals underlie the spatial analysis), we report standard regression diagnostics here for the full-sample OLS fit of Model A (all 412 tracts, 12 predictors plus intercept; in-sample R² = 0.621, necessarily higher than the out-of-sample cross-validated estimates reported in the main text because no data are held out). These diagnostics are not a substitute for the cross-validated and externally validated performance estimates in Tables 2–4, which remain the basis for every accuracy claim in this paper; they instead characterize whether the linear model's assumptions are reasonably satisfied.</w:t>
      </w:r>
    </w:p>
    <w:p w14:paraId="16240C8E" w14:textId="77777777" w:rsidR="00A3793C" w:rsidRDefault="00A3793C" w:rsidP="00A3793C">
      <w:pPr>
        <w:pStyle w:val="Heading3"/>
        <w:spacing w:before="200" w:after="100"/>
      </w:pPr>
      <w:r>
        <w:rPr>
          <w:rFonts w:ascii="Times New Roman" w:eastAsia="Times New Roman" w:hAnsi="Times New Roman" w:cs="Times New Roman"/>
          <w:b/>
          <w:bCs/>
          <w:i/>
          <w:iCs/>
          <w:sz w:val="24"/>
          <w:szCs w:val="24"/>
        </w:rPr>
        <w:t>Multicollinearity (Variance Inflation Factors)</w:t>
      </w:r>
    </w:p>
    <w:p w14:paraId="0002690C" w14:textId="77777777" w:rsidR="00A3793C" w:rsidRDefault="00A3793C" w:rsidP="00A3793C">
      <w:pPr>
        <w:spacing w:after="180" w:line="270" w:lineRule="auto"/>
      </w:pPr>
      <w:r>
        <w:t>All twelve Model A predictors had variance inflation factors below 2.6 (Table S1), well under the conventional concern thresholds of 5 or 10. This indicates that although several socioeconomic predictors are correlated (Figure 1), no pair or cluster of variables is collinear enough to destabilize the OLS coefficient estimates, and supports interpreting individual coefficients as distinguishable, if not independent, contributions.</w:t>
      </w:r>
    </w:p>
    <w:tbl>
      <w:tblPr>
        <w:tblW w:w="6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0"/>
        <w:gridCol w:w="1800"/>
      </w:tblGrid>
      <w:tr w:rsidR="00A3793C" w14:paraId="43F8AD70" w14:textId="77777777" w:rsidTr="00687F97">
        <w:tblPrEx>
          <w:tblCellMar>
            <w:top w:w="0" w:type="dxa"/>
            <w:bottom w:w="0" w:type="dxa"/>
          </w:tblCellMar>
        </w:tblPrEx>
        <w:trPr>
          <w:tblHeader/>
        </w:trPr>
        <w:tc>
          <w:tcPr>
            <w:tcW w:w="4600" w:type="dxa"/>
            <w:shd w:val="clear" w:color="auto" w:fill="D9E2F3"/>
            <w:tcMar>
              <w:top w:w="60" w:type="dxa"/>
              <w:left w:w="100" w:type="dxa"/>
              <w:bottom w:w="60" w:type="dxa"/>
              <w:right w:w="100" w:type="dxa"/>
            </w:tcMar>
            <w:vAlign w:val="center"/>
          </w:tcPr>
          <w:p w14:paraId="7784B371" w14:textId="77777777" w:rsidR="00A3793C" w:rsidRDefault="00A3793C" w:rsidP="00687F97">
            <w:pPr>
              <w:jc w:val="center"/>
            </w:pPr>
            <w:r>
              <w:rPr>
                <w:b/>
                <w:bCs/>
                <w:sz w:val="21"/>
                <w:szCs w:val="21"/>
              </w:rPr>
              <w:t>Predictor</w:t>
            </w:r>
          </w:p>
        </w:tc>
        <w:tc>
          <w:tcPr>
            <w:tcW w:w="1800" w:type="dxa"/>
            <w:shd w:val="clear" w:color="auto" w:fill="D9E2F3"/>
            <w:tcMar>
              <w:top w:w="60" w:type="dxa"/>
              <w:left w:w="100" w:type="dxa"/>
              <w:bottom w:w="60" w:type="dxa"/>
              <w:right w:w="100" w:type="dxa"/>
            </w:tcMar>
            <w:vAlign w:val="center"/>
          </w:tcPr>
          <w:p w14:paraId="38E4FE33" w14:textId="77777777" w:rsidR="00A3793C" w:rsidRDefault="00A3793C" w:rsidP="00687F97">
            <w:pPr>
              <w:jc w:val="center"/>
            </w:pPr>
            <w:r>
              <w:rPr>
                <w:b/>
                <w:bCs/>
                <w:sz w:val="21"/>
                <w:szCs w:val="21"/>
              </w:rPr>
              <w:t>VIF</w:t>
            </w:r>
          </w:p>
        </w:tc>
      </w:tr>
      <w:tr w:rsidR="00A3793C" w14:paraId="53B4A364" w14:textId="77777777" w:rsidTr="00687F97">
        <w:tblPrEx>
          <w:tblCellMar>
            <w:top w:w="0" w:type="dxa"/>
            <w:bottom w:w="0" w:type="dxa"/>
          </w:tblCellMar>
        </w:tblPrEx>
        <w:tc>
          <w:tcPr>
            <w:tcW w:w="4600" w:type="dxa"/>
            <w:tcMar>
              <w:top w:w="60" w:type="dxa"/>
              <w:left w:w="100" w:type="dxa"/>
              <w:bottom w:w="60" w:type="dxa"/>
              <w:right w:w="100" w:type="dxa"/>
            </w:tcMar>
            <w:vAlign w:val="center"/>
          </w:tcPr>
          <w:p w14:paraId="36228365" w14:textId="77777777" w:rsidR="00A3793C" w:rsidRDefault="00A3793C" w:rsidP="00687F97">
            <w:r>
              <w:rPr>
                <w:sz w:val="21"/>
                <w:szCs w:val="21"/>
              </w:rPr>
              <w:t>Median household income</w:t>
            </w:r>
          </w:p>
        </w:tc>
        <w:tc>
          <w:tcPr>
            <w:tcW w:w="1800" w:type="dxa"/>
            <w:tcMar>
              <w:top w:w="60" w:type="dxa"/>
              <w:left w:w="100" w:type="dxa"/>
              <w:bottom w:w="60" w:type="dxa"/>
              <w:right w:w="100" w:type="dxa"/>
            </w:tcMar>
            <w:vAlign w:val="center"/>
          </w:tcPr>
          <w:p w14:paraId="65178E22" w14:textId="77777777" w:rsidR="00A3793C" w:rsidRDefault="00A3793C" w:rsidP="00687F97">
            <w:pPr>
              <w:jc w:val="center"/>
            </w:pPr>
            <w:r>
              <w:rPr>
                <w:sz w:val="21"/>
                <w:szCs w:val="21"/>
              </w:rPr>
              <w:t>2.51</w:t>
            </w:r>
          </w:p>
        </w:tc>
      </w:tr>
      <w:tr w:rsidR="00A3793C" w14:paraId="3CB2E629" w14:textId="77777777" w:rsidTr="00687F97">
        <w:tblPrEx>
          <w:tblCellMar>
            <w:top w:w="0" w:type="dxa"/>
            <w:bottom w:w="0" w:type="dxa"/>
          </w:tblCellMar>
        </w:tblPrEx>
        <w:tc>
          <w:tcPr>
            <w:tcW w:w="4600" w:type="dxa"/>
            <w:tcMar>
              <w:top w:w="60" w:type="dxa"/>
              <w:left w:w="100" w:type="dxa"/>
              <w:bottom w:w="60" w:type="dxa"/>
              <w:right w:w="100" w:type="dxa"/>
            </w:tcMar>
            <w:vAlign w:val="center"/>
          </w:tcPr>
          <w:p w14:paraId="53ED0287" w14:textId="77777777" w:rsidR="00A3793C" w:rsidRDefault="00A3793C" w:rsidP="00687F97">
            <w:r>
              <w:rPr>
                <w:sz w:val="21"/>
                <w:szCs w:val="21"/>
              </w:rPr>
              <w:t>Bachelor's degree or higher</w:t>
            </w:r>
          </w:p>
        </w:tc>
        <w:tc>
          <w:tcPr>
            <w:tcW w:w="1800" w:type="dxa"/>
            <w:tcMar>
              <w:top w:w="60" w:type="dxa"/>
              <w:left w:w="100" w:type="dxa"/>
              <w:bottom w:w="60" w:type="dxa"/>
              <w:right w:w="100" w:type="dxa"/>
            </w:tcMar>
            <w:vAlign w:val="center"/>
          </w:tcPr>
          <w:p w14:paraId="4686CEA8" w14:textId="77777777" w:rsidR="00A3793C" w:rsidRDefault="00A3793C" w:rsidP="00687F97">
            <w:pPr>
              <w:jc w:val="center"/>
            </w:pPr>
            <w:r>
              <w:rPr>
                <w:sz w:val="21"/>
                <w:szCs w:val="21"/>
              </w:rPr>
              <w:t>1.95</w:t>
            </w:r>
          </w:p>
        </w:tc>
      </w:tr>
      <w:tr w:rsidR="00A3793C" w14:paraId="5AFD9D19" w14:textId="77777777" w:rsidTr="00687F97">
        <w:tblPrEx>
          <w:tblCellMar>
            <w:top w:w="0" w:type="dxa"/>
            <w:bottom w:w="0" w:type="dxa"/>
          </w:tblCellMar>
        </w:tblPrEx>
        <w:tc>
          <w:tcPr>
            <w:tcW w:w="4600" w:type="dxa"/>
            <w:tcMar>
              <w:top w:w="60" w:type="dxa"/>
              <w:left w:w="100" w:type="dxa"/>
              <w:bottom w:w="60" w:type="dxa"/>
              <w:right w:w="100" w:type="dxa"/>
            </w:tcMar>
            <w:vAlign w:val="center"/>
          </w:tcPr>
          <w:p w14:paraId="363498A6" w14:textId="77777777" w:rsidR="00A3793C" w:rsidRDefault="00A3793C" w:rsidP="00687F97">
            <w:r>
              <w:rPr>
                <w:sz w:val="21"/>
                <w:szCs w:val="21"/>
              </w:rPr>
              <w:t>Poverty rate</w:t>
            </w:r>
          </w:p>
        </w:tc>
        <w:tc>
          <w:tcPr>
            <w:tcW w:w="1800" w:type="dxa"/>
            <w:tcMar>
              <w:top w:w="60" w:type="dxa"/>
              <w:left w:w="100" w:type="dxa"/>
              <w:bottom w:w="60" w:type="dxa"/>
              <w:right w:w="100" w:type="dxa"/>
            </w:tcMar>
            <w:vAlign w:val="center"/>
          </w:tcPr>
          <w:p w14:paraId="1AD0E569" w14:textId="77777777" w:rsidR="00A3793C" w:rsidRDefault="00A3793C" w:rsidP="00687F97">
            <w:pPr>
              <w:jc w:val="center"/>
            </w:pPr>
            <w:r>
              <w:rPr>
                <w:sz w:val="21"/>
                <w:szCs w:val="21"/>
              </w:rPr>
              <w:t>1.85</w:t>
            </w:r>
          </w:p>
        </w:tc>
      </w:tr>
      <w:tr w:rsidR="00A3793C" w14:paraId="7EA7DD2C" w14:textId="77777777" w:rsidTr="00687F97">
        <w:tblPrEx>
          <w:tblCellMar>
            <w:top w:w="0" w:type="dxa"/>
            <w:bottom w:w="0" w:type="dxa"/>
          </w:tblCellMar>
        </w:tblPrEx>
        <w:tc>
          <w:tcPr>
            <w:tcW w:w="4600" w:type="dxa"/>
            <w:tcMar>
              <w:top w:w="60" w:type="dxa"/>
              <w:left w:w="100" w:type="dxa"/>
              <w:bottom w:w="60" w:type="dxa"/>
              <w:right w:w="100" w:type="dxa"/>
            </w:tcMar>
            <w:vAlign w:val="center"/>
          </w:tcPr>
          <w:p w14:paraId="4E80AB83" w14:textId="77777777" w:rsidR="00A3793C" w:rsidRDefault="00A3793C" w:rsidP="00687F97">
            <w:r>
              <w:rPr>
                <w:sz w:val="21"/>
                <w:szCs w:val="21"/>
              </w:rPr>
              <w:t>USDA low-access population share</w:t>
            </w:r>
          </w:p>
        </w:tc>
        <w:tc>
          <w:tcPr>
            <w:tcW w:w="1800" w:type="dxa"/>
            <w:tcMar>
              <w:top w:w="60" w:type="dxa"/>
              <w:left w:w="100" w:type="dxa"/>
              <w:bottom w:w="60" w:type="dxa"/>
              <w:right w:w="100" w:type="dxa"/>
            </w:tcMar>
            <w:vAlign w:val="center"/>
          </w:tcPr>
          <w:p w14:paraId="39409BDA" w14:textId="77777777" w:rsidR="00A3793C" w:rsidRDefault="00A3793C" w:rsidP="00687F97">
            <w:pPr>
              <w:jc w:val="center"/>
            </w:pPr>
            <w:r>
              <w:rPr>
                <w:sz w:val="21"/>
                <w:szCs w:val="21"/>
              </w:rPr>
              <w:t>1.67</w:t>
            </w:r>
          </w:p>
        </w:tc>
      </w:tr>
      <w:tr w:rsidR="00A3793C" w14:paraId="2EE4A084" w14:textId="77777777" w:rsidTr="00687F97">
        <w:tblPrEx>
          <w:tblCellMar>
            <w:top w:w="0" w:type="dxa"/>
            <w:bottom w:w="0" w:type="dxa"/>
          </w:tblCellMar>
        </w:tblPrEx>
        <w:tc>
          <w:tcPr>
            <w:tcW w:w="4600" w:type="dxa"/>
            <w:tcMar>
              <w:top w:w="60" w:type="dxa"/>
              <w:left w:w="100" w:type="dxa"/>
              <w:bottom w:w="60" w:type="dxa"/>
              <w:right w:w="100" w:type="dxa"/>
            </w:tcMar>
            <w:vAlign w:val="center"/>
          </w:tcPr>
          <w:p w14:paraId="08DCDF2B" w14:textId="77777777" w:rsidR="00A3793C" w:rsidRDefault="00A3793C" w:rsidP="00687F97">
            <w:r>
              <w:rPr>
                <w:sz w:val="21"/>
                <w:szCs w:val="21"/>
              </w:rPr>
              <w:t>Distance to nearest park</w:t>
            </w:r>
          </w:p>
        </w:tc>
        <w:tc>
          <w:tcPr>
            <w:tcW w:w="1800" w:type="dxa"/>
            <w:tcMar>
              <w:top w:w="60" w:type="dxa"/>
              <w:left w:w="100" w:type="dxa"/>
              <w:bottom w:w="60" w:type="dxa"/>
              <w:right w:w="100" w:type="dxa"/>
            </w:tcMar>
            <w:vAlign w:val="center"/>
          </w:tcPr>
          <w:p w14:paraId="1C6A239B" w14:textId="77777777" w:rsidR="00A3793C" w:rsidRDefault="00A3793C" w:rsidP="00687F97">
            <w:pPr>
              <w:jc w:val="center"/>
            </w:pPr>
            <w:r>
              <w:rPr>
                <w:sz w:val="21"/>
                <w:szCs w:val="21"/>
              </w:rPr>
              <w:t>1.56</w:t>
            </w:r>
          </w:p>
        </w:tc>
      </w:tr>
      <w:tr w:rsidR="00A3793C" w14:paraId="630E9FF7" w14:textId="77777777" w:rsidTr="00687F97">
        <w:tblPrEx>
          <w:tblCellMar>
            <w:top w:w="0" w:type="dxa"/>
            <w:bottom w:w="0" w:type="dxa"/>
          </w:tblCellMar>
        </w:tblPrEx>
        <w:tc>
          <w:tcPr>
            <w:tcW w:w="4600" w:type="dxa"/>
            <w:tcMar>
              <w:top w:w="60" w:type="dxa"/>
              <w:left w:w="100" w:type="dxa"/>
              <w:bottom w:w="60" w:type="dxa"/>
              <w:right w:w="100" w:type="dxa"/>
            </w:tcMar>
            <w:vAlign w:val="center"/>
          </w:tcPr>
          <w:p w14:paraId="13EEAC11" w14:textId="77777777" w:rsidR="00A3793C" w:rsidRDefault="00A3793C" w:rsidP="00687F97">
            <w:r>
              <w:rPr>
                <w:sz w:val="21"/>
                <w:szCs w:val="21"/>
              </w:rPr>
              <w:t>Median age</w:t>
            </w:r>
          </w:p>
        </w:tc>
        <w:tc>
          <w:tcPr>
            <w:tcW w:w="1800" w:type="dxa"/>
            <w:tcMar>
              <w:top w:w="60" w:type="dxa"/>
              <w:left w:w="100" w:type="dxa"/>
              <w:bottom w:w="60" w:type="dxa"/>
              <w:right w:w="100" w:type="dxa"/>
            </w:tcMar>
            <w:vAlign w:val="center"/>
          </w:tcPr>
          <w:p w14:paraId="464BBFEC" w14:textId="77777777" w:rsidR="00A3793C" w:rsidRDefault="00A3793C" w:rsidP="00687F97">
            <w:pPr>
              <w:jc w:val="center"/>
            </w:pPr>
            <w:r>
              <w:rPr>
                <w:sz w:val="21"/>
                <w:szCs w:val="21"/>
              </w:rPr>
              <w:t>1.39</w:t>
            </w:r>
          </w:p>
        </w:tc>
      </w:tr>
      <w:tr w:rsidR="00A3793C" w14:paraId="66D8A712" w14:textId="77777777" w:rsidTr="00687F97">
        <w:tblPrEx>
          <w:tblCellMar>
            <w:top w:w="0" w:type="dxa"/>
            <w:bottom w:w="0" w:type="dxa"/>
          </w:tblCellMar>
        </w:tblPrEx>
        <w:tc>
          <w:tcPr>
            <w:tcW w:w="4600" w:type="dxa"/>
            <w:tcMar>
              <w:top w:w="60" w:type="dxa"/>
              <w:left w:w="100" w:type="dxa"/>
              <w:bottom w:w="60" w:type="dxa"/>
              <w:right w:w="100" w:type="dxa"/>
            </w:tcMar>
            <w:vAlign w:val="center"/>
          </w:tcPr>
          <w:p w14:paraId="431BC1C3" w14:textId="77777777" w:rsidR="00A3793C" w:rsidRDefault="00A3793C" w:rsidP="00687F97">
            <w:r>
              <w:rPr>
                <w:sz w:val="21"/>
                <w:szCs w:val="21"/>
              </w:rPr>
              <w:t>Grocery density</w:t>
            </w:r>
          </w:p>
        </w:tc>
        <w:tc>
          <w:tcPr>
            <w:tcW w:w="1800" w:type="dxa"/>
            <w:tcMar>
              <w:top w:w="60" w:type="dxa"/>
              <w:left w:w="100" w:type="dxa"/>
              <w:bottom w:w="60" w:type="dxa"/>
              <w:right w:w="100" w:type="dxa"/>
            </w:tcMar>
            <w:vAlign w:val="center"/>
          </w:tcPr>
          <w:p w14:paraId="1AE5396C" w14:textId="77777777" w:rsidR="00A3793C" w:rsidRDefault="00A3793C" w:rsidP="00687F97">
            <w:pPr>
              <w:jc w:val="center"/>
            </w:pPr>
            <w:r>
              <w:rPr>
                <w:sz w:val="21"/>
                <w:szCs w:val="21"/>
              </w:rPr>
              <w:t>1.39</w:t>
            </w:r>
          </w:p>
        </w:tc>
      </w:tr>
      <w:tr w:rsidR="00A3793C" w14:paraId="460C9BB9" w14:textId="77777777" w:rsidTr="00687F97">
        <w:tblPrEx>
          <w:tblCellMar>
            <w:top w:w="0" w:type="dxa"/>
            <w:bottom w:w="0" w:type="dxa"/>
          </w:tblCellMar>
        </w:tblPrEx>
        <w:tc>
          <w:tcPr>
            <w:tcW w:w="4600" w:type="dxa"/>
            <w:tcMar>
              <w:top w:w="60" w:type="dxa"/>
              <w:left w:w="100" w:type="dxa"/>
              <w:bottom w:w="60" w:type="dxa"/>
              <w:right w:w="100" w:type="dxa"/>
            </w:tcMar>
            <w:vAlign w:val="center"/>
          </w:tcPr>
          <w:p w14:paraId="208E3848" w14:textId="77777777" w:rsidR="00A3793C" w:rsidRDefault="00A3793C" w:rsidP="00687F97">
            <w:r>
              <w:rPr>
                <w:sz w:val="21"/>
                <w:szCs w:val="21"/>
              </w:rPr>
              <w:t>USDA low-income/low-access flag</w:t>
            </w:r>
          </w:p>
        </w:tc>
        <w:tc>
          <w:tcPr>
            <w:tcW w:w="1800" w:type="dxa"/>
            <w:tcMar>
              <w:top w:w="60" w:type="dxa"/>
              <w:left w:w="100" w:type="dxa"/>
              <w:bottom w:w="60" w:type="dxa"/>
              <w:right w:w="100" w:type="dxa"/>
            </w:tcMar>
            <w:vAlign w:val="center"/>
          </w:tcPr>
          <w:p w14:paraId="0B11D45D" w14:textId="77777777" w:rsidR="00A3793C" w:rsidRDefault="00A3793C" w:rsidP="00687F97">
            <w:pPr>
              <w:jc w:val="center"/>
            </w:pPr>
            <w:r>
              <w:rPr>
                <w:sz w:val="21"/>
                <w:szCs w:val="21"/>
              </w:rPr>
              <w:t>1.21</w:t>
            </w:r>
          </w:p>
        </w:tc>
      </w:tr>
      <w:tr w:rsidR="00A3793C" w14:paraId="1B6998C3" w14:textId="77777777" w:rsidTr="00687F97">
        <w:tblPrEx>
          <w:tblCellMar>
            <w:top w:w="0" w:type="dxa"/>
            <w:bottom w:w="0" w:type="dxa"/>
          </w:tblCellMar>
        </w:tblPrEx>
        <w:tc>
          <w:tcPr>
            <w:tcW w:w="4600" w:type="dxa"/>
            <w:tcMar>
              <w:top w:w="60" w:type="dxa"/>
              <w:left w:w="100" w:type="dxa"/>
              <w:bottom w:w="60" w:type="dxa"/>
              <w:right w:w="100" w:type="dxa"/>
            </w:tcMar>
            <w:vAlign w:val="center"/>
          </w:tcPr>
          <w:p w14:paraId="6CBEDAED" w14:textId="77777777" w:rsidR="00A3793C" w:rsidRDefault="00A3793C" w:rsidP="00687F97">
            <w:r>
              <w:rPr>
                <w:sz w:val="21"/>
                <w:szCs w:val="21"/>
              </w:rPr>
              <w:t>Pharmacy density</w:t>
            </w:r>
          </w:p>
        </w:tc>
        <w:tc>
          <w:tcPr>
            <w:tcW w:w="1800" w:type="dxa"/>
            <w:tcMar>
              <w:top w:w="60" w:type="dxa"/>
              <w:left w:w="100" w:type="dxa"/>
              <w:bottom w:w="60" w:type="dxa"/>
              <w:right w:w="100" w:type="dxa"/>
            </w:tcMar>
            <w:vAlign w:val="center"/>
          </w:tcPr>
          <w:p w14:paraId="70E1A451" w14:textId="77777777" w:rsidR="00A3793C" w:rsidRDefault="00A3793C" w:rsidP="00687F97">
            <w:pPr>
              <w:jc w:val="center"/>
            </w:pPr>
            <w:r>
              <w:rPr>
                <w:sz w:val="21"/>
                <w:szCs w:val="21"/>
              </w:rPr>
              <w:t>1.16</w:t>
            </w:r>
          </w:p>
        </w:tc>
      </w:tr>
      <w:tr w:rsidR="00A3793C" w14:paraId="7BDBF018" w14:textId="77777777" w:rsidTr="00687F97">
        <w:tblPrEx>
          <w:tblCellMar>
            <w:top w:w="0" w:type="dxa"/>
            <w:bottom w:w="0" w:type="dxa"/>
          </w:tblCellMar>
        </w:tblPrEx>
        <w:tc>
          <w:tcPr>
            <w:tcW w:w="4600" w:type="dxa"/>
            <w:tcMar>
              <w:top w:w="60" w:type="dxa"/>
              <w:left w:w="100" w:type="dxa"/>
              <w:bottom w:w="60" w:type="dxa"/>
              <w:right w:w="100" w:type="dxa"/>
            </w:tcMar>
            <w:vAlign w:val="center"/>
          </w:tcPr>
          <w:p w14:paraId="3D162285" w14:textId="77777777" w:rsidR="00A3793C" w:rsidRDefault="00A3793C" w:rsidP="00687F97">
            <w:r>
              <w:rPr>
                <w:sz w:val="21"/>
                <w:szCs w:val="21"/>
              </w:rPr>
              <w:t>Clinic density</w:t>
            </w:r>
          </w:p>
        </w:tc>
        <w:tc>
          <w:tcPr>
            <w:tcW w:w="1800" w:type="dxa"/>
            <w:tcMar>
              <w:top w:w="60" w:type="dxa"/>
              <w:left w:w="100" w:type="dxa"/>
              <w:bottom w:w="60" w:type="dxa"/>
              <w:right w:w="100" w:type="dxa"/>
            </w:tcMar>
            <w:vAlign w:val="center"/>
          </w:tcPr>
          <w:p w14:paraId="15370C34" w14:textId="77777777" w:rsidR="00A3793C" w:rsidRDefault="00A3793C" w:rsidP="00687F97">
            <w:pPr>
              <w:jc w:val="center"/>
            </w:pPr>
            <w:r>
              <w:rPr>
                <w:sz w:val="21"/>
                <w:szCs w:val="21"/>
              </w:rPr>
              <w:t>1.16</w:t>
            </w:r>
          </w:p>
        </w:tc>
      </w:tr>
      <w:tr w:rsidR="00A3793C" w14:paraId="23FECA3E" w14:textId="77777777" w:rsidTr="00687F97">
        <w:tblPrEx>
          <w:tblCellMar>
            <w:top w:w="0" w:type="dxa"/>
            <w:bottom w:w="0" w:type="dxa"/>
          </w:tblCellMar>
        </w:tblPrEx>
        <w:tc>
          <w:tcPr>
            <w:tcW w:w="4600" w:type="dxa"/>
            <w:tcMar>
              <w:top w:w="60" w:type="dxa"/>
              <w:left w:w="100" w:type="dxa"/>
              <w:bottom w:w="60" w:type="dxa"/>
              <w:right w:w="100" w:type="dxa"/>
            </w:tcMar>
            <w:vAlign w:val="center"/>
          </w:tcPr>
          <w:p w14:paraId="3F96B451" w14:textId="77777777" w:rsidR="00A3793C" w:rsidRDefault="00A3793C" w:rsidP="00687F97">
            <w:r>
              <w:rPr>
                <w:sz w:val="21"/>
                <w:szCs w:val="21"/>
              </w:rPr>
              <w:t>Park density</w:t>
            </w:r>
          </w:p>
        </w:tc>
        <w:tc>
          <w:tcPr>
            <w:tcW w:w="1800" w:type="dxa"/>
            <w:tcMar>
              <w:top w:w="60" w:type="dxa"/>
              <w:left w:w="100" w:type="dxa"/>
              <w:bottom w:w="60" w:type="dxa"/>
              <w:right w:w="100" w:type="dxa"/>
            </w:tcMar>
            <w:vAlign w:val="center"/>
          </w:tcPr>
          <w:p w14:paraId="13905AF9" w14:textId="77777777" w:rsidR="00A3793C" w:rsidRDefault="00A3793C" w:rsidP="00687F97">
            <w:pPr>
              <w:jc w:val="center"/>
            </w:pPr>
            <w:r>
              <w:rPr>
                <w:sz w:val="21"/>
                <w:szCs w:val="21"/>
              </w:rPr>
              <w:t>1.16</w:t>
            </w:r>
          </w:p>
        </w:tc>
      </w:tr>
      <w:tr w:rsidR="00A3793C" w14:paraId="2E0F6838" w14:textId="77777777" w:rsidTr="00687F97">
        <w:tblPrEx>
          <w:tblCellMar>
            <w:top w:w="0" w:type="dxa"/>
            <w:bottom w:w="0" w:type="dxa"/>
          </w:tblCellMar>
        </w:tblPrEx>
        <w:tc>
          <w:tcPr>
            <w:tcW w:w="4600" w:type="dxa"/>
            <w:tcMar>
              <w:top w:w="60" w:type="dxa"/>
              <w:left w:w="100" w:type="dxa"/>
              <w:bottom w:w="60" w:type="dxa"/>
              <w:right w:w="100" w:type="dxa"/>
            </w:tcMar>
            <w:vAlign w:val="center"/>
          </w:tcPr>
          <w:p w14:paraId="00A16074" w14:textId="77777777" w:rsidR="00A3793C" w:rsidRDefault="00A3793C" w:rsidP="00687F97">
            <w:r>
              <w:rPr>
                <w:sz w:val="21"/>
                <w:szCs w:val="21"/>
              </w:rPr>
              <w:t>Unemployment rate</w:t>
            </w:r>
          </w:p>
        </w:tc>
        <w:tc>
          <w:tcPr>
            <w:tcW w:w="1800" w:type="dxa"/>
            <w:tcMar>
              <w:top w:w="60" w:type="dxa"/>
              <w:left w:w="100" w:type="dxa"/>
              <w:bottom w:w="60" w:type="dxa"/>
              <w:right w:w="100" w:type="dxa"/>
            </w:tcMar>
            <w:vAlign w:val="center"/>
          </w:tcPr>
          <w:p w14:paraId="49FDF0E5" w14:textId="77777777" w:rsidR="00A3793C" w:rsidRDefault="00A3793C" w:rsidP="00687F97">
            <w:pPr>
              <w:jc w:val="center"/>
            </w:pPr>
            <w:r>
              <w:rPr>
                <w:sz w:val="21"/>
                <w:szCs w:val="21"/>
              </w:rPr>
              <w:t>1.14</w:t>
            </w:r>
          </w:p>
        </w:tc>
      </w:tr>
    </w:tbl>
    <w:p w14:paraId="201E0848" w14:textId="77777777" w:rsidR="00A3793C" w:rsidRDefault="00A3793C" w:rsidP="00A3793C">
      <w:pPr>
        <w:spacing w:before="100" w:after="280"/>
        <w:jc w:val="center"/>
      </w:pPr>
      <w:r>
        <w:rPr>
          <w:i/>
          <w:iCs/>
          <w:sz w:val="22"/>
          <w:szCs w:val="22"/>
        </w:rPr>
        <w:t>Table S1. Variance inflation factors, Model A predictors (full-sample OLS fit, n = 412).</w:t>
      </w:r>
    </w:p>
    <w:p w14:paraId="3B308720" w14:textId="77777777" w:rsidR="00A3793C" w:rsidRDefault="00A3793C" w:rsidP="00A3793C">
      <w:pPr>
        <w:pStyle w:val="Heading3"/>
        <w:spacing w:before="200" w:after="100"/>
      </w:pPr>
      <w:r>
        <w:rPr>
          <w:rFonts w:ascii="Times New Roman" w:eastAsia="Times New Roman" w:hAnsi="Times New Roman" w:cs="Times New Roman"/>
          <w:b/>
          <w:bCs/>
          <w:i/>
          <w:iCs/>
          <w:sz w:val="24"/>
          <w:szCs w:val="24"/>
        </w:rPr>
        <w:t>Residual Normality</w:t>
      </w:r>
    </w:p>
    <w:p w14:paraId="4FBCAFB7" w14:textId="77777777" w:rsidR="00A3793C" w:rsidRDefault="00A3793C" w:rsidP="00A3793C">
      <w:pPr>
        <w:spacing w:after="180" w:line="270" w:lineRule="auto"/>
      </w:pPr>
      <w:r>
        <w:t xml:space="preserve">A Shapiro–Wilk test rejected exact normality of the OLS residuals (W = 0.976, p &lt; 0.001), with near-zero skewness (0.13) but moderately heavy tails (excess kurtosis = 1.84). With n = 412, the Shapiro–Wilk test is sensitive enough to detect even modest departures from normality, and the deviation here is driven primarily by a small number of high-leverage </w:t>
      </w:r>
      <w:r>
        <w:lastRenderedPageBreak/>
        <w:t>tracts (below) rather than by broad distributional skew. Confidence intervals reported throughout this study rely on cross-validated bootstrap resampling rather than on the OLS normality assumption, which limits the practical impact of this departure.</w:t>
      </w:r>
    </w:p>
    <w:p w14:paraId="14ADD833" w14:textId="77777777" w:rsidR="00A3793C" w:rsidRDefault="00A3793C" w:rsidP="00A3793C">
      <w:pPr>
        <w:pStyle w:val="Heading3"/>
        <w:spacing w:before="200" w:after="100"/>
      </w:pPr>
      <w:r>
        <w:rPr>
          <w:rFonts w:ascii="Times New Roman" w:eastAsia="Times New Roman" w:hAnsi="Times New Roman" w:cs="Times New Roman"/>
          <w:b/>
          <w:bCs/>
          <w:i/>
          <w:iCs/>
          <w:sz w:val="24"/>
          <w:szCs w:val="24"/>
        </w:rPr>
        <w:t>Heteroscedasticity</w:t>
      </w:r>
    </w:p>
    <w:p w14:paraId="6C4BD266" w14:textId="77777777" w:rsidR="00A3793C" w:rsidRDefault="00A3793C" w:rsidP="00A3793C">
      <w:pPr>
        <w:spacing w:after="180" w:line="270" w:lineRule="auto"/>
      </w:pPr>
      <w:r>
        <w:t>A Breusch–Pagan test found significant heteroscedasticity in the Model A residuals (LM = 113.5, df = 12, p &lt; 0.001): squared residuals are systematically related to the predictor set rather than constant in variance. This is consistent with prediction error growing in tracts with more extreme socioeconomic values (see the fairness analysis, where error was materially larger in low-income tracts) and means that unadjusted OLS standard errors would understate uncertainty in some regions of the predictor space; the bootstrap-based confidence intervals used throughout this study (Table 4) are robust to this pattern, since they do not assume constant residual variance.</w:t>
      </w:r>
    </w:p>
    <w:p w14:paraId="33D383E6" w14:textId="77777777" w:rsidR="00A3793C" w:rsidRDefault="00A3793C" w:rsidP="00A3793C">
      <w:pPr>
        <w:pStyle w:val="Heading3"/>
        <w:spacing w:before="200" w:after="100"/>
      </w:pPr>
      <w:r>
        <w:rPr>
          <w:rFonts w:ascii="Times New Roman" w:eastAsia="Times New Roman" w:hAnsi="Times New Roman" w:cs="Times New Roman"/>
          <w:b/>
          <w:bCs/>
          <w:i/>
          <w:iCs/>
          <w:sz w:val="24"/>
          <w:szCs w:val="24"/>
        </w:rPr>
        <w:t>Influential Observations (Cook's Distance)</w:t>
      </w:r>
    </w:p>
    <w:p w14:paraId="5477D74F" w14:textId="77777777" w:rsidR="00A3793C" w:rsidRDefault="00A3793C" w:rsidP="00A3793C">
      <w:pPr>
        <w:spacing w:after="180" w:line="270" w:lineRule="auto"/>
      </w:pPr>
      <w:r>
        <w:t>Twenty-nine of 412 tracts (7.0%) exceeded the conventional Cook's distance threshold of 4/n, indicating a nontrivial number of moderately influential points, typical for a community-level dataset that includes both dense urban tracts and sparsely populated exurban ones. One tract was a substantial outlier by comparison to all others (Cook's D = 0.75): a Collin County tract with an extremely low reported median household income (≈$8,300) and correspondingly small population base, but low observed diabetes prevalence (3.6%), a combination consistent with a small, non-representative tract (for example, a student- or institution-dominated population) rather than a data error. We retained this tract in all reported analyses rather than excluding it post hoc, but flag it here because a small number of tracts with unusual income/population combinations can disproportionately influence OLS coefficient estimates, and sensitivity analyses excluding such tracts would be a reasonable robustness check in future work.</w:t>
      </w:r>
    </w:p>
    <w:p w14:paraId="148BD9DA" w14:textId="77777777" w:rsidR="00A3793C" w:rsidRDefault="00A3793C" w:rsidP="00A3793C">
      <w:r>
        <w:br w:type="page"/>
      </w:r>
    </w:p>
    <w:p w14:paraId="5431461A" w14:textId="77777777" w:rsidR="00DC2479" w:rsidRDefault="00DC2479"/>
    <w:sectPr w:rsidR="00DC24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93C"/>
    <w:rsid w:val="005B6877"/>
    <w:rsid w:val="00A3793C"/>
    <w:rsid w:val="00AA0C39"/>
    <w:rsid w:val="00BB34D6"/>
    <w:rsid w:val="00DC24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A4913"/>
  <w15:chartTrackingRefBased/>
  <w15:docId w15:val="{743EC590-0742-47B0-8CAE-02CAA73D9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93C"/>
    <w:pPr>
      <w:spacing w:after="0" w:line="240" w:lineRule="auto"/>
    </w:pPr>
    <w:rPr>
      <w:rFonts w:ascii="Times New Roman" w:eastAsia="Times New Roman" w:hAnsi="Times New Roman" w:cs="Times New Roman"/>
      <w:kern w:val="0"/>
      <w:lang w:eastAsia="en-IN"/>
      <w14:ligatures w14:val="none"/>
    </w:rPr>
  </w:style>
  <w:style w:type="paragraph" w:styleId="Heading1">
    <w:name w:val="heading 1"/>
    <w:basedOn w:val="Normal"/>
    <w:next w:val="Normal"/>
    <w:link w:val="Heading1Char"/>
    <w:uiPriority w:val="9"/>
    <w:qFormat/>
    <w:rsid w:val="00A3793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A3793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unhideWhenUsed/>
    <w:qFormat/>
    <w:rsid w:val="00A3793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3793C"/>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A3793C"/>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A3793C"/>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A3793C"/>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A3793C"/>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A3793C"/>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9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9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9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9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9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9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9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9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93C"/>
    <w:rPr>
      <w:rFonts w:eastAsiaTheme="majorEastAsia" w:cstheme="majorBidi"/>
      <w:color w:val="272727" w:themeColor="text1" w:themeTint="D8"/>
    </w:rPr>
  </w:style>
  <w:style w:type="paragraph" w:styleId="Title">
    <w:name w:val="Title"/>
    <w:basedOn w:val="Normal"/>
    <w:next w:val="Normal"/>
    <w:link w:val="TitleChar"/>
    <w:uiPriority w:val="10"/>
    <w:qFormat/>
    <w:rsid w:val="00A3793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379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93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379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93C"/>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A3793C"/>
    <w:rPr>
      <w:i/>
      <w:iCs/>
      <w:color w:val="404040" w:themeColor="text1" w:themeTint="BF"/>
    </w:rPr>
  </w:style>
  <w:style w:type="paragraph" w:styleId="ListParagraph">
    <w:name w:val="List Paragraph"/>
    <w:basedOn w:val="Normal"/>
    <w:uiPriority w:val="34"/>
    <w:qFormat/>
    <w:rsid w:val="00A3793C"/>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A3793C"/>
    <w:rPr>
      <w:i/>
      <w:iCs/>
      <w:color w:val="0F4761" w:themeColor="accent1" w:themeShade="BF"/>
    </w:rPr>
  </w:style>
  <w:style w:type="paragraph" w:styleId="IntenseQuote">
    <w:name w:val="Intense Quote"/>
    <w:basedOn w:val="Normal"/>
    <w:next w:val="Normal"/>
    <w:link w:val="IntenseQuoteChar"/>
    <w:uiPriority w:val="30"/>
    <w:qFormat/>
    <w:rsid w:val="00A3793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A3793C"/>
    <w:rPr>
      <w:i/>
      <w:iCs/>
      <w:color w:val="0F4761" w:themeColor="accent1" w:themeShade="BF"/>
    </w:rPr>
  </w:style>
  <w:style w:type="character" w:styleId="IntenseReference">
    <w:name w:val="Intense Reference"/>
    <w:basedOn w:val="DefaultParagraphFont"/>
    <w:uiPriority w:val="32"/>
    <w:qFormat/>
    <w:rsid w:val="00A379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616</Words>
  <Characters>3512</Characters>
  <Application>Microsoft Office Word</Application>
  <DocSecurity>0</DocSecurity>
  <Lines>29</Lines>
  <Paragraphs>8</Paragraphs>
  <ScaleCrop>false</ScaleCrop>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2026-08-04T14:47:00Z</dcterms:created>
  <dcterms:modified xsi:type="dcterms:W3CDTF">2026-08-04T14:47:00Z</dcterms:modified>
</cp:coreProperties>
</file>