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8CB7E" w14:textId="77777777" w:rsidR="008439CD" w:rsidRDefault="002C2B8C" w:rsidP="00591A55">
      <w:pPr>
        <w:jc w:val="center"/>
        <w:rPr>
          <w:rFonts w:ascii="Times New Roman" w:hAnsi="Times New Roman" w:cs="Times New Roman"/>
          <w:b/>
          <w:bCs/>
          <w:sz w:val="32"/>
          <w:szCs w:val="32"/>
        </w:rPr>
      </w:pPr>
      <w:r w:rsidRPr="008439CD">
        <w:rPr>
          <w:rFonts w:ascii="Times New Roman" w:hAnsi="Times New Roman" w:cs="Times New Roman"/>
          <w:b/>
          <w:bCs/>
          <w:sz w:val="32"/>
          <w:szCs w:val="32"/>
        </w:rPr>
        <w:t>Supplementary Information</w:t>
      </w:r>
    </w:p>
    <w:p w14:paraId="4F43F12C" w14:textId="77777777" w:rsidR="008439CD" w:rsidRPr="008439CD" w:rsidRDefault="008439CD" w:rsidP="00591A55">
      <w:pPr>
        <w:jc w:val="center"/>
        <w:rPr>
          <w:rFonts w:ascii="Times New Roman" w:hAnsi="Times New Roman" w:cs="Times New Roman"/>
          <w:b/>
          <w:bCs/>
          <w:sz w:val="32"/>
          <w:szCs w:val="32"/>
        </w:rPr>
      </w:pPr>
    </w:p>
    <w:p w14:paraId="3587C4C8" w14:textId="6A4CF6E6" w:rsidR="002C2B8C" w:rsidRPr="006C15C4" w:rsidRDefault="00591A55" w:rsidP="00591A55">
      <w:pPr>
        <w:jc w:val="center"/>
        <w:rPr>
          <w:rFonts w:ascii="Times New Roman" w:hAnsi="Times New Roman" w:cs="Times New Roman"/>
          <w:b/>
          <w:bCs/>
          <w:sz w:val="22"/>
          <w:szCs w:val="22"/>
        </w:rPr>
      </w:pPr>
      <w:r w:rsidRPr="006C15C4">
        <w:rPr>
          <w:rFonts w:ascii="Times New Roman" w:hAnsi="Times New Roman" w:cs="Times New Roman"/>
          <w:b/>
          <w:bCs/>
        </w:rPr>
        <w:t>Heterogeneously Integrated GaAsSb/Si Separate Absorption, Charge, and Multiplication (SACM) Photodiodes with Bonded Active Interface</w:t>
      </w:r>
    </w:p>
    <w:p w14:paraId="715AF928" w14:textId="77777777" w:rsidR="00C1097D" w:rsidRPr="006C15C4" w:rsidRDefault="00C1097D" w:rsidP="00C1097D">
      <w:pPr>
        <w:jc w:val="both"/>
        <w:rPr>
          <w:rFonts w:ascii="Times New Roman" w:hAnsi="Times New Roman" w:cs="Times New Roman"/>
          <w:sz w:val="20"/>
          <w:szCs w:val="20"/>
        </w:rPr>
      </w:pPr>
      <w:r w:rsidRPr="006C15C4">
        <w:rPr>
          <w:rFonts w:ascii="Times New Roman" w:hAnsi="Times New Roman" w:cs="Times New Roman"/>
          <w:sz w:val="20"/>
          <w:szCs w:val="20"/>
        </w:rPr>
        <w:t>Manisha Muduli</w:t>
      </w:r>
      <w:r w:rsidRPr="006C15C4">
        <w:rPr>
          <w:rFonts w:ascii="Times New Roman" w:hAnsi="Times New Roman" w:cs="Times New Roman"/>
          <w:sz w:val="20"/>
          <w:szCs w:val="20"/>
          <w:vertAlign w:val="superscript"/>
        </w:rPr>
        <w:t>1</w:t>
      </w:r>
      <w:r w:rsidRPr="006C15C4">
        <w:rPr>
          <w:rFonts w:ascii="Times New Roman" w:hAnsi="Times New Roman" w:cs="Times New Roman"/>
          <w:sz w:val="20"/>
          <w:szCs w:val="20"/>
        </w:rPr>
        <w:t>, Sophie Mills</w:t>
      </w:r>
      <w:r w:rsidRPr="006C15C4">
        <w:rPr>
          <w:rFonts w:ascii="Times New Roman" w:hAnsi="Times New Roman" w:cs="Times New Roman"/>
          <w:sz w:val="20"/>
          <w:szCs w:val="20"/>
          <w:vertAlign w:val="superscript"/>
        </w:rPr>
        <w:t>1</w:t>
      </w:r>
      <w:r w:rsidRPr="006C15C4">
        <w:rPr>
          <w:rFonts w:ascii="Times New Roman" w:hAnsi="Times New Roman" w:cs="Times New Roman"/>
          <w:sz w:val="20"/>
          <w:szCs w:val="20"/>
        </w:rPr>
        <w:t>, Dylan Plouffe</w:t>
      </w:r>
      <w:r w:rsidRPr="006C15C4">
        <w:rPr>
          <w:rFonts w:ascii="Times New Roman" w:hAnsi="Times New Roman" w:cs="Times New Roman"/>
          <w:sz w:val="20"/>
          <w:szCs w:val="20"/>
          <w:vertAlign w:val="superscript"/>
        </w:rPr>
        <w:t>1</w:t>
      </w:r>
      <w:r w:rsidRPr="006C15C4">
        <w:rPr>
          <w:rFonts w:ascii="Times New Roman" w:hAnsi="Times New Roman" w:cs="Times New Roman"/>
          <w:sz w:val="20"/>
          <w:szCs w:val="20"/>
        </w:rPr>
        <w:t>, Nathan Gajowski</w:t>
      </w:r>
      <w:r w:rsidRPr="006C15C4">
        <w:rPr>
          <w:rFonts w:ascii="Times New Roman" w:hAnsi="Times New Roman" w:cs="Times New Roman"/>
          <w:sz w:val="20"/>
          <w:szCs w:val="20"/>
          <w:vertAlign w:val="superscript"/>
        </w:rPr>
        <w:t>1</w:t>
      </w:r>
      <w:r w:rsidRPr="006C15C4">
        <w:rPr>
          <w:rFonts w:ascii="Times New Roman" w:hAnsi="Times New Roman" w:cs="Times New Roman"/>
          <w:sz w:val="20"/>
          <w:szCs w:val="20"/>
        </w:rPr>
        <w:t>, Punam Murkute</w:t>
      </w:r>
      <w:r w:rsidRPr="006C15C4">
        <w:rPr>
          <w:rFonts w:ascii="Times New Roman" w:hAnsi="Times New Roman" w:cs="Times New Roman"/>
          <w:sz w:val="20"/>
          <w:szCs w:val="20"/>
          <w:vertAlign w:val="superscript"/>
        </w:rPr>
        <w:t>1</w:t>
      </w:r>
      <w:r w:rsidRPr="006C15C4">
        <w:rPr>
          <w:rFonts w:ascii="Times New Roman" w:hAnsi="Times New Roman" w:cs="Times New Roman"/>
          <w:sz w:val="20"/>
          <w:szCs w:val="20"/>
        </w:rPr>
        <w:t>, Yongkang Xia</w:t>
      </w:r>
      <w:r w:rsidRPr="006C15C4">
        <w:rPr>
          <w:rFonts w:ascii="Times New Roman" w:hAnsi="Times New Roman" w:cs="Times New Roman"/>
          <w:sz w:val="20"/>
          <w:szCs w:val="20"/>
          <w:vertAlign w:val="superscript"/>
        </w:rPr>
        <w:t>1</w:t>
      </w:r>
      <w:r w:rsidRPr="006C15C4">
        <w:rPr>
          <w:rFonts w:ascii="Times New Roman" w:hAnsi="Times New Roman" w:cs="Times New Roman"/>
          <w:sz w:val="20"/>
          <w:szCs w:val="20"/>
        </w:rPr>
        <w:t>, Fritz Kyser</w:t>
      </w:r>
      <w:r w:rsidRPr="006C15C4">
        <w:rPr>
          <w:rFonts w:ascii="Times New Roman" w:hAnsi="Times New Roman" w:cs="Times New Roman"/>
          <w:sz w:val="20"/>
          <w:szCs w:val="20"/>
          <w:vertAlign w:val="superscript"/>
        </w:rPr>
        <w:t>1</w:t>
      </w:r>
      <w:r w:rsidRPr="006C15C4">
        <w:rPr>
          <w:rFonts w:ascii="Times New Roman" w:hAnsi="Times New Roman" w:cs="Times New Roman"/>
          <w:sz w:val="20"/>
          <w:szCs w:val="20"/>
        </w:rPr>
        <w:t>, Shamsul Arafin</w:t>
      </w:r>
      <w:r w:rsidRPr="006C15C4">
        <w:rPr>
          <w:rFonts w:ascii="Times New Roman" w:hAnsi="Times New Roman" w:cs="Times New Roman"/>
          <w:sz w:val="20"/>
          <w:szCs w:val="20"/>
          <w:vertAlign w:val="superscript"/>
        </w:rPr>
        <w:t>1</w:t>
      </w:r>
      <w:r w:rsidRPr="006C15C4">
        <w:rPr>
          <w:rFonts w:ascii="Times New Roman" w:hAnsi="Times New Roman" w:cs="Times New Roman"/>
          <w:sz w:val="20"/>
          <w:szCs w:val="20"/>
        </w:rPr>
        <w:t>,</w:t>
      </w:r>
      <w:r w:rsidRPr="006C15C4">
        <w:rPr>
          <w:rFonts w:ascii="Times New Roman" w:hAnsi="Times New Roman" w:cs="Times New Roman"/>
          <w:sz w:val="20"/>
          <w:szCs w:val="20"/>
          <w:vertAlign w:val="superscript"/>
        </w:rPr>
        <w:t xml:space="preserve"> </w:t>
      </w:r>
      <w:r w:rsidRPr="006C15C4">
        <w:rPr>
          <w:rFonts w:ascii="Times New Roman" w:hAnsi="Times New Roman" w:cs="Times New Roman"/>
          <w:sz w:val="20"/>
          <w:szCs w:val="20"/>
        </w:rPr>
        <w:t>Sanjay Krishna</w:t>
      </w:r>
      <w:r w:rsidRPr="006C15C4">
        <w:rPr>
          <w:rFonts w:ascii="Times New Roman" w:hAnsi="Times New Roman" w:cs="Times New Roman"/>
          <w:sz w:val="20"/>
          <w:szCs w:val="20"/>
          <w:vertAlign w:val="superscript"/>
        </w:rPr>
        <w:t>1</w:t>
      </w:r>
      <w:r w:rsidRPr="006C15C4">
        <w:rPr>
          <w:rFonts w:ascii="Times New Roman" w:hAnsi="Times New Roman" w:cs="Times New Roman"/>
          <w:sz w:val="20"/>
          <w:szCs w:val="20"/>
        </w:rPr>
        <w:t>*</w:t>
      </w:r>
    </w:p>
    <w:p w14:paraId="74008E23" w14:textId="77777777" w:rsidR="00D57E24" w:rsidRPr="006C15C4" w:rsidRDefault="00D57E24" w:rsidP="00F969EE">
      <w:pPr>
        <w:jc w:val="both"/>
        <w:rPr>
          <w:rFonts w:ascii="Times New Roman" w:hAnsi="Times New Roman" w:cs="Times New Roman"/>
          <w:sz w:val="20"/>
          <w:szCs w:val="20"/>
        </w:rPr>
      </w:pPr>
      <w:r w:rsidRPr="006C15C4">
        <w:rPr>
          <w:rFonts w:ascii="Times New Roman" w:hAnsi="Times New Roman" w:cs="Times New Roman"/>
          <w:sz w:val="20"/>
          <w:szCs w:val="20"/>
          <w:vertAlign w:val="superscript"/>
        </w:rPr>
        <w:t>1</w:t>
      </w:r>
      <w:r w:rsidRPr="006C15C4">
        <w:rPr>
          <w:rFonts w:ascii="Times New Roman" w:hAnsi="Times New Roman" w:cs="Times New Roman"/>
          <w:sz w:val="20"/>
          <w:szCs w:val="20"/>
        </w:rPr>
        <w:t>Department of Electrical and Computer Engineering, The Ohio State University, Columbus, OH 43201, USA</w:t>
      </w:r>
    </w:p>
    <w:p w14:paraId="7D01A181" w14:textId="7AB13D23" w:rsidR="002C2B8C" w:rsidRPr="006C15C4" w:rsidRDefault="00D57E24" w:rsidP="00F969EE">
      <w:pPr>
        <w:jc w:val="both"/>
        <w:rPr>
          <w:rFonts w:ascii="Times New Roman" w:hAnsi="Times New Roman" w:cs="Times New Roman"/>
          <w:sz w:val="20"/>
          <w:szCs w:val="20"/>
        </w:rPr>
      </w:pPr>
      <w:r w:rsidRPr="006C15C4">
        <w:rPr>
          <w:rFonts w:ascii="Times New Roman" w:hAnsi="Times New Roman" w:cs="Times New Roman"/>
          <w:sz w:val="20"/>
          <w:szCs w:val="20"/>
        </w:rPr>
        <w:t xml:space="preserve">*Corresponding author: </w:t>
      </w:r>
      <w:hyperlink r:id="rId6" w:history="1">
        <w:r w:rsidRPr="006C15C4">
          <w:rPr>
            <w:rStyle w:val="Hyperlink"/>
            <w:rFonts w:ascii="Times New Roman" w:hAnsi="Times New Roman" w:cs="Times New Roman"/>
            <w:sz w:val="20"/>
            <w:szCs w:val="20"/>
          </w:rPr>
          <w:t>krishna.53@osu.edu</w:t>
        </w:r>
      </w:hyperlink>
    </w:p>
    <w:p w14:paraId="751EE125" w14:textId="00248C40" w:rsidR="00365ECC" w:rsidRDefault="00365ECC">
      <w:pPr>
        <w:rPr>
          <w:rFonts w:ascii="Times New Roman" w:hAnsi="Times New Roman" w:cs="Times New Roman"/>
          <w:sz w:val="22"/>
          <w:szCs w:val="22"/>
        </w:rPr>
      </w:pPr>
      <w:r>
        <w:rPr>
          <w:rFonts w:ascii="Times New Roman" w:hAnsi="Times New Roman" w:cs="Times New Roman"/>
          <w:sz w:val="22"/>
          <w:szCs w:val="22"/>
        </w:rPr>
        <w:br w:type="page"/>
      </w:r>
    </w:p>
    <w:p w14:paraId="120DDEE9" w14:textId="409D7F06" w:rsidR="002C2B8C" w:rsidRPr="006C15C4" w:rsidRDefault="002C2B8C" w:rsidP="00B6028C">
      <w:pPr>
        <w:spacing w:line="480" w:lineRule="auto"/>
        <w:jc w:val="both"/>
        <w:rPr>
          <w:rFonts w:ascii="Times New Roman" w:hAnsi="Times New Roman" w:cs="Times New Roman"/>
          <w:sz w:val="22"/>
          <w:szCs w:val="22"/>
        </w:rPr>
      </w:pPr>
      <w:r w:rsidRPr="006C15C4">
        <w:rPr>
          <w:rFonts w:ascii="Times New Roman" w:hAnsi="Times New Roman" w:cs="Times New Roman"/>
          <w:sz w:val="22"/>
          <w:szCs w:val="22"/>
        </w:rPr>
        <w:lastRenderedPageBreak/>
        <w:t xml:space="preserve">This Supplementary Information includes additional </w:t>
      </w:r>
      <w:r w:rsidR="000938EB" w:rsidRPr="006C15C4">
        <w:rPr>
          <w:rFonts w:ascii="Times New Roman" w:hAnsi="Times New Roman" w:cs="Times New Roman"/>
          <w:sz w:val="22"/>
          <w:szCs w:val="22"/>
        </w:rPr>
        <w:t>details on device fabrication</w:t>
      </w:r>
      <w:r w:rsidRPr="006C15C4">
        <w:rPr>
          <w:rFonts w:ascii="Times New Roman" w:hAnsi="Times New Roman" w:cs="Times New Roman"/>
          <w:sz w:val="22"/>
          <w:szCs w:val="22"/>
        </w:rPr>
        <w:t>, electrical and optical measurements, simulation methodology, and</w:t>
      </w:r>
      <w:r w:rsidR="008C727F" w:rsidRPr="006C15C4">
        <w:rPr>
          <w:rFonts w:ascii="Times New Roman" w:hAnsi="Times New Roman" w:cs="Times New Roman"/>
          <w:sz w:val="22"/>
          <w:szCs w:val="22"/>
        </w:rPr>
        <w:t xml:space="preserve"> </w:t>
      </w:r>
      <w:r w:rsidRPr="006C15C4">
        <w:rPr>
          <w:rFonts w:ascii="Times New Roman" w:hAnsi="Times New Roman" w:cs="Times New Roman"/>
          <w:sz w:val="22"/>
          <w:szCs w:val="22"/>
        </w:rPr>
        <w:t>analysis that supports the conclusions presented in the main manuscript.</w:t>
      </w:r>
    </w:p>
    <w:p w14:paraId="78F19176" w14:textId="02907927" w:rsidR="00B50406" w:rsidRPr="00366DDB" w:rsidRDefault="00181FE4" w:rsidP="00F969EE">
      <w:pPr>
        <w:pStyle w:val="Heading2"/>
        <w:numPr>
          <w:ilvl w:val="0"/>
          <w:numId w:val="1"/>
        </w:numPr>
        <w:jc w:val="both"/>
        <w:rPr>
          <w:rFonts w:ascii="Times New Roman" w:hAnsi="Times New Roman" w:cs="Times New Roman"/>
          <w:sz w:val="24"/>
          <w:szCs w:val="24"/>
        </w:rPr>
      </w:pPr>
      <w:r w:rsidRPr="00366DDB">
        <w:rPr>
          <w:rFonts w:ascii="Times New Roman" w:hAnsi="Times New Roman" w:cs="Times New Roman"/>
          <w:sz w:val="24"/>
          <w:szCs w:val="24"/>
        </w:rPr>
        <w:t xml:space="preserve">Epitaxial Stack and </w:t>
      </w:r>
      <w:r w:rsidR="002C2B8C" w:rsidRPr="00366DDB">
        <w:rPr>
          <w:rFonts w:ascii="Times New Roman" w:hAnsi="Times New Roman" w:cs="Times New Roman"/>
          <w:sz w:val="24"/>
          <w:szCs w:val="24"/>
        </w:rPr>
        <w:t>Fabrication</w:t>
      </w:r>
    </w:p>
    <w:p w14:paraId="20F64260" w14:textId="57654C90" w:rsidR="00562502" w:rsidRPr="006C15C4" w:rsidRDefault="004B040E" w:rsidP="008B41AE">
      <w:pPr>
        <w:pStyle w:val="NormalWeb"/>
        <w:jc w:val="center"/>
        <w:rPr>
          <w:sz w:val="22"/>
          <w:szCs w:val="22"/>
        </w:rPr>
      </w:pPr>
      <w:r>
        <w:rPr>
          <w:noProof/>
        </w:rPr>
        <w:drawing>
          <wp:inline distT="0" distB="0" distL="0" distR="0" wp14:anchorId="6575C2A4" wp14:editId="1819F193">
            <wp:extent cx="4572000" cy="4631592"/>
            <wp:effectExtent l="0" t="0" r="0" b="0"/>
            <wp:docPr id="1764535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0" cy="4631592"/>
                    </a:xfrm>
                    <a:prstGeom prst="rect">
                      <a:avLst/>
                    </a:prstGeom>
                    <a:noFill/>
                    <a:ln>
                      <a:noFill/>
                    </a:ln>
                  </pic:spPr>
                </pic:pic>
              </a:graphicData>
            </a:graphic>
          </wp:inline>
        </w:drawing>
      </w:r>
    </w:p>
    <w:p w14:paraId="4D8A259C" w14:textId="47C5F1A6" w:rsidR="00B6028C" w:rsidRPr="00B6028C" w:rsidRDefault="00562502" w:rsidP="00366DDB">
      <w:pPr>
        <w:pStyle w:val="Caption"/>
        <w:jc w:val="center"/>
        <w:rPr>
          <w:rFonts w:ascii="Sans Serif Collection" w:hAnsi="Sans Serif Collection" w:cs="Sans Serif Collection"/>
          <w:sz w:val="14"/>
          <w:szCs w:val="14"/>
        </w:rPr>
      </w:pPr>
      <w:r w:rsidRPr="00B6028C">
        <w:rPr>
          <w:rFonts w:ascii="Sans Serif Collection" w:hAnsi="Sans Serif Collection" w:cs="Sans Serif Collection"/>
          <w:sz w:val="14"/>
          <w:szCs w:val="14"/>
        </w:rPr>
        <w:t xml:space="preserve">Supplementary Fig. </w:t>
      </w:r>
      <w:r w:rsidRPr="00B6028C">
        <w:rPr>
          <w:rFonts w:ascii="Sans Serif Collection" w:hAnsi="Sans Serif Collection" w:cs="Sans Serif Collection"/>
          <w:sz w:val="14"/>
          <w:szCs w:val="14"/>
        </w:rPr>
        <w:fldChar w:fldCharType="begin"/>
      </w:r>
      <w:r w:rsidRPr="00B6028C">
        <w:rPr>
          <w:rFonts w:ascii="Sans Serif Collection" w:hAnsi="Sans Serif Collection" w:cs="Sans Serif Collection"/>
          <w:sz w:val="14"/>
          <w:szCs w:val="14"/>
        </w:rPr>
        <w:instrText xml:space="preserve"> SEQ Supplementary_Fig. \* ARABIC </w:instrText>
      </w:r>
      <w:r w:rsidRPr="00B6028C">
        <w:rPr>
          <w:rFonts w:ascii="Sans Serif Collection" w:hAnsi="Sans Serif Collection" w:cs="Sans Serif Collection"/>
          <w:sz w:val="14"/>
          <w:szCs w:val="14"/>
        </w:rPr>
        <w:fldChar w:fldCharType="separate"/>
      </w:r>
      <w:r w:rsidR="00096A91" w:rsidRPr="00B6028C">
        <w:rPr>
          <w:rFonts w:ascii="Sans Serif Collection" w:hAnsi="Sans Serif Collection" w:cs="Sans Serif Collection"/>
          <w:noProof/>
          <w:sz w:val="14"/>
          <w:szCs w:val="14"/>
        </w:rPr>
        <w:t>1</w:t>
      </w:r>
      <w:r w:rsidRPr="00B6028C">
        <w:rPr>
          <w:rFonts w:ascii="Sans Serif Collection" w:hAnsi="Sans Serif Collection" w:cs="Sans Serif Collection"/>
          <w:sz w:val="14"/>
          <w:szCs w:val="14"/>
        </w:rPr>
        <w:fldChar w:fldCharType="end"/>
      </w:r>
      <w:r w:rsidRPr="00B6028C">
        <w:rPr>
          <w:rFonts w:ascii="Sans Serif Collection" w:hAnsi="Sans Serif Collection" w:cs="Sans Serif Collection"/>
          <w:sz w:val="14"/>
          <w:szCs w:val="14"/>
        </w:rPr>
        <w:t xml:space="preserve"> (a)-(b) Shows the epitaxial stack for the Si PIN diode and GaAsSb diode. (c)-(d) Shows the microscopic images of the fabricated PIN diodes.</w:t>
      </w:r>
    </w:p>
    <w:p w14:paraId="072B0192" w14:textId="4F940A72" w:rsidR="00181FE4" w:rsidRPr="006C15C4" w:rsidRDefault="00B6028C" w:rsidP="00B6028C">
      <w:pPr>
        <w:pStyle w:val="Heading3"/>
        <w:numPr>
          <w:ilvl w:val="1"/>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F</w:t>
      </w:r>
      <w:r w:rsidR="00181FE4" w:rsidRPr="006C15C4">
        <w:rPr>
          <w:rFonts w:ascii="Times New Roman" w:hAnsi="Times New Roman" w:cs="Times New Roman"/>
          <w:sz w:val="24"/>
          <w:szCs w:val="24"/>
        </w:rPr>
        <w:t>abrication of Si PIN and GaAsSb PIN diodes</w:t>
      </w:r>
    </w:p>
    <w:p w14:paraId="17E7F770" w14:textId="77777777" w:rsidR="00181FE4" w:rsidRPr="006C15C4" w:rsidRDefault="00181FE4" w:rsidP="00B6028C">
      <w:pPr>
        <w:spacing w:line="480" w:lineRule="auto"/>
        <w:jc w:val="both"/>
        <w:rPr>
          <w:rFonts w:ascii="Times New Roman" w:hAnsi="Times New Roman" w:cs="Times New Roman"/>
          <w:sz w:val="22"/>
          <w:szCs w:val="22"/>
        </w:rPr>
      </w:pPr>
      <w:r w:rsidRPr="006C15C4">
        <w:rPr>
          <w:rFonts w:ascii="Times New Roman" w:hAnsi="Times New Roman" w:cs="Times New Roman"/>
          <w:sz w:val="22"/>
          <w:szCs w:val="22"/>
        </w:rPr>
        <w:t>The fabrication process for the Si PIN diode and the GaAsSb PIN diodes is the same, except for the initial epitaxial film. For Si PIN diodes, epitaxially grown P/i/N Si on n</w:t>
      </w:r>
      <w:r w:rsidRPr="006C15C4">
        <w:rPr>
          <w:rFonts w:ascii="Times New Roman" w:hAnsi="Times New Roman" w:cs="Times New Roman"/>
          <w:sz w:val="22"/>
          <w:szCs w:val="22"/>
          <w:vertAlign w:val="superscript"/>
        </w:rPr>
        <w:t>+</w:t>
      </w:r>
      <w:r w:rsidRPr="006C15C4">
        <w:rPr>
          <w:rFonts w:ascii="Times New Roman" w:hAnsi="Times New Roman" w:cs="Times New Roman"/>
          <w:sz w:val="22"/>
          <w:szCs w:val="22"/>
        </w:rPr>
        <w:t xml:space="preserve"> Si substrate was used; the top contact was made on the p</w:t>
      </w:r>
      <w:r w:rsidRPr="006C15C4">
        <w:rPr>
          <w:rFonts w:ascii="Times New Roman" w:hAnsi="Times New Roman" w:cs="Times New Roman"/>
          <w:sz w:val="22"/>
          <w:szCs w:val="22"/>
          <w:vertAlign w:val="superscript"/>
        </w:rPr>
        <w:t>-</w:t>
      </w:r>
      <w:r w:rsidRPr="006C15C4">
        <w:rPr>
          <w:rFonts w:ascii="Times New Roman" w:hAnsi="Times New Roman" w:cs="Times New Roman"/>
          <w:sz w:val="22"/>
          <w:szCs w:val="22"/>
        </w:rPr>
        <w:t xml:space="preserve"> Si layer, and the bottom contact was made on the back of the n</w:t>
      </w:r>
      <w:r w:rsidRPr="006C15C4">
        <w:rPr>
          <w:rFonts w:ascii="Times New Roman" w:hAnsi="Times New Roman" w:cs="Times New Roman"/>
          <w:sz w:val="22"/>
          <w:szCs w:val="22"/>
          <w:vertAlign w:val="superscript"/>
        </w:rPr>
        <w:t>+</w:t>
      </w:r>
      <w:r w:rsidRPr="006C15C4">
        <w:rPr>
          <w:rFonts w:ascii="Times New Roman" w:hAnsi="Times New Roman" w:cs="Times New Roman"/>
          <w:sz w:val="22"/>
          <w:szCs w:val="22"/>
        </w:rPr>
        <w:t xml:space="preserve"> Si substrate. For GaAsSb </w:t>
      </w:r>
      <w:r w:rsidRPr="006C15C4">
        <w:rPr>
          <w:rFonts w:ascii="Times New Roman" w:hAnsi="Times New Roman" w:cs="Times New Roman"/>
          <w:sz w:val="22"/>
          <w:szCs w:val="22"/>
        </w:rPr>
        <w:lastRenderedPageBreak/>
        <w:t>PIN diodes, epitaxially grown P/i GaAsSb with n</w:t>
      </w:r>
      <w:r w:rsidRPr="006C15C4">
        <w:rPr>
          <w:rFonts w:ascii="Times New Roman" w:hAnsi="Times New Roman" w:cs="Times New Roman"/>
          <w:sz w:val="22"/>
          <w:szCs w:val="22"/>
          <w:vertAlign w:val="superscript"/>
        </w:rPr>
        <w:t>+</w:t>
      </w:r>
      <w:r w:rsidRPr="006C15C4">
        <w:rPr>
          <w:rFonts w:ascii="Times New Roman" w:hAnsi="Times New Roman" w:cs="Times New Roman"/>
          <w:sz w:val="22"/>
          <w:szCs w:val="22"/>
        </w:rPr>
        <w:t xml:space="preserve"> AlInAs on n</w:t>
      </w:r>
      <w:r w:rsidRPr="006C15C4">
        <w:rPr>
          <w:rFonts w:ascii="Times New Roman" w:hAnsi="Times New Roman" w:cs="Times New Roman"/>
          <w:sz w:val="22"/>
          <w:szCs w:val="22"/>
          <w:vertAlign w:val="superscript"/>
        </w:rPr>
        <w:t>+</w:t>
      </w:r>
      <w:r w:rsidRPr="006C15C4">
        <w:rPr>
          <w:rFonts w:ascii="Times New Roman" w:hAnsi="Times New Roman" w:cs="Times New Roman"/>
          <w:sz w:val="22"/>
          <w:szCs w:val="22"/>
        </w:rPr>
        <w:t xml:space="preserve"> InP substrate was used; the top contact was made on the p</w:t>
      </w:r>
      <w:r w:rsidRPr="006C15C4">
        <w:rPr>
          <w:rFonts w:ascii="Times New Roman" w:hAnsi="Times New Roman" w:cs="Times New Roman"/>
          <w:sz w:val="22"/>
          <w:szCs w:val="22"/>
          <w:vertAlign w:val="superscript"/>
        </w:rPr>
        <w:t>+</w:t>
      </w:r>
      <w:r w:rsidRPr="006C15C4">
        <w:rPr>
          <w:rFonts w:ascii="Times New Roman" w:hAnsi="Times New Roman" w:cs="Times New Roman"/>
          <w:sz w:val="22"/>
          <w:szCs w:val="22"/>
        </w:rPr>
        <w:t xml:space="preserve"> GaAsSb layer, and the bottom contact was made on the n</w:t>
      </w:r>
      <w:r w:rsidRPr="006C15C4">
        <w:rPr>
          <w:rFonts w:ascii="Times New Roman" w:hAnsi="Times New Roman" w:cs="Times New Roman"/>
          <w:sz w:val="22"/>
          <w:szCs w:val="22"/>
          <w:vertAlign w:val="superscript"/>
        </w:rPr>
        <w:t>+</w:t>
      </w:r>
      <w:r w:rsidRPr="006C15C4">
        <w:rPr>
          <w:rFonts w:ascii="Times New Roman" w:hAnsi="Times New Roman" w:cs="Times New Roman"/>
          <w:sz w:val="22"/>
          <w:szCs w:val="22"/>
        </w:rPr>
        <w:t xml:space="preserve"> InP substrate. This was essential to understand the characteristics of the GaAsSb absorber layer and the Si multiplier layer. The schematic of the epitaxial layers is shown in Supplementary Fig. 1 (a)-(b).</w:t>
      </w:r>
    </w:p>
    <w:p w14:paraId="390C3C69" w14:textId="77777777" w:rsidR="00181FE4" w:rsidRPr="006C15C4" w:rsidRDefault="00181FE4" w:rsidP="00B6028C">
      <w:pPr>
        <w:spacing w:line="480" w:lineRule="auto"/>
        <w:jc w:val="both"/>
        <w:rPr>
          <w:rFonts w:ascii="Times New Roman" w:hAnsi="Times New Roman" w:cs="Times New Roman"/>
          <w:sz w:val="22"/>
          <w:szCs w:val="22"/>
        </w:rPr>
      </w:pPr>
      <w:r w:rsidRPr="006C15C4">
        <w:rPr>
          <w:rFonts w:ascii="Times New Roman" w:hAnsi="Times New Roman" w:cs="Times New Roman"/>
          <w:sz w:val="22"/>
          <w:szCs w:val="22"/>
        </w:rPr>
        <w:t>The Si/Si and GaAsSb/InP substrates were initially cleaned using standard solvent cleaning procedures to remove organic and particulate contaminants prior to fabrication. They were then patterned using standard photolithography to define mesas of varying sizes (60 μm-500 μm). The mesas were subsequently etched to the desired depth using dry etching techniques. For the silicon substrates, deep reactive ion etching (DRIE) was used, and the GaAsSb/InP substrates were etched using reactive ion etching (RIE). No surface passivation layer was deposited for a fair comparison with the transfer-printed devices.</w:t>
      </w:r>
    </w:p>
    <w:p w14:paraId="25764EE1" w14:textId="77777777" w:rsidR="00181FE4" w:rsidRPr="006C15C4" w:rsidRDefault="00181FE4" w:rsidP="00B6028C">
      <w:pPr>
        <w:spacing w:line="480" w:lineRule="auto"/>
        <w:jc w:val="both"/>
        <w:rPr>
          <w:rFonts w:ascii="Times New Roman" w:hAnsi="Times New Roman" w:cs="Times New Roman"/>
          <w:sz w:val="22"/>
          <w:szCs w:val="22"/>
        </w:rPr>
      </w:pPr>
      <w:r w:rsidRPr="006C15C4">
        <w:rPr>
          <w:rFonts w:ascii="Times New Roman" w:hAnsi="Times New Roman" w:cs="Times New Roman"/>
          <w:sz w:val="22"/>
          <w:szCs w:val="22"/>
        </w:rPr>
        <w:t xml:space="preserve">Following mesa formation, the remaining photoresist was removed, and the samples were cleaned to remove native oxide prior to metallization. Contact regions were then patterned using a second lithography step, after which metal contacts were deposited using electron-beam evaporation. </w:t>
      </w:r>
    </w:p>
    <w:p w14:paraId="46BCD332" w14:textId="77777777" w:rsidR="00181FE4" w:rsidRPr="006C15C4" w:rsidRDefault="00181FE4" w:rsidP="00B6028C">
      <w:pPr>
        <w:spacing w:line="480" w:lineRule="auto"/>
        <w:jc w:val="both"/>
        <w:rPr>
          <w:rFonts w:ascii="Times New Roman" w:hAnsi="Times New Roman" w:cs="Times New Roman"/>
          <w:sz w:val="22"/>
          <w:szCs w:val="22"/>
        </w:rPr>
      </w:pPr>
      <w:r w:rsidRPr="006C15C4">
        <w:rPr>
          <w:rFonts w:ascii="Times New Roman" w:hAnsi="Times New Roman" w:cs="Times New Roman"/>
          <w:sz w:val="22"/>
          <w:szCs w:val="22"/>
        </w:rPr>
        <w:t xml:space="preserve">The microscope images after fabrication are shown in Supplementary Fig. 1 (c)-(d). </w:t>
      </w:r>
    </w:p>
    <w:p w14:paraId="5632B14A" w14:textId="0206FCF3" w:rsidR="00F22775" w:rsidRPr="00366DDB" w:rsidRDefault="002C2B8C" w:rsidP="00F969EE">
      <w:pPr>
        <w:pStyle w:val="Heading2"/>
        <w:numPr>
          <w:ilvl w:val="0"/>
          <w:numId w:val="1"/>
        </w:numPr>
        <w:jc w:val="both"/>
        <w:rPr>
          <w:rFonts w:ascii="Times New Roman" w:hAnsi="Times New Roman" w:cs="Times New Roman"/>
          <w:sz w:val="24"/>
          <w:szCs w:val="24"/>
        </w:rPr>
      </w:pPr>
      <w:r w:rsidRPr="00366DDB">
        <w:rPr>
          <w:rFonts w:ascii="Times New Roman" w:hAnsi="Times New Roman" w:cs="Times New Roman"/>
          <w:sz w:val="24"/>
          <w:szCs w:val="24"/>
        </w:rPr>
        <w:t>Results</w:t>
      </w:r>
    </w:p>
    <w:p w14:paraId="7BD5793E" w14:textId="77DB29E5" w:rsidR="00F22775" w:rsidRPr="006C15C4" w:rsidRDefault="00366DDB" w:rsidP="004A5AA5">
      <w:pPr>
        <w:pStyle w:val="Heading3"/>
        <w:numPr>
          <w:ilvl w:val="1"/>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Structural Characterization</w:t>
      </w:r>
    </w:p>
    <w:p w14:paraId="0DE09CB0" w14:textId="61C44BAD" w:rsidR="004254F9" w:rsidRPr="006C15C4" w:rsidRDefault="004A5AA5" w:rsidP="00F969EE">
      <w:pPr>
        <w:keepNext/>
        <w:jc w:val="center"/>
        <w:rPr>
          <w:rFonts w:ascii="Times New Roman" w:hAnsi="Times New Roman" w:cs="Times New Roman"/>
          <w:sz w:val="22"/>
          <w:szCs w:val="22"/>
        </w:rPr>
      </w:pPr>
      <w:r>
        <w:rPr>
          <w:noProof/>
        </w:rPr>
        <w:drawing>
          <wp:inline distT="0" distB="0" distL="0" distR="0" wp14:anchorId="2DB2D189" wp14:editId="2AD3FDF5">
            <wp:extent cx="1828800" cy="1575824"/>
            <wp:effectExtent l="0" t="0" r="0" b="5715"/>
            <wp:docPr id="2742061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575824"/>
                    </a:xfrm>
                    <a:prstGeom prst="rect">
                      <a:avLst/>
                    </a:prstGeom>
                    <a:noFill/>
                    <a:ln>
                      <a:noFill/>
                    </a:ln>
                  </pic:spPr>
                </pic:pic>
              </a:graphicData>
            </a:graphic>
          </wp:inline>
        </w:drawing>
      </w:r>
    </w:p>
    <w:p w14:paraId="3D92FFEE" w14:textId="6D393882" w:rsidR="004254F9" w:rsidRPr="00B6028C" w:rsidRDefault="004254F9" w:rsidP="00366DDB">
      <w:pPr>
        <w:pStyle w:val="Caption"/>
        <w:jc w:val="center"/>
        <w:rPr>
          <w:rFonts w:ascii="Sans Serif Collection" w:hAnsi="Sans Serif Collection" w:cs="Sans Serif Collection"/>
          <w:sz w:val="14"/>
          <w:szCs w:val="14"/>
        </w:rPr>
      </w:pPr>
      <w:r w:rsidRPr="00B6028C">
        <w:rPr>
          <w:rFonts w:ascii="Sans Serif Collection" w:hAnsi="Sans Serif Collection" w:cs="Sans Serif Collection"/>
          <w:sz w:val="14"/>
          <w:szCs w:val="14"/>
        </w:rPr>
        <w:t xml:space="preserve">Supplementary Fig. </w:t>
      </w:r>
      <w:r w:rsidRPr="00B6028C">
        <w:rPr>
          <w:rFonts w:ascii="Sans Serif Collection" w:hAnsi="Sans Serif Collection" w:cs="Sans Serif Collection"/>
          <w:sz w:val="14"/>
          <w:szCs w:val="14"/>
        </w:rPr>
        <w:fldChar w:fldCharType="begin"/>
      </w:r>
      <w:r w:rsidRPr="00B6028C">
        <w:rPr>
          <w:rFonts w:ascii="Sans Serif Collection" w:hAnsi="Sans Serif Collection" w:cs="Sans Serif Collection"/>
          <w:sz w:val="14"/>
          <w:szCs w:val="14"/>
        </w:rPr>
        <w:instrText xml:space="preserve"> SEQ Supplementary_Fig. \* ARABIC </w:instrText>
      </w:r>
      <w:r w:rsidRPr="00B6028C">
        <w:rPr>
          <w:rFonts w:ascii="Sans Serif Collection" w:hAnsi="Sans Serif Collection" w:cs="Sans Serif Collection"/>
          <w:sz w:val="14"/>
          <w:szCs w:val="14"/>
        </w:rPr>
        <w:fldChar w:fldCharType="separate"/>
      </w:r>
      <w:r w:rsidR="00096A91" w:rsidRPr="00B6028C">
        <w:rPr>
          <w:rFonts w:ascii="Sans Serif Collection" w:hAnsi="Sans Serif Collection" w:cs="Sans Serif Collection"/>
          <w:noProof/>
          <w:sz w:val="14"/>
          <w:szCs w:val="14"/>
        </w:rPr>
        <w:t>2</w:t>
      </w:r>
      <w:r w:rsidRPr="00B6028C">
        <w:rPr>
          <w:rFonts w:ascii="Sans Serif Collection" w:hAnsi="Sans Serif Collection" w:cs="Sans Serif Collection"/>
          <w:sz w:val="14"/>
          <w:szCs w:val="14"/>
        </w:rPr>
        <w:fldChar w:fldCharType="end"/>
      </w:r>
      <w:r w:rsidR="00F969EE" w:rsidRPr="00B6028C">
        <w:rPr>
          <w:rFonts w:ascii="Sans Serif Collection" w:hAnsi="Sans Serif Collection" w:cs="Sans Serif Collection"/>
          <w:sz w:val="14"/>
          <w:szCs w:val="14"/>
        </w:rPr>
        <w:t xml:space="preserve"> SEM image of the transfer-printed GaAsSb/Si device </w:t>
      </w:r>
      <w:r w:rsidR="00DD295C" w:rsidRPr="00B6028C">
        <w:rPr>
          <w:rFonts w:ascii="Sans Serif Collection" w:hAnsi="Sans Serif Collection" w:cs="Sans Serif Collection"/>
          <w:sz w:val="14"/>
          <w:szCs w:val="14"/>
        </w:rPr>
        <w:t>taken at a 45</w:t>
      </w:r>
      <m:oMath>
        <m:r>
          <m:rPr>
            <m:sty m:val="bi"/>
          </m:rPr>
          <w:rPr>
            <w:rFonts w:ascii="Cambria Math" w:hAnsi="Cambria Math" w:cs="Sans Serif Collection"/>
            <w:sz w:val="14"/>
            <w:szCs w:val="14"/>
          </w:rPr>
          <m:t>°</m:t>
        </m:r>
      </m:oMath>
      <w:r w:rsidR="00754ED1" w:rsidRPr="00B6028C">
        <w:rPr>
          <w:rFonts w:ascii="Sans Serif Collection" w:eastAsiaTheme="minorEastAsia" w:hAnsi="Sans Serif Collection" w:cs="Sans Serif Collection"/>
          <w:b/>
          <w:bCs/>
          <w:sz w:val="14"/>
          <w:szCs w:val="14"/>
        </w:rPr>
        <w:t xml:space="preserve"> </w:t>
      </w:r>
      <w:r w:rsidR="00754ED1" w:rsidRPr="00B6028C">
        <w:rPr>
          <w:rFonts w:ascii="Sans Serif Collection" w:eastAsiaTheme="minorEastAsia" w:hAnsi="Sans Serif Collection" w:cs="Sans Serif Collection"/>
          <w:sz w:val="14"/>
          <w:szCs w:val="14"/>
        </w:rPr>
        <w:t>tilt</w:t>
      </w:r>
      <w:r w:rsidR="00754ED1" w:rsidRPr="00B6028C">
        <w:rPr>
          <w:rFonts w:ascii="Sans Serif Collection" w:hAnsi="Sans Serif Collection" w:cs="Sans Serif Collection"/>
          <w:sz w:val="14"/>
          <w:szCs w:val="14"/>
        </w:rPr>
        <w:t xml:space="preserve">, </w:t>
      </w:r>
      <w:r w:rsidR="00F969EE" w:rsidRPr="00B6028C">
        <w:rPr>
          <w:rFonts w:ascii="Sans Serif Collection" w:hAnsi="Sans Serif Collection" w:cs="Sans Serif Collection"/>
          <w:sz w:val="14"/>
          <w:szCs w:val="14"/>
        </w:rPr>
        <w:t>showing uniform heterogeneous integration and intact bonded mesas following device fabrication.</w:t>
      </w:r>
      <w:r w:rsidR="009F2A1A" w:rsidRPr="00B6028C">
        <w:rPr>
          <w:rFonts w:ascii="Sans Serif Collection" w:hAnsi="Sans Serif Collection" w:cs="Sans Serif Collection"/>
          <w:sz w:val="14"/>
          <w:szCs w:val="14"/>
        </w:rPr>
        <w:t xml:space="preserve"> The small square </w:t>
      </w:r>
      <w:r w:rsidR="00754ED1" w:rsidRPr="00B6028C">
        <w:rPr>
          <w:rFonts w:ascii="Sans Serif Collection" w:hAnsi="Sans Serif Collection" w:cs="Sans Serif Collection"/>
          <w:sz w:val="14"/>
          <w:szCs w:val="14"/>
        </w:rPr>
        <w:t xml:space="preserve">is the GaAsSb membrane, </w:t>
      </w:r>
      <w:r w:rsidR="008A134D" w:rsidRPr="00B6028C">
        <w:rPr>
          <w:rFonts w:ascii="Sans Serif Collection" w:hAnsi="Sans Serif Collection" w:cs="Sans Serif Collection"/>
          <w:sz w:val="14"/>
          <w:szCs w:val="14"/>
        </w:rPr>
        <w:t>whereas</w:t>
      </w:r>
      <w:r w:rsidR="00754ED1" w:rsidRPr="00B6028C">
        <w:rPr>
          <w:rFonts w:ascii="Sans Serif Collection" w:hAnsi="Sans Serif Collection" w:cs="Sans Serif Collection"/>
          <w:sz w:val="14"/>
          <w:szCs w:val="14"/>
        </w:rPr>
        <w:t xml:space="preserve"> the background observed is the PIN Si target substrate.</w:t>
      </w:r>
    </w:p>
    <w:p w14:paraId="417AB835" w14:textId="3A003705" w:rsidR="00E40AA7" w:rsidRPr="006C15C4" w:rsidRDefault="004A5AA5" w:rsidP="00F969EE">
      <w:pPr>
        <w:keepNext/>
        <w:jc w:val="center"/>
        <w:rPr>
          <w:rFonts w:ascii="Times New Roman" w:hAnsi="Times New Roman" w:cs="Times New Roman"/>
          <w:sz w:val="22"/>
          <w:szCs w:val="22"/>
        </w:rPr>
      </w:pPr>
      <w:r>
        <w:rPr>
          <w:noProof/>
        </w:rPr>
        <w:lastRenderedPageBreak/>
        <w:drawing>
          <wp:inline distT="0" distB="0" distL="0" distR="0" wp14:anchorId="7A6987E8" wp14:editId="55ED1EE0">
            <wp:extent cx="5029200" cy="2443676"/>
            <wp:effectExtent l="0" t="0" r="0" b="0"/>
            <wp:docPr id="18228506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29200" cy="2443676"/>
                    </a:xfrm>
                    <a:prstGeom prst="rect">
                      <a:avLst/>
                    </a:prstGeom>
                    <a:noFill/>
                    <a:ln>
                      <a:noFill/>
                    </a:ln>
                  </pic:spPr>
                </pic:pic>
              </a:graphicData>
            </a:graphic>
          </wp:inline>
        </w:drawing>
      </w:r>
    </w:p>
    <w:p w14:paraId="1BF9904A" w14:textId="18C827C7" w:rsidR="00E40AA7" w:rsidRPr="00B6028C" w:rsidRDefault="00E40AA7" w:rsidP="00366DDB">
      <w:pPr>
        <w:pStyle w:val="Caption"/>
        <w:jc w:val="center"/>
        <w:rPr>
          <w:rFonts w:ascii="Sans Serif Collection" w:hAnsi="Sans Serif Collection" w:cs="Sans Serif Collection"/>
          <w:sz w:val="14"/>
          <w:szCs w:val="14"/>
        </w:rPr>
      </w:pPr>
      <w:r w:rsidRPr="00B6028C">
        <w:rPr>
          <w:rFonts w:ascii="Sans Serif Collection" w:hAnsi="Sans Serif Collection" w:cs="Sans Serif Collection"/>
          <w:sz w:val="14"/>
          <w:szCs w:val="14"/>
        </w:rPr>
        <w:t xml:space="preserve">Supplementary Fig. </w:t>
      </w:r>
      <w:r w:rsidRPr="00B6028C">
        <w:rPr>
          <w:rFonts w:ascii="Sans Serif Collection" w:hAnsi="Sans Serif Collection" w:cs="Sans Serif Collection"/>
          <w:sz w:val="14"/>
          <w:szCs w:val="14"/>
        </w:rPr>
        <w:fldChar w:fldCharType="begin"/>
      </w:r>
      <w:r w:rsidRPr="00B6028C">
        <w:rPr>
          <w:rFonts w:ascii="Sans Serif Collection" w:hAnsi="Sans Serif Collection" w:cs="Sans Serif Collection"/>
          <w:sz w:val="14"/>
          <w:szCs w:val="14"/>
        </w:rPr>
        <w:instrText xml:space="preserve"> SEQ Supplementary_Fig. \* ARABIC </w:instrText>
      </w:r>
      <w:r w:rsidRPr="00B6028C">
        <w:rPr>
          <w:rFonts w:ascii="Sans Serif Collection" w:hAnsi="Sans Serif Collection" w:cs="Sans Serif Collection"/>
          <w:sz w:val="14"/>
          <w:szCs w:val="14"/>
        </w:rPr>
        <w:fldChar w:fldCharType="separate"/>
      </w:r>
      <w:r w:rsidR="00096A91" w:rsidRPr="00B6028C">
        <w:rPr>
          <w:rFonts w:ascii="Sans Serif Collection" w:hAnsi="Sans Serif Collection" w:cs="Sans Serif Collection"/>
          <w:noProof/>
          <w:sz w:val="14"/>
          <w:szCs w:val="14"/>
        </w:rPr>
        <w:t>3</w:t>
      </w:r>
      <w:r w:rsidRPr="00B6028C">
        <w:rPr>
          <w:rFonts w:ascii="Sans Serif Collection" w:hAnsi="Sans Serif Collection" w:cs="Sans Serif Collection"/>
          <w:sz w:val="14"/>
          <w:szCs w:val="14"/>
        </w:rPr>
        <w:fldChar w:fldCharType="end"/>
      </w:r>
      <w:r w:rsidR="0012626B" w:rsidRPr="00B6028C">
        <w:rPr>
          <w:rFonts w:ascii="Sans Serif Collection" w:hAnsi="Sans Serif Collection" w:cs="Sans Serif Collection"/>
          <w:sz w:val="14"/>
          <w:szCs w:val="14"/>
        </w:rPr>
        <w:t xml:space="preserve"> (a) Cross-sectional HAADF-STEM image of the GaAsSb/Si heterointerface showing the GaAsSb layer, interfacial oxide region, and Si substrate. </w:t>
      </w:r>
      <w:r w:rsidR="00F969EE" w:rsidRPr="00B6028C">
        <w:rPr>
          <w:rFonts w:ascii="Sans Serif Collection" w:hAnsi="Sans Serif Collection" w:cs="Sans Serif Collection"/>
          <w:sz w:val="14"/>
          <w:szCs w:val="14"/>
        </w:rPr>
        <w:t xml:space="preserve"> (b)</w:t>
      </w:r>
      <w:r w:rsidR="0012626B" w:rsidRPr="00B6028C">
        <w:rPr>
          <w:rFonts w:ascii="Sans Serif Collection" w:hAnsi="Sans Serif Collection" w:cs="Sans Serif Collection"/>
          <w:sz w:val="14"/>
          <w:szCs w:val="14"/>
        </w:rPr>
        <w:t xml:space="preserve"> Elemental line-scan analysis across the bonded interface showing the atomic fraction profiles of O, Si, Ga, As, and Sb. The abrupt compositional transition and oxygen-rich interfacial region confirm the presence of a thin interfacial oxide layer and minimal interdiffusion across the GaAsSb/Si heterojunction.</w:t>
      </w:r>
    </w:p>
    <w:p w14:paraId="49970B09" w14:textId="61330986" w:rsidR="00E40AA7" w:rsidRPr="006C15C4" w:rsidRDefault="00EA3968" w:rsidP="00B6028C">
      <w:pPr>
        <w:spacing w:line="480" w:lineRule="auto"/>
        <w:jc w:val="both"/>
        <w:rPr>
          <w:rFonts w:ascii="Times New Roman" w:hAnsi="Times New Roman" w:cs="Times New Roman"/>
          <w:sz w:val="22"/>
          <w:szCs w:val="22"/>
        </w:rPr>
      </w:pPr>
      <w:r w:rsidRPr="006C15C4">
        <w:rPr>
          <w:rFonts w:ascii="Times New Roman" w:hAnsi="Times New Roman" w:cs="Times New Roman"/>
          <w:sz w:val="22"/>
          <w:szCs w:val="22"/>
        </w:rPr>
        <w:t xml:space="preserve">The </w:t>
      </w:r>
      <w:r w:rsidR="00544D80" w:rsidRPr="006C15C4">
        <w:rPr>
          <w:rFonts w:ascii="Times New Roman" w:hAnsi="Times New Roman" w:cs="Times New Roman"/>
          <w:sz w:val="22"/>
          <w:szCs w:val="22"/>
        </w:rPr>
        <w:t>hetero</w:t>
      </w:r>
      <w:r w:rsidRPr="006C15C4">
        <w:rPr>
          <w:rFonts w:ascii="Times New Roman" w:hAnsi="Times New Roman" w:cs="Times New Roman"/>
          <w:sz w:val="22"/>
          <w:szCs w:val="22"/>
        </w:rPr>
        <w:t xml:space="preserve">interface </w:t>
      </w:r>
      <w:r w:rsidR="00544D80" w:rsidRPr="006C15C4">
        <w:rPr>
          <w:rFonts w:ascii="Times New Roman" w:hAnsi="Times New Roman" w:cs="Times New Roman"/>
          <w:sz w:val="22"/>
          <w:szCs w:val="22"/>
        </w:rPr>
        <w:t>shown</w:t>
      </w:r>
      <w:r w:rsidRPr="006C15C4">
        <w:rPr>
          <w:rFonts w:ascii="Times New Roman" w:hAnsi="Times New Roman" w:cs="Times New Roman"/>
          <w:sz w:val="22"/>
          <w:szCs w:val="22"/>
        </w:rPr>
        <w:t xml:space="preserve"> in supplementary Fig. 3</w:t>
      </w:r>
      <w:r w:rsidR="004B6B5C" w:rsidRPr="006C15C4">
        <w:rPr>
          <w:rFonts w:ascii="Times New Roman" w:hAnsi="Times New Roman" w:cs="Times New Roman"/>
          <w:sz w:val="22"/>
          <w:szCs w:val="22"/>
        </w:rPr>
        <w:t>(a) is uniform,</w:t>
      </w:r>
      <w:r w:rsidR="00544D80" w:rsidRPr="006C15C4">
        <w:rPr>
          <w:rFonts w:ascii="Times New Roman" w:hAnsi="Times New Roman" w:cs="Times New Roman"/>
          <w:sz w:val="22"/>
          <w:szCs w:val="22"/>
        </w:rPr>
        <w:t xml:space="preserve"> </w:t>
      </w:r>
      <w:r w:rsidRPr="006C15C4">
        <w:rPr>
          <w:rFonts w:ascii="Times New Roman" w:hAnsi="Times New Roman" w:cs="Times New Roman"/>
          <w:sz w:val="22"/>
          <w:szCs w:val="22"/>
        </w:rPr>
        <w:t>with no evidence of significant void formation</w:t>
      </w:r>
      <w:r w:rsidR="002D18AA" w:rsidRPr="006C15C4">
        <w:rPr>
          <w:rFonts w:ascii="Times New Roman" w:hAnsi="Times New Roman" w:cs="Times New Roman"/>
          <w:sz w:val="22"/>
          <w:szCs w:val="22"/>
        </w:rPr>
        <w:t xml:space="preserve">, </w:t>
      </w:r>
      <w:r w:rsidRPr="006C15C4">
        <w:rPr>
          <w:rFonts w:ascii="Times New Roman" w:hAnsi="Times New Roman" w:cs="Times New Roman"/>
          <w:sz w:val="22"/>
          <w:szCs w:val="22"/>
        </w:rPr>
        <w:t>indicating successful bonding</w:t>
      </w:r>
      <w:r w:rsidR="004B6B5C" w:rsidRPr="006C15C4">
        <w:rPr>
          <w:rFonts w:ascii="Times New Roman" w:hAnsi="Times New Roman" w:cs="Times New Roman"/>
          <w:sz w:val="22"/>
          <w:szCs w:val="22"/>
        </w:rPr>
        <w:t>.</w:t>
      </w:r>
      <w:r w:rsidR="00FF15BF" w:rsidRPr="006C15C4">
        <w:rPr>
          <w:rFonts w:ascii="Times New Roman" w:hAnsi="Times New Roman" w:cs="Times New Roman"/>
          <w:sz w:val="22"/>
          <w:szCs w:val="22"/>
        </w:rPr>
        <w:t xml:space="preserve"> </w:t>
      </w:r>
      <w:r w:rsidR="00BC0249" w:rsidRPr="006C15C4">
        <w:rPr>
          <w:rFonts w:ascii="Times New Roman" w:hAnsi="Times New Roman" w:cs="Times New Roman"/>
          <w:sz w:val="22"/>
          <w:szCs w:val="22"/>
        </w:rPr>
        <w:t>The corresponding EDS line scan (Fig. 3b) exhibits abrupt transitions in the Ga, As, Sb, and Si concentrations with a localized oxygen-rich region at the interface, confirming the presence of a thin SiO₂/GaAsSb-oxide complex. The confined oxygen profile and sharp elemental gradients indicate minimal interdiffusion across the heterojunction, demonstrating that the heterogeneous integration process preserves a chemically abrupt interface despite the presence of a thin native oxide layer.</w:t>
      </w:r>
    </w:p>
    <w:p w14:paraId="67BFEE63" w14:textId="2577B131" w:rsidR="002C2B8C" w:rsidRPr="006C15C4" w:rsidRDefault="00F22775" w:rsidP="00B6028C">
      <w:pPr>
        <w:pStyle w:val="Heading3"/>
        <w:numPr>
          <w:ilvl w:val="1"/>
          <w:numId w:val="1"/>
        </w:numPr>
        <w:spacing w:line="480" w:lineRule="auto"/>
        <w:jc w:val="both"/>
        <w:rPr>
          <w:rFonts w:ascii="Times New Roman" w:hAnsi="Times New Roman" w:cs="Times New Roman"/>
          <w:sz w:val="24"/>
          <w:szCs w:val="24"/>
        </w:rPr>
      </w:pPr>
      <w:r w:rsidRPr="006C15C4">
        <w:rPr>
          <w:rFonts w:ascii="Times New Roman" w:hAnsi="Times New Roman" w:cs="Times New Roman"/>
          <w:sz w:val="24"/>
          <w:szCs w:val="24"/>
        </w:rPr>
        <w:lastRenderedPageBreak/>
        <w:t>S</w:t>
      </w:r>
      <w:r w:rsidR="00125063" w:rsidRPr="006C15C4">
        <w:rPr>
          <w:rFonts w:ascii="Times New Roman" w:hAnsi="Times New Roman" w:cs="Times New Roman"/>
          <w:sz w:val="24"/>
          <w:szCs w:val="24"/>
        </w:rPr>
        <w:t xml:space="preserve">i PIN </w:t>
      </w:r>
    </w:p>
    <w:p w14:paraId="771A2AE0" w14:textId="43F65FC0" w:rsidR="008839A6" w:rsidRPr="006C15C4" w:rsidRDefault="0001620E" w:rsidP="00F969EE">
      <w:pPr>
        <w:keepNext/>
        <w:jc w:val="center"/>
        <w:rPr>
          <w:rFonts w:ascii="Times New Roman" w:hAnsi="Times New Roman" w:cs="Times New Roman"/>
          <w:sz w:val="22"/>
          <w:szCs w:val="22"/>
        </w:rPr>
      </w:pPr>
      <w:r>
        <w:rPr>
          <w:noProof/>
        </w:rPr>
        <w:drawing>
          <wp:inline distT="0" distB="0" distL="0" distR="0" wp14:anchorId="4BB985B1" wp14:editId="4713994E">
            <wp:extent cx="5943600" cy="4707890"/>
            <wp:effectExtent l="0" t="0" r="0" b="0"/>
            <wp:docPr id="18186137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707890"/>
                    </a:xfrm>
                    <a:prstGeom prst="rect">
                      <a:avLst/>
                    </a:prstGeom>
                    <a:noFill/>
                    <a:ln>
                      <a:noFill/>
                    </a:ln>
                  </pic:spPr>
                </pic:pic>
              </a:graphicData>
            </a:graphic>
          </wp:inline>
        </w:drawing>
      </w:r>
    </w:p>
    <w:p w14:paraId="5D4058CD" w14:textId="65C83231" w:rsidR="00AE51EC" w:rsidRPr="00B6028C" w:rsidRDefault="008839A6" w:rsidP="00B6028C">
      <w:pPr>
        <w:pStyle w:val="Caption"/>
        <w:jc w:val="center"/>
        <w:rPr>
          <w:rFonts w:ascii="Sans Serif Collection" w:hAnsi="Sans Serif Collection" w:cs="Sans Serif Collection"/>
          <w:sz w:val="14"/>
          <w:szCs w:val="14"/>
        </w:rPr>
      </w:pPr>
      <w:r w:rsidRPr="00B6028C">
        <w:rPr>
          <w:rFonts w:ascii="Sans Serif Collection" w:hAnsi="Sans Serif Collection" w:cs="Sans Serif Collection"/>
          <w:sz w:val="14"/>
          <w:szCs w:val="14"/>
        </w:rPr>
        <w:t xml:space="preserve">Supplementary Fig. </w:t>
      </w:r>
      <w:r w:rsidRPr="00B6028C">
        <w:rPr>
          <w:rFonts w:ascii="Sans Serif Collection" w:hAnsi="Sans Serif Collection" w:cs="Sans Serif Collection"/>
          <w:sz w:val="14"/>
          <w:szCs w:val="14"/>
        </w:rPr>
        <w:fldChar w:fldCharType="begin"/>
      </w:r>
      <w:r w:rsidRPr="00B6028C">
        <w:rPr>
          <w:rFonts w:ascii="Sans Serif Collection" w:hAnsi="Sans Serif Collection" w:cs="Sans Serif Collection"/>
          <w:sz w:val="14"/>
          <w:szCs w:val="14"/>
        </w:rPr>
        <w:instrText xml:space="preserve"> SEQ Supplementary_Fig. \* ARABIC </w:instrText>
      </w:r>
      <w:r w:rsidRPr="00B6028C">
        <w:rPr>
          <w:rFonts w:ascii="Sans Serif Collection" w:hAnsi="Sans Serif Collection" w:cs="Sans Serif Collection"/>
          <w:sz w:val="14"/>
          <w:szCs w:val="14"/>
        </w:rPr>
        <w:fldChar w:fldCharType="separate"/>
      </w:r>
      <w:r w:rsidR="00096A91" w:rsidRPr="00B6028C">
        <w:rPr>
          <w:rFonts w:ascii="Sans Serif Collection" w:hAnsi="Sans Serif Collection" w:cs="Sans Serif Collection"/>
          <w:noProof/>
          <w:sz w:val="14"/>
          <w:szCs w:val="14"/>
        </w:rPr>
        <w:t>4</w:t>
      </w:r>
      <w:r w:rsidRPr="00B6028C">
        <w:rPr>
          <w:rFonts w:ascii="Sans Serif Collection" w:hAnsi="Sans Serif Collection" w:cs="Sans Serif Collection"/>
          <w:sz w:val="14"/>
          <w:szCs w:val="14"/>
        </w:rPr>
        <w:fldChar w:fldCharType="end"/>
      </w:r>
      <w:r w:rsidRPr="00B6028C">
        <w:rPr>
          <w:rFonts w:ascii="Sans Serif Collection" w:hAnsi="Sans Serif Collection" w:cs="Sans Serif Collection"/>
          <w:sz w:val="14"/>
          <w:szCs w:val="14"/>
        </w:rPr>
        <w:t xml:space="preserve"> </w:t>
      </w:r>
      <w:r w:rsidR="00E51EF3" w:rsidRPr="00B6028C">
        <w:rPr>
          <w:rFonts w:ascii="Sans Serif Collection" w:hAnsi="Sans Serif Collection" w:cs="Sans Serif Collection"/>
          <w:sz w:val="14"/>
          <w:szCs w:val="14"/>
        </w:rPr>
        <w:t xml:space="preserve">Electrical characterization of the Si PIN multiplication structure used for the GaAsSb/Si SACM photodiode. (a) Dark and illuminated current–voltage characteristics of Si PIN devices with different mesa diameters under 660 nm illumination. (b) Capacitance–voltage (CV) characteristics of the Si PIN structure showing depletion behavior under reverse bias. Extracted </w:t>
      </w:r>
      <w:r w:rsidR="007464D3" w:rsidRPr="00B6028C">
        <w:rPr>
          <w:rFonts w:ascii="Sans Serif Collection" w:hAnsi="Sans Serif Collection" w:cs="Sans Serif Collection"/>
          <w:sz w:val="14"/>
          <w:szCs w:val="14"/>
        </w:rPr>
        <w:t xml:space="preserve">(c) </w:t>
      </w:r>
      <w:r w:rsidR="006A75F2" w:rsidRPr="00B6028C">
        <w:rPr>
          <w:rFonts w:ascii="Sans Serif Collection" w:hAnsi="Sans Serif Collection" w:cs="Sans Serif Collection"/>
          <w:sz w:val="14"/>
          <w:szCs w:val="14"/>
        </w:rPr>
        <w:t xml:space="preserve">depletion width profile as a function of applied bias </w:t>
      </w:r>
      <w:r w:rsidR="007464D3" w:rsidRPr="00B6028C">
        <w:rPr>
          <w:rFonts w:ascii="Sans Serif Collection" w:hAnsi="Sans Serif Collection" w:cs="Sans Serif Collection"/>
          <w:sz w:val="14"/>
          <w:szCs w:val="14"/>
        </w:rPr>
        <w:t xml:space="preserve">and (d) </w:t>
      </w:r>
      <w:r w:rsidR="00E51EF3" w:rsidRPr="00B6028C">
        <w:rPr>
          <w:rFonts w:ascii="Sans Serif Collection" w:hAnsi="Sans Serif Collection" w:cs="Sans Serif Collection"/>
          <w:sz w:val="14"/>
          <w:szCs w:val="14"/>
        </w:rPr>
        <w:t>doping concentration profile as a function of depletion width</w:t>
      </w:r>
      <w:r w:rsidR="006A75F2" w:rsidRPr="00B6028C">
        <w:rPr>
          <w:rFonts w:ascii="Sans Serif Collection" w:hAnsi="Sans Serif Collection" w:cs="Sans Serif Collection"/>
          <w:sz w:val="14"/>
          <w:szCs w:val="14"/>
        </w:rPr>
        <w:t>,</w:t>
      </w:r>
      <w:r w:rsidR="00E51EF3" w:rsidRPr="00B6028C">
        <w:rPr>
          <w:rFonts w:ascii="Sans Serif Collection" w:hAnsi="Sans Serif Collection" w:cs="Sans Serif Collection"/>
          <w:sz w:val="14"/>
          <w:szCs w:val="14"/>
        </w:rPr>
        <w:t xml:space="preserve"> obtained from CV analysis</w:t>
      </w:r>
      <w:r w:rsidR="006A75F2" w:rsidRPr="00B6028C">
        <w:rPr>
          <w:rFonts w:ascii="Sans Serif Collection" w:hAnsi="Sans Serif Collection" w:cs="Sans Serif Collection"/>
          <w:sz w:val="14"/>
          <w:szCs w:val="14"/>
        </w:rPr>
        <w:t>,</w:t>
      </w:r>
      <w:r w:rsidR="00E51EF3" w:rsidRPr="00B6028C">
        <w:rPr>
          <w:rFonts w:ascii="Sans Serif Collection" w:hAnsi="Sans Serif Collection" w:cs="Sans Serif Collection"/>
          <w:sz w:val="14"/>
          <w:szCs w:val="14"/>
        </w:rPr>
        <w:t xml:space="preserve"> confirming the charge and multiplication layer distribution within the Si structure.</w:t>
      </w:r>
    </w:p>
    <w:p w14:paraId="7CFE7075" w14:textId="4A8234B8" w:rsidR="000321D6" w:rsidRPr="006C15C4" w:rsidRDefault="000321D6" w:rsidP="00B6028C">
      <w:pPr>
        <w:spacing w:line="480" w:lineRule="auto"/>
        <w:jc w:val="both"/>
        <w:rPr>
          <w:rFonts w:ascii="Times New Roman" w:hAnsi="Times New Roman" w:cs="Times New Roman"/>
          <w:sz w:val="22"/>
          <w:szCs w:val="22"/>
        </w:rPr>
      </w:pPr>
      <w:r w:rsidRPr="006C15C4">
        <w:rPr>
          <w:rFonts w:ascii="Times New Roman" w:hAnsi="Times New Roman" w:cs="Times New Roman"/>
          <w:sz w:val="22"/>
          <w:szCs w:val="22"/>
        </w:rPr>
        <w:t xml:space="preserve">Supplementary Fig. 4 shows the electrical characterization of the Si PIN multiplication structure. The dark current </w:t>
      </w:r>
      <w:r w:rsidR="00B81608" w:rsidRPr="006C15C4">
        <w:rPr>
          <w:rFonts w:ascii="Times New Roman" w:hAnsi="Times New Roman" w:cs="Times New Roman"/>
          <w:sz w:val="22"/>
          <w:szCs w:val="22"/>
        </w:rPr>
        <w:t xml:space="preserve">and the </w:t>
      </w:r>
      <w:r w:rsidRPr="006C15C4">
        <w:rPr>
          <w:rFonts w:ascii="Times New Roman" w:hAnsi="Times New Roman" w:cs="Times New Roman"/>
          <w:sz w:val="22"/>
          <w:szCs w:val="22"/>
        </w:rPr>
        <w:t xml:space="preserve">photocurrent under 660 nm illumination </w:t>
      </w:r>
      <w:r w:rsidR="00B81608" w:rsidRPr="006C15C4">
        <w:rPr>
          <w:rFonts w:ascii="Times New Roman" w:hAnsi="Times New Roman" w:cs="Times New Roman"/>
          <w:sz w:val="22"/>
          <w:szCs w:val="22"/>
        </w:rPr>
        <w:t>scale</w:t>
      </w:r>
      <w:r w:rsidRPr="006C15C4">
        <w:rPr>
          <w:rFonts w:ascii="Times New Roman" w:hAnsi="Times New Roman" w:cs="Times New Roman"/>
          <w:sz w:val="22"/>
          <w:szCs w:val="22"/>
        </w:rPr>
        <w:t xml:space="preserve"> with device area.</w:t>
      </w:r>
      <w:r w:rsidR="008605C2">
        <w:rPr>
          <w:rFonts w:ascii="Times New Roman" w:hAnsi="Times New Roman" w:cs="Times New Roman"/>
          <w:sz w:val="22"/>
          <w:szCs w:val="22"/>
        </w:rPr>
        <w:t xml:space="preserve"> There is a sudden rise in the dark current of the diode starting around -7.5 applied bias, which indicates the turn-on voltage for gain of the Si PIN diode.</w:t>
      </w:r>
      <w:r w:rsidRPr="006C15C4">
        <w:rPr>
          <w:rFonts w:ascii="Times New Roman" w:hAnsi="Times New Roman" w:cs="Times New Roman"/>
          <w:sz w:val="22"/>
          <w:szCs w:val="22"/>
        </w:rPr>
        <w:t xml:space="preserve"> Capacitance</w:t>
      </w:r>
      <w:r w:rsidR="00C85D1B" w:rsidRPr="006C15C4">
        <w:rPr>
          <w:rFonts w:ascii="Times New Roman" w:hAnsi="Times New Roman" w:cs="Times New Roman"/>
          <w:sz w:val="22"/>
          <w:szCs w:val="22"/>
        </w:rPr>
        <w:t>-</w:t>
      </w:r>
      <w:r w:rsidRPr="006C15C4">
        <w:rPr>
          <w:rFonts w:ascii="Times New Roman" w:hAnsi="Times New Roman" w:cs="Times New Roman"/>
          <w:sz w:val="22"/>
          <w:szCs w:val="22"/>
        </w:rPr>
        <w:t xml:space="preserve">voltage measurements and the extracted depletion width indicate that the 750 nm intrinsic Si layer approaches full depletion at reverse biases of approximately </w:t>
      </w:r>
      <w:r w:rsidR="0013011A" w:rsidRPr="006C15C4">
        <w:rPr>
          <w:rFonts w:ascii="Times New Roman" w:hAnsi="Times New Roman" w:cs="Times New Roman"/>
          <w:sz w:val="22"/>
          <w:szCs w:val="22"/>
        </w:rPr>
        <w:t>-</w:t>
      </w:r>
      <w:r w:rsidRPr="006C15C4">
        <w:rPr>
          <w:rFonts w:ascii="Times New Roman" w:hAnsi="Times New Roman" w:cs="Times New Roman"/>
          <w:sz w:val="22"/>
          <w:szCs w:val="22"/>
        </w:rPr>
        <w:t xml:space="preserve">5 V. Beyond this </w:t>
      </w:r>
      <w:r w:rsidRPr="006C15C4">
        <w:rPr>
          <w:rFonts w:ascii="Times New Roman" w:hAnsi="Times New Roman" w:cs="Times New Roman"/>
          <w:sz w:val="22"/>
          <w:szCs w:val="22"/>
        </w:rPr>
        <w:lastRenderedPageBreak/>
        <w:t>bias, the depletion width exhibits minimal variation, indicating that the gradual increase in dark current primarily results from the increasing electric field across the multiplication region rather than further depletion. The extracted doping profile confirms the designed p-i-</w:t>
      </w:r>
      <w:r w:rsidR="0013011A" w:rsidRPr="006C15C4">
        <w:rPr>
          <w:rFonts w:ascii="Times New Roman" w:hAnsi="Times New Roman" w:cs="Times New Roman"/>
          <w:sz w:val="22"/>
          <w:szCs w:val="22"/>
        </w:rPr>
        <w:t>n</w:t>
      </w:r>
      <w:r w:rsidRPr="006C15C4">
        <w:rPr>
          <w:rFonts w:ascii="Times New Roman" w:hAnsi="Times New Roman" w:cs="Times New Roman"/>
          <w:sz w:val="22"/>
          <w:szCs w:val="22"/>
        </w:rPr>
        <w:t xml:space="preserve"> layer structure.</w:t>
      </w:r>
    </w:p>
    <w:p w14:paraId="5EA427E9" w14:textId="66B0B17F" w:rsidR="00125063" w:rsidRPr="006C15C4" w:rsidRDefault="00125063" w:rsidP="00366DDB">
      <w:pPr>
        <w:pStyle w:val="Heading3"/>
        <w:numPr>
          <w:ilvl w:val="1"/>
          <w:numId w:val="1"/>
        </w:numPr>
        <w:spacing w:line="480" w:lineRule="auto"/>
        <w:jc w:val="both"/>
        <w:rPr>
          <w:rFonts w:ascii="Times New Roman" w:hAnsi="Times New Roman" w:cs="Times New Roman"/>
          <w:sz w:val="24"/>
          <w:szCs w:val="24"/>
        </w:rPr>
      </w:pPr>
      <w:r w:rsidRPr="006C15C4">
        <w:rPr>
          <w:rFonts w:ascii="Times New Roman" w:hAnsi="Times New Roman" w:cs="Times New Roman"/>
          <w:sz w:val="24"/>
          <w:szCs w:val="24"/>
        </w:rPr>
        <w:t>GaAsSb PIN</w:t>
      </w:r>
    </w:p>
    <w:p w14:paraId="6C7E3D69" w14:textId="1FBF694F" w:rsidR="008839A6" w:rsidRPr="006C15C4" w:rsidRDefault="0001620E" w:rsidP="00F969EE">
      <w:pPr>
        <w:keepNext/>
        <w:jc w:val="center"/>
        <w:rPr>
          <w:rFonts w:ascii="Times New Roman" w:hAnsi="Times New Roman" w:cs="Times New Roman"/>
          <w:sz w:val="22"/>
          <w:szCs w:val="22"/>
        </w:rPr>
      </w:pPr>
      <w:r>
        <w:rPr>
          <w:noProof/>
        </w:rPr>
        <w:drawing>
          <wp:inline distT="0" distB="0" distL="0" distR="0" wp14:anchorId="355CB2BC" wp14:editId="3E89C9E8">
            <wp:extent cx="5943600" cy="4652645"/>
            <wp:effectExtent l="0" t="0" r="0" b="0"/>
            <wp:docPr id="18338252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652645"/>
                    </a:xfrm>
                    <a:prstGeom prst="rect">
                      <a:avLst/>
                    </a:prstGeom>
                    <a:noFill/>
                    <a:ln>
                      <a:noFill/>
                    </a:ln>
                  </pic:spPr>
                </pic:pic>
              </a:graphicData>
            </a:graphic>
          </wp:inline>
        </w:drawing>
      </w:r>
    </w:p>
    <w:p w14:paraId="03DBC171" w14:textId="333C45A4" w:rsidR="00AE51EC" w:rsidRPr="00366DDB" w:rsidRDefault="008839A6" w:rsidP="00366DDB">
      <w:pPr>
        <w:pStyle w:val="Caption"/>
        <w:jc w:val="center"/>
        <w:rPr>
          <w:rFonts w:ascii="Sans Serif Collection" w:hAnsi="Sans Serif Collection" w:cs="Sans Serif Collection"/>
          <w:sz w:val="14"/>
          <w:szCs w:val="14"/>
        </w:rPr>
      </w:pPr>
      <w:r w:rsidRPr="00366DDB">
        <w:rPr>
          <w:rFonts w:ascii="Sans Serif Collection" w:hAnsi="Sans Serif Collection" w:cs="Sans Serif Collection"/>
          <w:sz w:val="14"/>
          <w:szCs w:val="14"/>
        </w:rPr>
        <w:t xml:space="preserve">Supplementary Fig. </w:t>
      </w:r>
      <w:r w:rsidRPr="00366DDB">
        <w:rPr>
          <w:rFonts w:ascii="Sans Serif Collection" w:hAnsi="Sans Serif Collection" w:cs="Sans Serif Collection"/>
          <w:sz w:val="14"/>
          <w:szCs w:val="14"/>
        </w:rPr>
        <w:fldChar w:fldCharType="begin"/>
      </w:r>
      <w:r w:rsidRPr="00366DDB">
        <w:rPr>
          <w:rFonts w:ascii="Sans Serif Collection" w:hAnsi="Sans Serif Collection" w:cs="Sans Serif Collection"/>
          <w:sz w:val="14"/>
          <w:szCs w:val="14"/>
        </w:rPr>
        <w:instrText xml:space="preserve"> SEQ Supplementary_Fig. \* ARABIC </w:instrText>
      </w:r>
      <w:r w:rsidRPr="00366DDB">
        <w:rPr>
          <w:rFonts w:ascii="Sans Serif Collection" w:hAnsi="Sans Serif Collection" w:cs="Sans Serif Collection"/>
          <w:sz w:val="14"/>
          <w:szCs w:val="14"/>
        </w:rPr>
        <w:fldChar w:fldCharType="separate"/>
      </w:r>
      <w:r w:rsidR="00096A91" w:rsidRPr="00366DDB">
        <w:rPr>
          <w:rFonts w:ascii="Sans Serif Collection" w:hAnsi="Sans Serif Collection" w:cs="Sans Serif Collection"/>
          <w:noProof/>
          <w:sz w:val="14"/>
          <w:szCs w:val="14"/>
        </w:rPr>
        <w:t>5</w:t>
      </w:r>
      <w:r w:rsidRPr="00366DDB">
        <w:rPr>
          <w:rFonts w:ascii="Sans Serif Collection" w:hAnsi="Sans Serif Collection" w:cs="Sans Serif Collection"/>
          <w:sz w:val="14"/>
          <w:szCs w:val="14"/>
        </w:rPr>
        <w:fldChar w:fldCharType="end"/>
      </w:r>
      <w:r w:rsidRPr="00366DDB">
        <w:rPr>
          <w:rFonts w:ascii="Sans Serif Collection" w:hAnsi="Sans Serif Collection" w:cs="Sans Serif Collection"/>
          <w:sz w:val="14"/>
          <w:szCs w:val="14"/>
        </w:rPr>
        <w:t xml:space="preserve"> </w:t>
      </w:r>
      <w:r w:rsidR="0018440F" w:rsidRPr="00366DDB">
        <w:rPr>
          <w:rFonts w:ascii="Sans Serif Collection" w:hAnsi="Sans Serif Collection" w:cs="Sans Serif Collection"/>
          <w:sz w:val="14"/>
          <w:szCs w:val="14"/>
        </w:rPr>
        <w:t>Electrical characterization of the GaAsSb PIN reference photodiode fabricated from the same epitaxial structure used for transfer printing. (a) Dark and illuminated current–voltage characteristics of GaAsSb PIN devices with different mesa diameters under 1550 nm illumination. (b) Capacitance–voltage (CV) characteristics of the GaAsSb PIN diode under reverse bias.</w:t>
      </w:r>
      <w:r w:rsidR="000247A4" w:rsidRPr="00366DDB">
        <w:rPr>
          <w:rFonts w:ascii="Sans Serif Collection" w:hAnsi="Sans Serif Collection" w:cs="Sans Serif Collection"/>
          <w:sz w:val="14"/>
          <w:szCs w:val="14"/>
        </w:rPr>
        <w:t xml:space="preserve"> Extracted (c) depletion width profile as a function of applied bias and (d) doping concentration profile as a function of depletion width, obtained from CV analysis</w:t>
      </w:r>
      <w:r w:rsidR="0018440F" w:rsidRPr="00366DDB">
        <w:rPr>
          <w:rFonts w:ascii="Sans Serif Collection" w:hAnsi="Sans Serif Collection" w:cs="Sans Serif Collection"/>
          <w:sz w:val="14"/>
          <w:szCs w:val="14"/>
        </w:rPr>
        <w:t>, showing the doping distribution within the GaAsSb absorber structure.</w:t>
      </w:r>
    </w:p>
    <w:p w14:paraId="137CD354" w14:textId="72E62466" w:rsidR="00366DDB" w:rsidRPr="00366DDB" w:rsidRDefault="0005290F" w:rsidP="00366DDB">
      <w:pPr>
        <w:spacing w:line="480" w:lineRule="auto"/>
        <w:jc w:val="both"/>
        <w:rPr>
          <w:rFonts w:ascii="Times New Roman" w:hAnsi="Times New Roman" w:cs="Times New Roman"/>
          <w:sz w:val="22"/>
          <w:szCs w:val="22"/>
        </w:rPr>
      </w:pPr>
      <w:r w:rsidRPr="006C15C4">
        <w:rPr>
          <w:rFonts w:ascii="Times New Roman" w:hAnsi="Times New Roman" w:cs="Times New Roman"/>
          <w:sz w:val="22"/>
          <w:szCs w:val="22"/>
        </w:rPr>
        <w:t xml:space="preserve">Supplementary Fig. 5 presents the electrical characterization of the GaAsSb PIN reference photodiode fabricated from the same epitaxial structure used for heterogeneous integration. The dark current exhibits a </w:t>
      </w:r>
      <w:r w:rsidRPr="006C15C4">
        <w:rPr>
          <w:rFonts w:ascii="Times New Roman" w:hAnsi="Times New Roman" w:cs="Times New Roman"/>
          <w:sz w:val="22"/>
          <w:szCs w:val="22"/>
        </w:rPr>
        <w:lastRenderedPageBreak/>
        <w:t>strong dependence on device area. Under 1550 nm illumination, the reverse current increases due to photocarrier generation in the 1.5 µm GaAsSb absorber, while reverse-bias operation remains stable over the measured voltage range. The capacitance decreases monotonically with increasing reverse bias, indicating progressive expansion of the depletion region within the lightly doped GaAsSb absorber. The extracted depletion width approaches the full absorber thickness at approximately 7 V reverse bias, beyond which only minimal changes in depletion width are observed. The doping profile extracted from the C</w:t>
      </w:r>
      <w:r w:rsidR="00BD0E84" w:rsidRPr="006C15C4">
        <w:rPr>
          <w:rFonts w:ascii="Times New Roman" w:hAnsi="Times New Roman" w:cs="Times New Roman"/>
          <w:sz w:val="22"/>
          <w:szCs w:val="22"/>
        </w:rPr>
        <w:t>-</w:t>
      </w:r>
      <w:r w:rsidRPr="006C15C4">
        <w:rPr>
          <w:rFonts w:ascii="Times New Roman" w:hAnsi="Times New Roman" w:cs="Times New Roman"/>
          <w:sz w:val="22"/>
          <w:szCs w:val="22"/>
        </w:rPr>
        <w:t>V measurements indicates a nearly uniform background doping concentration throughout the GaAsSb absorber, consistent with the intended UID epitaxial layer and confirming the designed p-i-n structure.</w:t>
      </w:r>
    </w:p>
    <w:p w14:paraId="6032DC19" w14:textId="238A80D3" w:rsidR="00702A90" w:rsidRPr="00366DDB" w:rsidRDefault="00366DDB" w:rsidP="00366DDB">
      <w:pPr>
        <w:pStyle w:val="Heading3"/>
        <w:numPr>
          <w:ilvl w:val="1"/>
          <w:numId w:val="1"/>
        </w:numPr>
        <w:spacing w:line="480" w:lineRule="auto"/>
        <w:jc w:val="both"/>
        <w:rPr>
          <w:rFonts w:ascii="Times New Roman" w:hAnsi="Times New Roman" w:cs="Times New Roman"/>
          <w:sz w:val="24"/>
          <w:szCs w:val="24"/>
        </w:rPr>
      </w:pPr>
      <w:r w:rsidRPr="006C15C4">
        <w:rPr>
          <w:rFonts w:ascii="Times New Roman" w:hAnsi="Times New Roman" w:cs="Times New Roman"/>
          <w:sz w:val="24"/>
          <w:szCs w:val="24"/>
        </w:rPr>
        <w:t xml:space="preserve">GaAsSb </w:t>
      </w:r>
      <w:r>
        <w:rPr>
          <w:rFonts w:ascii="Times New Roman" w:hAnsi="Times New Roman" w:cs="Times New Roman"/>
          <w:sz w:val="24"/>
          <w:szCs w:val="24"/>
        </w:rPr>
        <w:t>SACM</w:t>
      </w:r>
    </w:p>
    <w:p w14:paraId="0A3F3D33" w14:textId="76D9B6B4" w:rsidR="00702A90" w:rsidRPr="006C15C4" w:rsidRDefault="0001620E" w:rsidP="00702A90">
      <w:pPr>
        <w:keepNext/>
        <w:jc w:val="center"/>
        <w:rPr>
          <w:rFonts w:ascii="Times New Roman" w:hAnsi="Times New Roman" w:cs="Times New Roman"/>
          <w:sz w:val="22"/>
          <w:szCs w:val="22"/>
        </w:rPr>
      </w:pPr>
      <w:r>
        <w:rPr>
          <w:noProof/>
        </w:rPr>
        <w:drawing>
          <wp:inline distT="0" distB="0" distL="0" distR="0" wp14:anchorId="49DEA1FF" wp14:editId="4E26B8BB">
            <wp:extent cx="5943600" cy="2433955"/>
            <wp:effectExtent l="0" t="0" r="0" b="4445"/>
            <wp:docPr id="16785061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433955"/>
                    </a:xfrm>
                    <a:prstGeom prst="rect">
                      <a:avLst/>
                    </a:prstGeom>
                    <a:noFill/>
                    <a:ln>
                      <a:noFill/>
                    </a:ln>
                  </pic:spPr>
                </pic:pic>
              </a:graphicData>
            </a:graphic>
          </wp:inline>
        </w:drawing>
      </w:r>
    </w:p>
    <w:p w14:paraId="21F0C314" w14:textId="7B537360" w:rsidR="00702A90" w:rsidRPr="00366DDB" w:rsidRDefault="00702A90" w:rsidP="00702A90">
      <w:pPr>
        <w:pStyle w:val="Caption"/>
        <w:jc w:val="center"/>
        <w:rPr>
          <w:rFonts w:ascii="Sans Serif Collection" w:hAnsi="Sans Serif Collection" w:cs="Sans Serif Collection"/>
          <w:sz w:val="14"/>
          <w:szCs w:val="14"/>
        </w:rPr>
      </w:pPr>
      <w:r w:rsidRPr="00366DDB">
        <w:rPr>
          <w:rFonts w:ascii="Sans Serif Collection" w:hAnsi="Sans Serif Collection" w:cs="Sans Serif Collection"/>
          <w:sz w:val="14"/>
          <w:szCs w:val="14"/>
        </w:rPr>
        <w:t xml:space="preserve">Supplementary Fig. </w:t>
      </w:r>
      <w:r w:rsidRPr="00366DDB">
        <w:rPr>
          <w:rFonts w:ascii="Sans Serif Collection" w:hAnsi="Sans Serif Collection" w:cs="Sans Serif Collection"/>
          <w:sz w:val="14"/>
          <w:szCs w:val="14"/>
        </w:rPr>
        <w:fldChar w:fldCharType="begin"/>
      </w:r>
      <w:r w:rsidRPr="00366DDB">
        <w:rPr>
          <w:rFonts w:ascii="Sans Serif Collection" w:hAnsi="Sans Serif Collection" w:cs="Sans Serif Collection"/>
          <w:sz w:val="14"/>
          <w:szCs w:val="14"/>
        </w:rPr>
        <w:instrText xml:space="preserve"> SEQ Supplementary_Fig. \* ARABIC </w:instrText>
      </w:r>
      <w:r w:rsidRPr="00366DDB">
        <w:rPr>
          <w:rFonts w:ascii="Sans Serif Collection" w:hAnsi="Sans Serif Collection" w:cs="Sans Serif Collection"/>
          <w:sz w:val="14"/>
          <w:szCs w:val="14"/>
        </w:rPr>
        <w:fldChar w:fldCharType="separate"/>
      </w:r>
      <w:r w:rsidR="00096A91" w:rsidRPr="00366DDB">
        <w:rPr>
          <w:rFonts w:ascii="Sans Serif Collection" w:hAnsi="Sans Serif Collection" w:cs="Sans Serif Collection"/>
          <w:noProof/>
          <w:sz w:val="14"/>
          <w:szCs w:val="14"/>
        </w:rPr>
        <w:t>6</w:t>
      </w:r>
      <w:r w:rsidRPr="00366DDB">
        <w:rPr>
          <w:rFonts w:ascii="Sans Serif Collection" w:hAnsi="Sans Serif Collection" w:cs="Sans Serif Collection"/>
          <w:sz w:val="14"/>
          <w:szCs w:val="14"/>
        </w:rPr>
        <w:fldChar w:fldCharType="end"/>
      </w:r>
      <w:r w:rsidRPr="00366DDB">
        <w:rPr>
          <w:rFonts w:ascii="Sans Serif Collection" w:hAnsi="Sans Serif Collection" w:cs="Sans Serif Collection"/>
          <w:sz w:val="14"/>
          <w:szCs w:val="14"/>
        </w:rPr>
        <w:t xml:space="preserve"> Simulated band diagram and electric field profile of the GaAsSb/Si SACM </w:t>
      </w:r>
      <w:r w:rsidR="00C23D1A" w:rsidRPr="00366DDB">
        <w:rPr>
          <w:rFonts w:ascii="Sans Serif Collection" w:hAnsi="Sans Serif Collection" w:cs="Sans Serif Collection"/>
          <w:sz w:val="14"/>
          <w:szCs w:val="14"/>
        </w:rPr>
        <w:t xml:space="preserve">detector. </w:t>
      </w:r>
    </w:p>
    <w:p w14:paraId="436E0661" w14:textId="0519519D" w:rsidR="00730BFC" w:rsidRPr="006C15C4" w:rsidRDefault="00730BFC" w:rsidP="00366DDB">
      <w:pPr>
        <w:spacing w:line="480" w:lineRule="auto"/>
        <w:jc w:val="both"/>
        <w:rPr>
          <w:rFonts w:ascii="Times New Roman" w:hAnsi="Times New Roman" w:cs="Times New Roman"/>
          <w:sz w:val="22"/>
          <w:szCs w:val="22"/>
        </w:rPr>
      </w:pPr>
      <w:r w:rsidRPr="006C15C4">
        <w:rPr>
          <w:rFonts w:ascii="Times New Roman" w:hAnsi="Times New Roman" w:cs="Times New Roman"/>
          <w:sz w:val="22"/>
          <w:szCs w:val="22"/>
        </w:rPr>
        <w:t xml:space="preserve">Supplementary Fig. </w:t>
      </w:r>
      <w:r w:rsidR="00526F21" w:rsidRPr="006C15C4">
        <w:rPr>
          <w:rFonts w:ascii="Times New Roman" w:hAnsi="Times New Roman" w:cs="Times New Roman"/>
          <w:sz w:val="22"/>
          <w:szCs w:val="22"/>
        </w:rPr>
        <w:t>6</w:t>
      </w:r>
      <w:r w:rsidRPr="006C15C4">
        <w:rPr>
          <w:rFonts w:ascii="Times New Roman" w:hAnsi="Times New Roman" w:cs="Times New Roman"/>
          <w:sz w:val="22"/>
          <w:szCs w:val="22"/>
        </w:rPr>
        <w:t xml:space="preserve"> compares the simulated band diagram and electric field distribution at equilibrium</w:t>
      </w:r>
      <w:r w:rsidR="00CB34C8" w:rsidRPr="006C15C4">
        <w:rPr>
          <w:rFonts w:ascii="Times New Roman" w:hAnsi="Times New Roman" w:cs="Times New Roman"/>
          <w:sz w:val="22"/>
          <w:szCs w:val="22"/>
        </w:rPr>
        <w:t xml:space="preserve"> and under a reverse bias of −25 V</w:t>
      </w:r>
      <w:r w:rsidRPr="006C15C4">
        <w:rPr>
          <w:rFonts w:ascii="Times New Roman" w:hAnsi="Times New Roman" w:cs="Times New Roman"/>
          <w:sz w:val="22"/>
          <w:szCs w:val="22"/>
        </w:rPr>
        <w:t xml:space="preserve">, corresponding to the </w:t>
      </w:r>
      <w:r w:rsidR="00DD0F72" w:rsidRPr="006C15C4">
        <w:rPr>
          <w:rFonts w:ascii="Times New Roman" w:hAnsi="Times New Roman" w:cs="Times New Roman"/>
          <w:sz w:val="22"/>
          <w:szCs w:val="22"/>
        </w:rPr>
        <w:t>schematic and band diagram shown in Fig. 1 (c)-(d) of the main paper</w:t>
      </w:r>
      <w:r w:rsidRPr="006C15C4">
        <w:rPr>
          <w:rFonts w:ascii="Times New Roman" w:hAnsi="Times New Roman" w:cs="Times New Roman"/>
          <w:sz w:val="22"/>
          <w:szCs w:val="22"/>
        </w:rPr>
        <w:t xml:space="preserve">. Under </w:t>
      </w:r>
      <w:r w:rsidR="00CB34C8" w:rsidRPr="006C15C4">
        <w:rPr>
          <w:rFonts w:ascii="Times New Roman" w:hAnsi="Times New Roman" w:cs="Times New Roman"/>
          <w:sz w:val="22"/>
          <w:szCs w:val="22"/>
        </w:rPr>
        <w:t xml:space="preserve">the applied </w:t>
      </w:r>
      <w:r w:rsidRPr="006C15C4">
        <w:rPr>
          <w:rFonts w:ascii="Times New Roman" w:hAnsi="Times New Roman" w:cs="Times New Roman"/>
          <w:sz w:val="22"/>
          <w:szCs w:val="22"/>
        </w:rPr>
        <w:t>reverse bias</w:t>
      </w:r>
      <w:r w:rsidR="00CB34C8" w:rsidRPr="006C15C4">
        <w:rPr>
          <w:rFonts w:ascii="Times New Roman" w:hAnsi="Times New Roman" w:cs="Times New Roman"/>
          <w:sz w:val="22"/>
          <w:szCs w:val="22"/>
        </w:rPr>
        <w:t xml:space="preserve"> of -25V</w:t>
      </w:r>
      <w:r w:rsidRPr="006C15C4">
        <w:rPr>
          <w:rFonts w:ascii="Times New Roman" w:hAnsi="Times New Roman" w:cs="Times New Roman"/>
          <w:sz w:val="22"/>
          <w:szCs w:val="22"/>
        </w:rPr>
        <w:t xml:space="preserve">, the energy bands bend more strongly, increasing the potential drop across the device. The electric field is significantly enhanced throughout the </w:t>
      </w:r>
      <w:r w:rsidR="00E9145E" w:rsidRPr="006C15C4">
        <w:rPr>
          <w:rFonts w:ascii="Times New Roman" w:hAnsi="Times New Roman" w:cs="Times New Roman"/>
          <w:sz w:val="22"/>
          <w:szCs w:val="22"/>
        </w:rPr>
        <w:t>GaAsSb absorber</w:t>
      </w:r>
      <w:r w:rsidRPr="006C15C4">
        <w:rPr>
          <w:rFonts w:ascii="Times New Roman" w:hAnsi="Times New Roman" w:cs="Times New Roman"/>
          <w:sz w:val="22"/>
          <w:szCs w:val="22"/>
        </w:rPr>
        <w:t xml:space="preserve"> region</w:t>
      </w:r>
      <w:r w:rsidR="00ED724D" w:rsidRPr="006C15C4">
        <w:rPr>
          <w:rFonts w:ascii="Times New Roman" w:hAnsi="Times New Roman" w:cs="Times New Roman"/>
          <w:sz w:val="22"/>
          <w:szCs w:val="22"/>
        </w:rPr>
        <w:t>,</w:t>
      </w:r>
      <w:r w:rsidRPr="006C15C4">
        <w:rPr>
          <w:rFonts w:ascii="Times New Roman" w:hAnsi="Times New Roman" w:cs="Times New Roman"/>
          <w:sz w:val="22"/>
          <w:szCs w:val="22"/>
        </w:rPr>
        <w:t xml:space="preserve"> </w:t>
      </w:r>
      <w:r w:rsidR="00E9145E" w:rsidRPr="006C15C4">
        <w:rPr>
          <w:rFonts w:ascii="Times New Roman" w:hAnsi="Times New Roman" w:cs="Times New Roman"/>
          <w:sz w:val="22"/>
          <w:szCs w:val="22"/>
        </w:rPr>
        <w:t>indicating a</w:t>
      </w:r>
      <w:r w:rsidRPr="006C15C4">
        <w:rPr>
          <w:rFonts w:ascii="Times New Roman" w:hAnsi="Times New Roman" w:cs="Times New Roman"/>
          <w:sz w:val="22"/>
          <w:szCs w:val="22"/>
        </w:rPr>
        <w:t xml:space="preserve"> strong drift field</w:t>
      </w:r>
      <w:r w:rsidR="00E9145E" w:rsidRPr="006C15C4">
        <w:rPr>
          <w:rFonts w:ascii="Times New Roman" w:hAnsi="Times New Roman" w:cs="Times New Roman"/>
          <w:sz w:val="22"/>
          <w:szCs w:val="22"/>
        </w:rPr>
        <w:t>, which is</w:t>
      </w:r>
      <w:r w:rsidRPr="006C15C4">
        <w:rPr>
          <w:rFonts w:ascii="Times New Roman" w:hAnsi="Times New Roman" w:cs="Times New Roman"/>
          <w:sz w:val="22"/>
          <w:szCs w:val="22"/>
        </w:rPr>
        <w:t xml:space="preserve"> required for efficient</w:t>
      </w:r>
      <w:r w:rsidR="00E9145E" w:rsidRPr="006C15C4">
        <w:rPr>
          <w:rFonts w:ascii="Times New Roman" w:hAnsi="Times New Roman" w:cs="Times New Roman"/>
          <w:sz w:val="22"/>
          <w:szCs w:val="22"/>
        </w:rPr>
        <w:t xml:space="preserve"> </w:t>
      </w:r>
      <w:r w:rsidRPr="006C15C4">
        <w:rPr>
          <w:rFonts w:ascii="Times New Roman" w:hAnsi="Times New Roman" w:cs="Times New Roman"/>
          <w:sz w:val="22"/>
          <w:szCs w:val="22"/>
        </w:rPr>
        <w:t>transport of photogenerated carriers from the GaAsSb absorber into the Si multiplication region.</w:t>
      </w:r>
    </w:p>
    <w:p w14:paraId="6EFE0A26" w14:textId="3C2E60A4" w:rsidR="00EA0C1C" w:rsidRPr="006C15C4" w:rsidRDefault="007F53BD" w:rsidP="00096A91">
      <w:pPr>
        <w:keepNext/>
        <w:jc w:val="center"/>
        <w:rPr>
          <w:rFonts w:ascii="Times New Roman" w:hAnsi="Times New Roman" w:cs="Times New Roman"/>
          <w:sz w:val="22"/>
          <w:szCs w:val="22"/>
        </w:rPr>
      </w:pPr>
      <w:r>
        <w:rPr>
          <w:noProof/>
        </w:rPr>
        <w:lastRenderedPageBreak/>
        <w:drawing>
          <wp:inline distT="0" distB="0" distL="0" distR="0" wp14:anchorId="04B4FE73" wp14:editId="0888BA11">
            <wp:extent cx="5943600" cy="2399665"/>
            <wp:effectExtent l="0" t="0" r="0" b="0"/>
            <wp:docPr id="19255461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2399665"/>
                    </a:xfrm>
                    <a:prstGeom prst="rect">
                      <a:avLst/>
                    </a:prstGeom>
                    <a:noFill/>
                    <a:ln>
                      <a:noFill/>
                    </a:ln>
                  </pic:spPr>
                </pic:pic>
              </a:graphicData>
            </a:graphic>
          </wp:inline>
        </w:drawing>
      </w:r>
    </w:p>
    <w:p w14:paraId="57FD460E" w14:textId="234656E6" w:rsidR="00096A91" w:rsidRPr="00366DDB" w:rsidRDefault="00096A91" w:rsidP="00096A91">
      <w:pPr>
        <w:pStyle w:val="Caption"/>
        <w:jc w:val="center"/>
        <w:rPr>
          <w:rFonts w:ascii="Sans Serif Collection" w:hAnsi="Sans Serif Collection" w:cs="Sans Serif Collection"/>
          <w:sz w:val="14"/>
          <w:szCs w:val="14"/>
        </w:rPr>
      </w:pPr>
      <w:r w:rsidRPr="00366DDB">
        <w:rPr>
          <w:rFonts w:ascii="Sans Serif Collection" w:hAnsi="Sans Serif Collection" w:cs="Sans Serif Collection"/>
          <w:sz w:val="14"/>
          <w:szCs w:val="14"/>
        </w:rPr>
        <w:t xml:space="preserve">Supplementary Fig. </w:t>
      </w:r>
      <w:r w:rsidRPr="00366DDB">
        <w:rPr>
          <w:rFonts w:ascii="Sans Serif Collection" w:hAnsi="Sans Serif Collection" w:cs="Sans Serif Collection"/>
          <w:sz w:val="14"/>
          <w:szCs w:val="14"/>
        </w:rPr>
        <w:fldChar w:fldCharType="begin"/>
      </w:r>
      <w:r w:rsidRPr="00366DDB">
        <w:rPr>
          <w:rFonts w:ascii="Sans Serif Collection" w:hAnsi="Sans Serif Collection" w:cs="Sans Serif Collection"/>
          <w:sz w:val="14"/>
          <w:szCs w:val="14"/>
        </w:rPr>
        <w:instrText xml:space="preserve"> SEQ Supplementary_Fig. \* ARABIC </w:instrText>
      </w:r>
      <w:r w:rsidRPr="00366DDB">
        <w:rPr>
          <w:rFonts w:ascii="Sans Serif Collection" w:hAnsi="Sans Serif Collection" w:cs="Sans Serif Collection"/>
          <w:sz w:val="14"/>
          <w:szCs w:val="14"/>
        </w:rPr>
        <w:fldChar w:fldCharType="separate"/>
      </w:r>
      <w:r w:rsidRPr="00366DDB">
        <w:rPr>
          <w:rFonts w:ascii="Sans Serif Collection" w:hAnsi="Sans Serif Collection" w:cs="Sans Serif Collection"/>
          <w:noProof/>
          <w:sz w:val="14"/>
          <w:szCs w:val="14"/>
        </w:rPr>
        <w:t>7</w:t>
      </w:r>
      <w:r w:rsidRPr="00366DDB">
        <w:rPr>
          <w:rFonts w:ascii="Sans Serif Collection" w:hAnsi="Sans Serif Collection" w:cs="Sans Serif Collection"/>
          <w:sz w:val="14"/>
          <w:szCs w:val="14"/>
        </w:rPr>
        <w:fldChar w:fldCharType="end"/>
      </w:r>
      <w:r w:rsidR="007944EA" w:rsidRPr="00366DDB">
        <w:rPr>
          <w:rFonts w:ascii="Sans Serif Collection" w:hAnsi="Sans Serif Collection" w:cs="Sans Serif Collection"/>
          <w:sz w:val="14"/>
          <w:szCs w:val="14"/>
        </w:rPr>
        <w:t xml:space="preserve"> (a) Shows the simulated current-voltage</w:t>
      </w:r>
      <w:r w:rsidR="002D5D7B" w:rsidRPr="00366DDB">
        <w:rPr>
          <w:rFonts w:ascii="Sans Serif Collection" w:hAnsi="Sans Serif Collection" w:cs="Sans Serif Collection"/>
          <w:sz w:val="14"/>
          <w:szCs w:val="14"/>
        </w:rPr>
        <w:t xml:space="preserve"> (IV)</w:t>
      </w:r>
      <w:r w:rsidR="007944EA" w:rsidRPr="00366DDB">
        <w:rPr>
          <w:rFonts w:ascii="Sans Serif Collection" w:hAnsi="Sans Serif Collection" w:cs="Sans Serif Collection"/>
          <w:sz w:val="14"/>
          <w:szCs w:val="14"/>
        </w:rPr>
        <w:t xml:space="preserve"> behavior under dark and 1550 nm illum</w:t>
      </w:r>
      <w:r w:rsidR="00F84F93" w:rsidRPr="00366DDB">
        <w:rPr>
          <w:rFonts w:ascii="Sans Serif Collection" w:hAnsi="Sans Serif Collection" w:cs="Sans Serif Collection"/>
          <w:sz w:val="14"/>
          <w:szCs w:val="14"/>
        </w:rPr>
        <w:t xml:space="preserve">ination conditions of the GaAsSb/Si SACM detector. (b) Experimentally measured </w:t>
      </w:r>
      <w:r w:rsidR="00035091" w:rsidRPr="00366DDB">
        <w:rPr>
          <w:rFonts w:ascii="Sans Serif Collection" w:hAnsi="Sans Serif Collection" w:cs="Sans Serif Collection"/>
          <w:sz w:val="14"/>
          <w:szCs w:val="14"/>
        </w:rPr>
        <w:t>dark current density of all the fabricated GaAsSb/Si SACM detectors.</w:t>
      </w:r>
    </w:p>
    <w:p w14:paraId="3A22D1ED" w14:textId="79EF346E" w:rsidR="00537AF9" w:rsidRPr="00537AF9" w:rsidRDefault="00537AF9" w:rsidP="00366DDB">
      <w:pPr>
        <w:spacing w:line="480" w:lineRule="auto"/>
        <w:rPr>
          <w:rFonts w:ascii="Times New Roman" w:hAnsi="Times New Roman" w:cs="Times New Roman"/>
        </w:rPr>
      </w:pPr>
      <w:r w:rsidRPr="00537AF9">
        <w:rPr>
          <w:rFonts w:ascii="Times New Roman" w:hAnsi="Times New Roman" w:cs="Times New Roman"/>
        </w:rPr>
        <w:t>Supplementary</w:t>
      </w:r>
      <w:r>
        <w:rPr>
          <w:rFonts w:ascii="Times New Roman" w:hAnsi="Times New Roman" w:cs="Times New Roman"/>
        </w:rPr>
        <w:t xml:space="preserve"> Fig. 7</w:t>
      </w:r>
      <w:r w:rsidR="00547A0D">
        <w:rPr>
          <w:rFonts w:ascii="Times New Roman" w:hAnsi="Times New Roman" w:cs="Times New Roman"/>
        </w:rPr>
        <w:t xml:space="preserve"> (a)</w:t>
      </w:r>
      <w:r>
        <w:rPr>
          <w:rFonts w:ascii="Times New Roman" w:hAnsi="Times New Roman" w:cs="Times New Roman"/>
        </w:rPr>
        <w:t xml:space="preserve"> shows the </w:t>
      </w:r>
      <w:r w:rsidR="002D5D7B">
        <w:rPr>
          <w:rFonts w:ascii="Times New Roman" w:hAnsi="Times New Roman" w:cs="Times New Roman"/>
        </w:rPr>
        <w:t xml:space="preserve">IV behavior of the simulated GaAsSb/Si SACM detector. Unlike a traditional SACM APD, the simulation shows </w:t>
      </w:r>
      <w:r w:rsidR="005505DC">
        <w:rPr>
          <w:rFonts w:ascii="Times New Roman" w:hAnsi="Times New Roman" w:cs="Times New Roman"/>
        </w:rPr>
        <w:t>dark-current detection at</w:t>
      </w:r>
      <w:r w:rsidR="00EA0AFB">
        <w:rPr>
          <w:rFonts w:ascii="Times New Roman" w:hAnsi="Times New Roman" w:cs="Times New Roman"/>
        </w:rPr>
        <w:t xml:space="preserve"> early applied voltages, which was also observed in </w:t>
      </w:r>
      <w:r w:rsidR="005505DC">
        <w:rPr>
          <w:rFonts w:ascii="Times New Roman" w:hAnsi="Times New Roman" w:cs="Times New Roman"/>
        </w:rPr>
        <w:t xml:space="preserve">the fabricated SACM detectors. This might be due to the </w:t>
      </w:r>
      <w:r w:rsidR="00547A0D">
        <w:rPr>
          <w:rFonts w:ascii="Times New Roman" w:hAnsi="Times New Roman" w:cs="Times New Roman"/>
        </w:rPr>
        <w:t xml:space="preserve">small conduction band offset between GaAsSb and Si, which is favorable for an electron-avalanche photodiode. The simulation also showed an increase in dark current around -5 V, around which the charge layer in the Si PIN multiplier gets depleted. Similar behavior is observed in </w:t>
      </w:r>
      <w:r w:rsidR="0025774E">
        <w:rPr>
          <w:rFonts w:ascii="Times New Roman" w:hAnsi="Times New Roman" w:cs="Times New Roman"/>
        </w:rPr>
        <w:t xml:space="preserve">fabricated diodes, as shown in </w:t>
      </w:r>
      <w:r w:rsidR="0025774E" w:rsidRPr="00537AF9">
        <w:rPr>
          <w:rFonts w:ascii="Times New Roman" w:hAnsi="Times New Roman" w:cs="Times New Roman"/>
        </w:rPr>
        <w:t>Supplementary</w:t>
      </w:r>
      <w:r w:rsidR="0025774E">
        <w:rPr>
          <w:rFonts w:ascii="Times New Roman" w:hAnsi="Times New Roman" w:cs="Times New Roman"/>
        </w:rPr>
        <w:t xml:space="preserve"> Fig. 7 (b). This increase in dark current is consistently observed </w:t>
      </w:r>
      <w:r w:rsidR="008605C2">
        <w:rPr>
          <w:rFonts w:ascii="Times New Roman" w:hAnsi="Times New Roman" w:cs="Times New Roman"/>
        </w:rPr>
        <w:t>across all measured devices</w:t>
      </w:r>
      <w:r w:rsidR="0025774E">
        <w:rPr>
          <w:rFonts w:ascii="Times New Roman" w:hAnsi="Times New Roman" w:cs="Times New Roman"/>
        </w:rPr>
        <w:t xml:space="preserve">. After the </w:t>
      </w:r>
      <w:r w:rsidR="008605C2">
        <w:rPr>
          <w:rFonts w:ascii="Times New Roman" w:hAnsi="Times New Roman" w:cs="Times New Roman"/>
        </w:rPr>
        <w:t xml:space="preserve">dark current rises </w:t>
      </w:r>
      <w:r w:rsidR="0025774E">
        <w:rPr>
          <w:rFonts w:ascii="Times New Roman" w:hAnsi="Times New Roman" w:cs="Times New Roman"/>
        </w:rPr>
        <w:t xml:space="preserve">around -5 V, </w:t>
      </w:r>
      <w:r w:rsidR="008605C2">
        <w:rPr>
          <w:rFonts w:ascii="Times New Roman" w:hAnsi="Times New Roman" w:cs="Times New Roman"/>
        </w:rPr>
        <w:t>depletion</w:t>
      </w:r>
      <w:r w:rsidR="0025774E">
        <w:rPr>
          <w:rFonts w:ascii="Times New Roman" w:hAnsi="Times New Roman" w:cs="Times New Roman"/>
        </w:rPr>
        <w:t xml:space="preserve"> mainly occurs in the absorber. The trend </w:t>
      </w:r>
      <w:r w:rsidR="008605C2">
        <w:rPr>
          <w:rFonts w:ascii="Times New Roman" w:hAnsi="Times New Roman" w:cs="Times New Roman"/>
        </w:rPr>
        <w:t>of increasing dark current beyond this voltage is similar to that of the GaAsSb PIN absorber, as shown in Supplementary Fig. 5(a), further confirming</w:t>
      </w:r>
      <w:r w:rsidR="0025774E">
        <w:rPr>
          <w:rFonts w:ascii="Times New Roman" w:hAnsi="Times New Roman" w:cs="Times New Roman"/>
        </w:rPr>
        <w:t xml:space="preserve"> that the </w:t>
      </w:r>
      <w:r w:rsidR="008605C2">
        <w:rPr>
          <w:rFonts w:ascii="Times New Roman" w:hAnsi="Times New Roman" w:cs="Times New Roman"/>
        </w:rPr>
        <w:t xml:space="preserve">dark current contribution is dominated by the absorber. This is further confirmed through a depletion width study shown </w:t>
      </w:r>
      <w:r w:rsidR="008605C2" w:rsidRPr="008605C2">
        <w:rPr>
          <w:rFonts w:ascii="Times New Roman" w:hAnsi="Times New Roman" w:cs="Times New Roman"/>
        </w:rPr>
        <w:t xml:space="preserve">in </w:t>
      </w:r>
      <w:r w:rsidR="008605C2" w:rsidRPr="008605C2">
        <w:rPr>
          <w:rFonts w:ascii="Times New Roman" w:hAnsi="Times New Roman" w:cs="Times New Roman"/>
          <w:sz w:val="22"/>
          <w:szCs w:val="22"/>
        </w:rPr>
        <w:t>Supplementary Fig. 8.</w:t>
      </w:r>
    </w:p>
    <w:p w14:paraId="0F536303" w14:textId="7234B3C4" w:rsidR="00261A8A" w:rsidRPr="006C15C4" w:rsidRDefault="007F53BD" w:rsidP="00261A8A">
      <w:pPr>
        <w:keepNext/>
        <w:jc w:val="center"/>
        <w:rPr>
          <w:rFonts w:ascii="Times New Roman" w:hAnsi="Times New Roman" w:cs="Times New Roman"/>
        </w:rPr>
      </w:pPr>
      <w:r>
        <w:rPr>
          <w:noProof/>
        </w:rPr>
        <w:lastRenderedPageBreak/>
        <w:drawing>
          <wp:inline distT="0" distB="0" distL="0" distR="0" wp14:anchorId="0AD12086" wp14:editId="71F614CC">
            <wp:extent cx="3200400" cy="2450563"/>
            <wp:effectExtent l="0" t="0" r="0" b="0"/>
            <wp:docPr id="16137458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00400" cy="2450563"/>
                    </a:xfrm>
                    <a:prstGeom prst="rect">
                      <a:avLst/>
                    </a:prstGeom>
                    <a:noFill/>
                    <a:ln>
                      <a:noFill/>
                    </a:ln>
                  </pic:spPr>
                </pic:pic>
              </a:graphicData>
            </a:graphic>
          </wp:inline>
        </w:drawing>
      </w:r>
    </w:p>
    <w:p w14:paraId="15737F20" w14:textId="17CFE452" w:rsidR="00261A8A" w:rsidRPr="00366DDB" w:rsidRDefault="00261A8A" w:rsidP="00366DDB">
      <w:pPr>
        <w:pStyle w:val="Caption"/>
        <w:jc w:val="center"/>
        <w:rPr>
          <w:rFonts w:ascii="Sans Serif Collection" w:hAnsi="Sans Serif Collection" w:cs="Sans Serif Collection"/>
          <w:sz w:val="14"/>
          <w:szCs w:val="14"/>
        </w:rPr>
      </w:pPr>
      <w:r w:rsidRPr="00366DDB">
        <w:rPr>
          <w:rFonts w:ascii="Sans Serif Collection" w:hAnsi="Sans Serif Collection" w:cs="Sans Serif Collection"/>
          <w:sz w:val="14"/>
          <w:szCs w:val="14"/>
        </w:rPr>
        <w:t xml:space="preserve">Supplementary Fig. </w:t>
      </w:r>
      <w:r w:rsidRPr="00366DDB">
        <w:rPr>
          <w:rFonts w:ascii="Sans Serif Collection" w:hAnsi="Sans Serif Collection" w:cs="Sans Serif Collection"/>
          <w:sz w:val="14"/>
          <w:szCs w:val="14"/>
        </w:rPr>
        <w:fldChar w:fldCharType="begin"/>
      </w:r>
      <w:r w:rsidRPr="00366DDB">
        <w:rPr>
          <w:rFonts w:ascii="Sans Serif Collection" w:hAnsi="Sans Serif Collection" w:cs="Sans Serif Collection"/>
          <w:sz w:val="14"/>
          <w:szCs w:val="14"/>
        </w:rPr>
        <w:instrText xml:space="preserve"> SEQ Supplementary_Fig. \* ARABIC </w:instrText>
      </w:r>
      <w:r w:rsidRPr="00366DDB">
        <w:rPr>
          <w:rFonts w:ascii="Sans Serif Collection" w:hAnsi="Sans Serif Collection" w:cs="Sans Serif Collection"/>
          <w:sz w:val="14"/>
          <w:szCs w:val="14"/>
        </w:rPr>
        <w:fldChar w:fldCharType="separate"/>
      </w:r>
      <w:r w:rsidR="00096A91" w:rsidRPr="00366DDB">
        <w:rPr>
          <w:rFonts w:ascii="Sans Serif Collection" w:hAnsi="Sans Serif Collection" w:cs="Sans Serif Collection"/>
          <w:noProof/>
          <w:sz w:val="14"/>
          <w:szCs w:val="14"/>
        </w:rPr>
        <w:t>8</w:t>
      </w:r>
      <w:r w:rsidRPr="00366DDB">
        <w:rPr>
          <w:rFonts w:ascii="Sans Serif Collection" w:hAnsi="Sans Serif Collection" w:cs="Sans Serif Collection"/>
          <w:sz w:val="14"/>
          <w:szCs w:val="14"/>
        </w:rPr>
        <w:fldChar w:fldCharType="end"/>
      </w:r>
      <w:r w:rsidRPr="00366DDB">
        <w:rPr>
          <w:rFonts w:ascii="Sans Serif Collection" w:hAnsi="Sans Serif Collection" w:cs="Sans Serif Collection"/>
          <w:sz w:val="14"/>
          <w:szCs w:val="14"/>
        </w:rPr>
        <w:t xml:space="preserve"> Extracted depletion-width evolution of the GaAsSb/Si SACM photodiode under reverse bias. The depletion region initially remains confined within the Si multiplication structure at low reverse bias and progressively extends toward the GaAsSb absorber. The transition of the depletion region toward the GaAsSb/Si heterointerface enables increasingly efficient electric-field-controlled carrier injection into the Si multiplication region.</w:t>
      </w:r>
    </w:p>
    <w:p w14:paraId="69980ABE" w14:textId="7617F1D5" w:rsidR="00281BF6" w:rsidRPr="007944EA" w:rsidRDefault="00281BF6" w:rsidP="00366DDB">
      <w:pPr>
        <w:pStyle w:val="Caption"/>
        <w:spacing w:line="480" w:lineRule="auto"/>
        <w:jc w:val="both"/>
        <w:rPr>
          <w:rFonts w:ascii="Times New Roman" w:hAnsi="Times New Roman" w:cs="Times New Roman"/>
          <w:i w:val="0"/>
          <w:iCs w:val="0"/>
          <w:color w:val="auto"/>
          <w:sz w:val="22"/>
          <w:szCs w:val="22"/>
        </w:rPr>
      </w:pPr>
      <w:r w:rsidRPr="007944EA">
        <w:rPr>
          <w:rFonts w:ascii="Times New Roman" w:hAnsi="Times New Roman" w:cs="Times New Roman"/>
          <w:i w:val="0"/>
          <w:iCs w:val="0"/>
          <w:color w:val="auto"/>
          <w:sz w:val="22"/>
          <w:szCs w:val="22"/>
        </w:rPr>
        <w:t xml:space="preserve">Supplementary Fig. </w:t>
      </w:r>
      <w:r w:rsidR="00526F21" w:rsidRPr="007944EA">
        <w:rPr>
          <w:rFonts w:ascii="Times New Roman" w:hAnsi="Times New Roman" w:cs="Times New Roman"/>
          <w:i w:val="0"/>
          <w:iCs w:val="0"/>
          <w:color w:val="auto"/>
          <w:sz w:val="22"/>
          <w:szCs w:val="22"/>
        </w:rPr>
        <w:t>8</w:t>
      </w:r>
      <w:r w:rsidRPr="007944EA">
        <w:rPr>
          <w:rFonts w:ascii="Times New Roman" w:hAnsi="Times New Roman" w:cs="Times New Roman"/>
          <w:i w:val="0"/>
          <w:iCs w:val="0"/>
          <w:color w:val="auto"/>
          <w:sz w:val="22"/>
          <w:szCs w:val="22"/>
        </w:rPr>
        <w:t xml:space="preserve"> illustrates the reverse-bias evolution of the depletion region in the GaAsSb/Si SACM photodiode extracted from the C-V measurements. The depletion region initially develops within the Si multiplication layer and extends across the Si charge layer, reaching the GaAsSb/Si heterointerface at approximately 6 V reverse bias. Further increases in reverse bias result in progressive depletion of the low-doped GaAsSb absorber, as evidenced by a change in the slope of the curve. The depletion width approaches the full active device thickness near 20 V, confirming the designed field distribution in which the electric field is established first in the Si multiplication region before extending into the GaAsSb absorber, consistent with the intended SACM architecture.</w:t>
      </w:r>
    </w:p>
    <w:p w14:paraId="6DFDEFF8" w14:textId="77777777" w:rsidR="00281BF6" w:rsidRPr="006C15C4" w:rsidRDefault="00281BF6" w:rsidP="00CB34C8">
      <w:pPr>
        <w:jc w:val="both"/>
        <w:rPr>
          <w:rFonts w:ascii="Times New Roman" w:hAnsi="Times New Roman" w:cs="Times New Roman"/>
          <w:sz w:val="22"/>
          <w:szCs w:val="22"/>
        </w:rPr>
      </w:pPr>
    </w:p>
    <w:p w14:paraId="4BA31856" w14:textId="56799DAC" w:rsidR="00014842" w:rsidRPr="006C15C4" w:rsidRDefault="00293E4E" w:rsidP="00014842">
      <w:pPr>
        <w:keepNext/>
        <w:jc w:val="center"/>
        <w:rPr>
          <w:rFonts w:ascii="Times New Roman" w:hAnsi="Times New Roman" w:cs="Times New Roman"/>
        </w:rPr>
      </w:pPr>
      <w:r>
        <w:rPr>
          <w:noProof/>
        </w:rPr>
        <w:lastRenderedPageBreak/>
        <w:drawing>
          <wp:inline distT="0" distB="0" distL="0" distR="0" wp14:anchorId="65F568FE" wp14:editId="52AF7E43">
            <wp:extent cx="5943600" cy="2299335"/>
            <wp:effectExtent l="0" t="0" r="0" b="0"/>
            <wp:docPr id="7647080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299335"/>
                    </a:xfrm>
                    <a:prstGeom prst="rect">
                      <a:avLst/>
                    </a:prstGeom>
                    <a:noFill/>
                    <a:ln>
                      <a:noFill/>
                    </a:ln>
                  </pic:spPr>
                </pic:pic>
              </a:graphicData>
            </a:graphic>
          </wp:inline>
        </w:drawing>
      </w:r>
    </w:p>
    <w:p w14:paraId="23F7F2E4" w14:textId="45E401E2" w:rsidR="00281BF6" w:rsidRPr="00366DDB" w:rsidRDefault="00014842" w:rsidP="00014842">
      <w:pPr>
        <w:pStyle w:val="Caption"/>
        <w:jc w:val="center"/>
        <w:rPr>
          <w:rFonts w:ascii="Sans Serif Collection" w:hAnsi="Sans Serif Collection" w:cs="Sans Serif Collection"/>
          <w:sz w:val="14"/>
          <w:szCs w:val="14"/>
        </w:rPr>
      </w:pPr>
      <w:r w:rsidRPr="00366DDB">
        <w:rPr>
          <w:rFonts w:ascii="Sans Serif Collection" w:hAnsi="Sans Serif Collection" w:cs="Sans Serif Collection"/>
          <w:sz w:val="14"/>
          <w:szCs w:val="14"/>
        </w:rPr>
        <w:t xml:space="preserve">Supplementary Fig. </w:t>
      </w:r>
      <w:r w:rsidRPr="00366DDB">
        <w:rPr>
          <w:rFonts w:ascii="Sans Serif Collection" w:hAnsi="Sans Serif Collection" w:cs="Sans Serif Collection"/>
          <w:sz w:val="14"/>
          <w:szCs w:val="14"/>
        </w:rPr>
        <w:fldChar w:fldCharType="begin"/>
      </w:r>
      <w:r w:rsidRPr="00366DDB">
        <w:rPr>
          <w:rFonts w:ascii="Sans Serif Collection" w:hAnsi="Sans Serif Collection" w:cs="Sans Serif Collection"/>
          <w:sz w:val="14"/>
          <w:szCs w:val="14"/>
        </w:rPr>
        <w:instrText xml:space="preserve"> SEQ Supplementary_Fig. \* ARABIC </w:instrText>
      </w:r>
      <w:r w:rsidRPr="00366DDB">
        <w:rPr>
          <w:rFonts w:ascii="Sans Serif Collection" w:hAnsi="Sans Serif Collection" w:cs="Sans Serif Collection"/>
          <w:sz w:val="14"/>
          <w:szCs w:val="14"/>
        </w:rPr>
        <w:fldChar w:fldCharType="separate"/>
      </w:r>
      <w:r w:rsidR="00096A91" w:rsidRPr="00366DDB">
        <w:rPr>
          <w:rFonts w:ascii="Sans Serif Collection" w:hAnsi="Sans Serif Collection" w:cs="Sans Serif Collection"/>
          <w:noProof/>
          <w:sz w:val="14"/>
          <w:szCs w:val="14"/>
        </w:rPr>
        <w:t>9</w:t>
      </w:r>
      <w:r w:rsidRPr="00366DDB">
        <w:rPr>
          <w:rFonts w:ascii="Sans Serif Collection" w:hAnsi="Sans Serif Collection" w:cs="Sans Serif Collection"/>
          <w:sz w:val="14"/>
          <w:szCs w:val="14"/>
        </w:rPr>
        <w:fldChar w:fldCharType="end"/>
      </w:r>
      <w:r w:rsidR="005B02A7" w:rsidRPr="00366DDB">
        <w:rPr>
          <w:rFonts w:ascii="Sans Serif Collection" w:hAnsi="Sans Serif Collection" w:cs="Sans Serif Collection"/>
          <w:sz w:val="14"/>
          <w:szCs w:val="14"/>
        </w:rPr>
        <w:t xml:space="preserve"> </w:t>
      </w:r>
      <w:r w:rsidR="00B21B66" w:rsidRPr="00366DDB">
        <w:rPr>
          <w:rFonts w:ascii="Sans Serif Collection" w:hAnsi="Sans Serif Collection" w:cs="Sans Serif Collection"/>
          <w:sz w:val="14"/>
          <w:szCs w:val="14"/>
        </w:rPr>
        <w:t xml:space="preserve">Shows the current-voltage characteristics of a GaAsSb/Si SACM detector. </w:t>
      </w:r>
      <w:r w:rsidR="00BE3EF8" w:rsidRPr="00366DDB">
        <w:rPr>
          <w:rFonts w:ascii="Sans Serif Collection" w:hAnsi="Sans Serif Collection" w:cs="Sans Serif Collection"/>
          <w:sz w:val="14"/>
          <w:szCs w:val="14"/>
        </w:rPr>
        <w:t xml:space="preserve">(a) Dark current and </w:t>
      </w:r>
      <w:r w:rsidR="00556756" w:rsidRPr="00366DDB">
        <w:rPr>
          <w:rFonts w:ascii="Sans Serif Collection" w:hAnsi="Sans Serif Collection" w:cs="Sans Serif Collection"/>
          <w:sz w:val="14"/>
          <w:szCs w:val="14"/>
        </w:rPr>
        <w:t>photocurrent under</w:t>
      </w:r>
      <w:r w:rsidR="00BE3EF8" w:rsidRPr="00366DDB">
        <w:rPr>
          <w:rFonts w:ascii="Sans Serif Collection" w:hAnsi="Sans Serif Collection" w:cs="Sans Serif Collection"/>
          <w:sz w:val="14"/>
          <w:szCs w:val="14"/>
        </w:rPr>
        <w:t xml:space="preserve"> illumination from lasers of different wavelengths</w:t>
      </w:r>
      <w:r w:rsidR="00B21B66" w:rsidRPr="00366DDB">
        <w:rPr>
          <w:rFonts w:ascii="Sans Serif Collection" w:hAnsi="Sans Serif Collection" w:cs="Sans Serif Collection"/>
          <w:sz w:val="14"/>
          <w:szCs w:val="14"/>
        </w:rPr>
        <w:t xml:space="preserve">. (b) </w:t>
      </w:r>
      <w:r w:rsidR="00556756" w:rsidRPr="00366DDB">
        <w:rPr>
          <w:rFonts w:ascii="Sans Serif Collection" w:hAnsi="Sans Serif Collection" w:cs="Sans Serif Collection"/>
          <w:sz w:val="14"/>
          <w:szCs w:val="14"/>
        </w:rPr>
        <w:t xml:space="preserve">Dark current and photocurrent under 1550 nm laser illumination at different laser optical powers. </w:t>
      </w:r>
    </w:p>
    <w:p w14:paraId="1A9781D3" w14:textId="48FE7A6D" w:rsidR="00A65315" w:rsidRPr="00366DDB" w:rsidRDefault="005A2E0F" w:rsidP="00366DDB">
      <w:pPr>
        <w:spacing w:line="480" w:lineRule="auto"/>
        <w:jc w:val="both"/>
        <w:rPr>
          <w:rFonts w:ascii="Times New Roman" w:hAnsi="Times New Roman" w:cs="Times New Roman"/>
          <w:sz w:val="22"/>
          <w:szCs w:val="22"/>
        </w:rPr>
      </w:pPr>
      <w:r w:rsidRPr="00366DDB">
        <w:rPr>
          <w:rFonts w:ascii="Times New Roman" w:hAnsi="Times New Roman" w:cs="Times New Roman"/>
          <w:sz w:val="22"/>
          <w:szCs w:val="22"/>
        </w:rPr>
        <w:t xml:space="preserve">Supplementary Fig. 9 </w:t>
      </w:r>
      <w:r w:rsidR="008731C5" w:rsidRPr="00366DDB">
        <w:rPr>
          <w:rFonts w:ascii="Times New Roman" w:hAnsi="Times New Roman" w:cs="Times New Roman"/>
          <w:sz w:val="22"/>
          <w:szCs w:val="22"/>
        </w:rPr>
        <w:t xml:space="preserve">(a) </w:t>
      </w:r>
      <w:r w:rsidRPr="00366DDB">
        <w:rPr>
          <w:rFonts w:ascii="Times New Roman" w:hAnsi="Times New Roman" w:cs="Times New Roman"/>
          <w:sz w:val="22"/>
          <w:szCs w:val="22"/>
        </w:rPr>
        <w:t>shows the photoresponse of the GaAsSb/Si SACM detector under illumination from 660 nm to 1550 nm. The illumination laser was focused directly onto the GaAsSb absorber, with a spot size of about 30 µm, which is smaller than the device size, ensuring that all illumination was confined to the GaAsSb absorber.</w:t>
      </w:r>
      <w:r w:rsidR="00243EEA" w:rsidRPr="00366DDB">
        <w:rPr>
          <w:rFonts w:ascii="Times New Roman" w:hAnsi="Times New Roman" w:cs="Times New Roman"/>
          <w:sz w:val="22"/>
          <w:szCs w:val="22"/>
        </w:rPr>
        <w:t xml:space="preserve"> </w:t>
      </w:r>
      <w:r w:rsidR="00A65315" w:rsidRPr="00366DDB">
        <w:rPr>
          <w:rFonts w:ascii="Times New Roman" w:hAnsi="Times New Roman" w:cs="Times New Roman"/>
          <w:sz w:val="22"/>
          <w:szCs w:val="22"/>
        </w:rPr>
        <w:t>Illumination at wavelengths</w:t>
      </w:r>
      <w:r w:rsidR="00243EEA" w:rsidRPr="00366DDB">
        <w:rPr>
          <w:rFonts w:ascii="Times New Roman" w:hAnsi="Times New Roman" w:cs="Times New Roman"/>
          <w:sz w:val="22"/>
          <w:szCs w:val="22"/>
        </w:rPr>
        <w:t xml:space="preserve"> (1550 nm), which is</w:t>
      </w:r>
      <w:r w:rsidR="00A65315" w:rsidRPr="00366DDB">
        <w:rPr>
          <w:rFonts w:ascii="Times New Roman" w:hAnsi="Times New Roman" w:cs="Times New Roman"/>
          <w:sz w:val="22"/>
          <w:szCs w:val="22"/>
        </w:rPr>
        <w:t xml:space="preserve"> beyond the Si absorption edge (1100 nm)</w:t>
      </w:r>
      <w:r w:rsidR="00243EEA" w:rsidRPr="00366DDB">
        <w:rPr>
          <w:rFonts w:ascii="Times New Roman" w:hAnsi="Times New Roman" w:cs="Times New Roman"/>
          <w:sz w:val="22"/>
          <w:szCs w:val="22"/>
        </w:rPr>
        <w:t>,</w:t>
      </w:r>
      <w:r w:rsidR="00A65315" w:rsidRPr="00366DDB">
        <w:rPr>
          <w:rFonts w:ascii="Times New Roman" w:hAnsi="Times New Roman" w:cs="Times New Roman"/>
          <w:sz w:val="22"/>
          <w:szCs w:val="22"/>
        </w:rPr>
        <w:t xml:space="preserve"> produces a clear photocurrent, confirming that photocarrier generation occurs </w:t>
      </w:r>
      <w:r w:rsidR="00243EEA" w:rsidRPr="00366DDB">
        <w:rPr>
          <w:rFonts w:ascii="Times New Roman" w:hAnsi="Times New Roman" w:cs="Times New Roman"/>
          <w:sz w:val="22"/>
          <w:szCs w:val="22"/>
        </w:rPr>
        <w:t>only</w:t>
      </w:r>
      <w:r w:rsidR="00A65315" w:rsidRPr="00366DDB">
        <w:rPr>
          <w:rFonts w:ascii="Times New Roman" w:hAnsi="Times New Roman" w:cs="Times New Roman"/>
          <w:sz w:val="22"/>
          <w:szCs w:val="22"/>
        </w:rPr>
        <w:t xml:space="preserve"> within the GaAsSb absorber and that the carriers are efficiently collected through the GaAsSb/Si heterointerface. </w:t>
      </w:r>
      <w:r w:rsidR="007944EA" w:rsidRPr="00366DDB">
        <w:rPr>
          <w:rFonts w:ascii="Times New Roman" w:hAnsi="Times New Roman" w:cs="Times New Roman"/>
          <w:sz w:val="22"/>
          <w:szCs w:val="22"/>
        </w:rPr>
        <w:t>Since</w:t>
      </w:r>
      <w:r w:rsidR="00A65315" w:rsidRPr="00366DDB">
        <w:rPr>
          <w:rFonts w:ascii="Times New Roman" w:hAnsi="Times New Roman" w:cs="Times New Roman"/>
          <w:sz w:val="22"/>
          <w:szCs w:val="22"/>
        </w:rPr>
        <w:t xml:space="preserve"> the incident optical power differed between the laser sources, these measurements provide a qualitative assessment of the detector's wavelength-dependent response rather than a quantitative comparison of responsivity. Under 1550 nm illumination, the photocurrent increases </w:t>
      </w:r>
      <w:r w:rsidR="00F15C4E" w:rsidRPr="00366DDB">
        <w:rPr>
          <w:rFonts w:ascii="Times New Roman" w:hAnsi="Times New Roman" w:cs="Times New Roman"/>
          <w:sz w:val="22"/>
          <w:szCs w:val="22"/>
        </w:rPr>
        <w:t>systematically</w:t>
      </w:r>
      <w:r w:rsidR="00A65315" w:rsidRPr="00366DDB">
        <w:rPr>
          <w:rFonts w:ascii="Times New Roman" w:hAnsi="Times New Roman" w:cs="Times New Roman"/>
          <w:sz w:val="22"/>
          <w:szCs w:val="22"/>
        </w:rPr>
        <w:t xml:space="preserve"> with </w:t>
      </w:r>
      <w:r w:rsidR="00011A38" w:rsidRPr="00366DDB">
        <w:rPr>
          <w:rFonts w:ascii="Times New Roman" w:hAnsi="Times New Roman" w:cs="Times New Roman"/>
          <w:sz w:val="22"/>
          <w:szCs w:val="22"/>
        </w:rPr>
        <w:t xml:space="preserve">increasing </w:t>
      </w:r>
      <w:r w:rsidR="00A65315" w:rsidRPr="00366DDB">
        <w:rPr>
          <w:rFonts w:ascii="Times New Roman" w:hAnsi="Times New Roman" w:cs="Times New Roman"/>
          <w:sz w:val="22"/>
          <w:szCs w:val="22"/>
        </w:rPr>
        <w:t xml:space="preserve">incident optical power, </w:t>
      </w:r>
      <w:r w:rsidR="008731C5" w:rsidRPr="00366DDB">
        <w:rPr>
          <w:rFonts w:ascii="Times New Roman" w:hAnsi="Times New Roman" w:cs="Times New Roman"/>
          <w:sz w:val="22"/>
          <w:szCs w:val="22"/>
        </w:rPr>
        <w:t xml:space="preserve">as shown in Supplementary Fig. 9 (b).  </w:t>
      </w:r>
    </w:p>
    <w:p w14:paraId="4B295545" w14:textId="1BBEBAF7" w:rsidR="00D51B90" w:rsidRPr="006C15C4" w:rsidRDefault="00293E4E" w:rsidP="00D51B90">
      <w:pPr>
        <w:keepNext/>
        <w:jc w:val="center"/>
        <w:rPr>
          <w:rFonts w:ascii="Times New Roman" w:hAnsi="Times New Roman" w:cs="Times New Roman"/>
        </w:rPr>
      </w:pPr>
      <w:r>
        <w:rPr>
          <w:noProof/>
        </w:rPr>
        <w:lastRenderedPageBreak/>
        <w:drawing>
          <wp:inline distT="0" distB="0" distL="0" distR="0" wp14:anchorId="51B201B0" wp14:editId="40C4A30A">
            <wp:extent cx="5943600" cy="4601845"/>
            <wp:effectExtent l="0" t="0" r="0" b="0"/>
            <wp:docPr id="51840266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601845"/>
                    </a:xfrm>
                    <a:prstGeom prst="rect">
                      <a:avLst/>
                    </a:prstGeom>
                    <a:noFill/>
                    <a:ln>
                      <a:noFill/>
                    </a:ln>
                  </pic:spPr>
                </pic:pic>
              </a:graphicData>
            </a:graphic>
          </wp:inline>
        </w:drawing>
      </w:r>
    </w:p>
    <w:p w14:paraId="0A3580B8" w14:textId="433C1DAF" w:rsidR="004248A7" w:rsidRPr="00366DDB" w:rsidRDefault="00D51B90" w:rsidP="00F90ECB">
      <w:pPr>
        <w:pStyle w:val="Caption"/>
        <w:jc w:val="center"/>
        <w:rPr>
          <w:rFonts w:ascii="Sans Serif Collection" w:hAnsi="Sans Serif Collection" w:cs="Sans Serif Collection"/>
          <w:sz w:val="14"/>
          <w:szCs w:val="14"/>
        </w:rPr>
      </w:pPr>
      <w:r w:rsidRPr="00366DDB">
        <w:rPr>
          <w:rFonts w:ascii="Sans Serif Collection" w:hAnsi="Sans Serif Collection" w:cs="Sans Serif Collection"/>
          <w:sz w:val="14"/>
          <w:szCs w:val="14"/>
        </w:rPr>
        <w:t xml:space="preserve">Supplementary Fig. </w:t>
      </w:r>
      <w:r w:rsidRPr="00366DDB">
        <w:rPr>
          <w:rFonts w:ascii="Sans Serif Collection" w:hAnsi="Sans Serif Collection" w:cs="Sans Serif Collection"/>
          <w:sz w:val="14"/>
          <w:szCs w:val="14"/>
        </w:rPr>
        <w:fldChar w:fldCharType="begin"/>
      </w:r>
      <w:r w:rsidRPr="00366DDB">
        <w:rPr>
          <w:rFonts w:ascii="Sans Serif Collection" w:hAnsi="Sans Serif Collection" w:cs="Sans Serif Collection"/>
          <w:sz w:val="14"/>
          <w:szCs w:val="14"/>
        </w:rPr>
        <w:instrText xml:space="preserve"> SEQ Supplementary_Fig. \* ARABIC </w:instrText>
      </w:r>
      <w:r w:rsidRPr="00366DDB">
        <w:rPr>
          <w:rFonts w:ascii="Sans Serif Collection" w:hAnsi="Sans Serif Collection" w:cs="Sans Serif Collection"/>
          <w:sz w:val="14"/>
          <w:szCs w:val="14"/>
        </w:rPr>
        <w:fldChar w:fldCharType="separate"/>
      </w:r>
      <w:r w:rsidR="00096A91" w:rsidRPr="00366DDB">
        <w:rPr>
          <w:rFonts w:ascii="Sans Serif Collection" w:hAnsi="Sans Serif Collection" w:cs="Sans Serif Collection"/>
          <w:noProof/>
          <w:sz w:val="14"/>
          <w:szCs w:val="14"/>
        </w:rPr>
        <w:t>10</w:t>
      </w:r>
      <w:r w:rsidRPr="00366DDB">
        <w:rPr>
          <w:rFonts w:ascii="Sans Serif Collection" w:hAnsi="Sans Serif Collection" w:cs="Sans Serif Collection"/>
          <w:sz w:val="14"/>
          <w:szCs w:val="14"/>
        </w:rPr>
        <w:fldChar w:fldCharType="end"/>
      </w:r>
      <w:r w:rsidR="00851283" w:rsidRPr="00366DDB">
        <w:rPr>
          <w:rFonts w:ascii="Sans Serif Collection" w:hAnsi="Sans Serif Collection" w:cs="Sans Serif Collection"/>
          <w:sz w:val="14"/>
          <w:szCs w:val="14"/>
        </w:rPr>
        <w:t xml:space="preserve"> </w:t>
      </w:r>
      <w:r w:rsidR="00D420C3" w:rsidRPr="00366DDB">
        <w:rPr>
          <w:rFonts w:ascii="Sans Serif Collection" w:hAnsi="Sans Serif Collection" w:cs="Sans Serif Collection"/>
          <w:sz w:val="14"/>
          <w:szCs w:val="14"/>
        </w:rPr>
        <w:t>Current-Voltage-Temperature</w:t>
      </w:r>
      <w:r w:rsidR="003B51E2" w:rsidRPr="00366DDB">
        <w:rPr>
          <w:rFonts w:ascii="Sans Serif Collection" w:hAnsi="Sans Serif Collection" w:cs="Sans Serif Collection"/>
          <w:sz w:val="14"/>
          <w:szCs w:val="14"/>
        </w:rPr>
        <w:t xml:space="preserve"> (IVT)</w:t>
      </w:r>
      <w:r w:rsidR="00D420C3" w:rsidRPr="00366DDB">
        <w:rPr>
          <w:rFonts w:ascii="Sans Serif Collection" w:hAnsi="Sans Serif Collection" w:cs="Sans Serif Collection"/>
          <w:sz w:val="14"/>
          <w:szCs w:val="14"/>
        </w:rPr>
        <w:t xml:space="preserve"> analysis </w:t>
      </w:r>
      <w:r w:rsidR="00092E61" w:rsidRPr="00366DDB">
        <w:rPr>
          <w:rFonts w:ascii="Sans Serif Collection" w:hAnsi="Sans Serif Collection" w:cs="Sans Serif Collection"/>
          <w:sz w:val="14"/>
          <w:szCs w:val="14"/>
        </w:rPr>
        <w:t xml:space="preserve">of the GaAsSb/Si SACM detector. </w:t>
      </w:r>
      <w:r w:rsidR="003B51E2" w:rsidRPr="00366DDB">
        <w:rPr>
          <w:rFonts w:ascii="Sans Serif Collection" w:hAnsi="Sans Serif Collection" w:cs="Sans Serif Collection"/>
          <w:sz w:val="14"/>
          <w:szCs w:val="14"/>
        </w:rPr>
        <w:t xml:space="preserve">(a) </w:t>
      </w:r>
      <w:r w:rsidR="008004E3" w:rsidRPr="00366DDB">
        <w:rPr>
          <w:rFonts w:ascii="Sans Serif Collection" w:hAnsi="Sans Serif Collection" w:cs="Sans Serif Collection"/>
          <w:sz w:val="14"/>
          <w:szCs w:val="14"/>
        </w:rPr>
        <w:t>Shows the dark current density (solid lines) and its corresponding photocurrent density (dashed lines) under 1550 nm illumination of a GaAsSb/Si SACM detector at different temperatures. (b)</w:t>
      </w:r>
      <w:r w:rsidR="00790FFA" w:rsidRPr="00366DDB">
        <w:rPr>
          <w:rFonts w:ascii="Sans Serif Collection" w:hAnsi="Sans Serif Collection" w:cs="Sans Serif Collection"/>
          <w:sz w:val="14"/>
          <w:szCs w:val="14"/>
        </w:rPr>
        <w:t xml:space="preserve"> Arrhenius plots of ln(J) versus 1000/T at different reverse biases used to extract activation energies</w:t>
      </w:r>
      <w:r w:rsidR="00E40853" w:rsidRPr="00366DDB">
        <w:rPr>
          <w:rFonts w:ascii="Sans Serif Collection" w:hAnsi="Sans Serif Collection" w:cs="Sans Serif Collection"/>
          <w:sz w:val="14"/>
          <w:szCs w:val="14"/>
        </w:rPr>
        <w:t xml:space="preserve">. (c) </w:t>
      </w:r>
      <w:r w:rsidR="00116DC3" w:rsidRPr="00366DDB">
        <w:rPr>
          <w:rFonts w:ascii="Sans Serif Collection" w:hAnsi="Sans Serif Collection" w:cs="Sans Serif Collection"/>
          <w:sz w:val="14"/>
          <w:szCs w:val="14"/>
        </w:rPr>
        <w:t xml:space="preserve">Poole–Frenkel (PF) emission analysis, plotted as </w:t>
      </w:r>
      <m:oMath>
        <m:r>
          <w:rPr>
            <w:rFonts w:ascii="Cambria Math" w:hAnsi="Cambria Math" w:cs="Sans Serif Collection"/>
            <w:sz w:val="14"/>
            <w:szCs w:val="14"/>
          </w:rPr>
          <m:t>ln⁡(J/E)</m:t>
        </m:r>
      </m:oMath>
      <w:r w:rsidR="00116DC3" w:rsidRPr="00366DDB">
        <w:rPr>
          <w:rFonts w:ascii="Sans Serif Collection" w:hAnsi="Sans Serif Collection" w:cs="Sans Serif Collection"/>
          <w:sz w:val="14"/>
          <w:szCs w:val="14"/>
        </w:rPr>
        <w:t xml:space="preserve">versus </w:t>
      </w:r>
      <m:oMath>
        <m:sSup>
          <m:sSupPr>
            <m:ctrlPr>
              <w:rPr>
                <w:rFonts w:ascii="Cambria Math" w:hAnsi="Cambria Math" w:cs="Sans Serif Collection"/>
                <w:sz w:val="14"/>
                <w:szCs w:val="14"/>
              </w:rPr>
            </m:ctrlPr>
          </m:sSupPr>
          <m:e>
            <m:r>
              <w:rPr>
                <w:rFonts w:ascii="Cambria Math" w:hAnsi="Cambria Math" w:cs="Sans Serif Collection"/>
                <w:sz w:val="14"/>
                <w:szCs w:val="14"/>
              </w:rPr>
              <m:t>E</m:t>
            </m:r>
          </m:e>
          <m:sup>
            <m:r>
              <w:rPr>
                <w:rFonts w:ascii="Cambria Math" w:hAnsi="Cambria Math" w:cs="Sans Serif Collection"/>
                <w:sz w:val="14"/>
                <w:szCs w:val="14"/>
              </w:rPr>
              <m:t>1/2</m:t>
            </m:r>
          </m:sup>
        </m:sSup>
      </m:oMath>
      <w:r w:rsidR="00116DC3" w:rsidRPr="00366DDB">
        <w:rPr>
          <w:rFonts w:ascii="Sans Serif Collection" w:hAnsi="Sans Serif Collection" w:cs="Sans Serif Collection"/>
          <w:sz w:val="14"/>
          <w:szCs w:val="14"/>
        </w:rPr>
        <w:t xml:space="preserve">, showing the temperature-dependent trap-assisted conduction behavior. (d) Fowler–Nordheim (FN) tunneling analysis, plotted as </w:t>
      </w:r>
      <m:oMath>
        <m:r>
          <w:rPr>
            <w:rFonts w:ascii="Cambria Math" w:hAnsi="Cambria Math" w:cs="Sans Serif Collection"/>
            <w:sz w:val="14"/>
            <w:szCs w:val="14"/>
          </w:rPr>
          <m:t>ln⁡(J/</m:t>
        </m:r>
        <m:sSup>
          <m:sSupPr>
            <m:ctrlPr>
              <w:rPr>
                <w:rFonts w:ascii="Cambria Math" w:hAnsi="Cambria Math" w:cs="Sans Serif Collection"/>
                <w:sz w:val="14"/>
                <w:szCs w:val="14"/>
              </w:rPr>
            </m:ctrlPr>
          </m:sSupPr>
          <m:e>
            <m:r>
              <w:rPr>
                <w:rFonts w:ascii="Cambria Math" w:hAnsi="Cambria Math" w:cs="Sans Serif Collection"/>
                <w:sz w:val="14"/>
                <w:szCs w:val="14"/>
              </w:rPr>
              <m:t>E</m:t>
            </m:r>
          </m:e>
          <m:sup>
            <m:r>
              <w:rPr>
                <w:rFonts w:ascii="Cambria Math" w:hAnsi="Cambria Math" w:cs="Sans Serif Collection"/>
                <w:sz w:val="14"/>
                <w:szCs w:val="14"/>
              </w:rPr>
              <m:t>2</m:t>
            </m:r>
          </m:sup>
        </m:sSup>
        <m:r>
          <w:rPr>
            <w:rFonts w:ascii="Cambria Math" w:hAnsi="Cambria Math" w:cs="Sans Serif Collection"/>
            <w:sz w:val="14"/>
            <w:szCs w:val="14"/>
          </w:rPr>
          <m:t>)</m:t>
        </m:r>
      </m:oMath>
      <w:r w:rsidR="00116DC3" w:rsidRPr="00366DDB">
        <w:rPr>
          <w:rFonts w:ascii="Sans Serif Collection" w:hAnsi="Sans Serif Collection" w:cs="Sans Serif Collection"/>
          <w:sz w:val="14"/>
          <w:szCs w:val="14"/>
        </w:rPr>
        <w:t xml:space="preserve">versus </w:t>
      </w:r>
      <m:oMath>
        <m:r>
          <w:rPr>
            <w:rFonts w:ascii="Cambria Math" w:hAnsi="Cambria Math" w:cs="Sans Serif Collection"/>
            <w:sz w:val="14"/>
            <w:szCs w:val="14"/>
          </w:rPr>
          <m:t>1/E</m:t>
        </m:r>
      </m:oMath>
      <w:r w:rsidR="00116DC3" w:rsidRPr="00366DDB">
        <w:rPr>
          <w:rFonts w:ascii="Sans Serif Collection" w:hAnsi="Sans Serif Collection" w:cs="Sans Serif Collection"/>
          <w:sz w:val="14"/>
          <w:szCs w:val="14"/>
        </w:rPr>
        <w:t>, with linear fits indicating field-induced tunneling in the high-electric-field regime.</w:t>
      </w:r>
    </w:p>
    <w:p w14:paraId="0993760D" w14:textId="092BED6E" w:rsidR="006127A5" w:rsidRPr="007944EA" w:rsidRDefault="000D362E" w:rsidP="00366DDB">
      <w:pPr>
        <w:spacing w:line="480" w:lineRule="auto"/>
        <w:jc w:val="both"/>
        <w:rPr>
          <w:rFonts w:ascii="Times New Roman" w:hAnsi="Times New Roman" w:cs="Times New Roman"/>
          <w:sz w:val="22"/>
          <w:szCs w:val="22"/>
        </w:rPr>
      </w:pPr>
      <w:r w:rsidRPr="007944EA">
        <w:rPr>
          <w:rFonts w:ascii="Times New Roman" w:hAnsi="Times New Roman" w:cs="Times New Roman"/>
          <w:sz w:val="22"/>
          <w:szCs w:val="22"/>
        </w:rPr>
        <w:t xml:space="preserve">The temperature-dependent current-voltage behavior of the GaAsSb/Si SACM detector is studied systematically from 100K to room temperature (295K). The dark current </w:t>
      </w:r>
      <w:r w:rsidR="00FB01F6" w:rsidRPr="007944EA">
        <w:rPr>
          <w:rFonts w:ascii="Times New Roman" w:hAnsi="Times New Roman" w:cs="Times New Roman"/>
          <w:sz w:val="22"/>
          <w:szCs w:val="22"/>
        </w:rPr>
        <w:t xml:space="preserve">density from the IVT measurements is then used to </w:t>
      </w:r>
      <w:r w:rsidR="00EC7234" w:rsidRPr="007944EA">
        <w:rPr>
          <w:rFonts w:ascii="Times New Roman" w:hAnsi="Times New Roman" w:cs="Times New Roman"/>
          <w:sz w:val="22"/>
          <w:szCs w:val="22"/>
        </w:rPr>
        <w:t>derive the Arrhenius plot, the Poole-Frenkel (PF) analysis, and the Fowler-Nordheim (FN) analysis. A</w:t>
      </w:r>
      <w:r w:rsidR="00E74D14" w:rsidRPr="007944EA">
        <w:rPr>
          <w:rFonts w:ascii="Times New Roman" w:hAnsi="Times New Roman" w:cs="Times New Roman"/>
          <w:sz w:val="22"/>
          <w:szCs w:val="22"/>
        </w:rPr>
        <w:t xml:space="preserve">ctivation energy </w:t>
      </w:r>
      <w:r w:rsidR="00EC7234" w:rsidRPr="007944EA">
        <w:rPr>
          <w:rFonts w:ascii="Times New Roman" w:hAnsi="Times New Roman" w:cs="Times New Roman"/>
          <w:sz w:val="22"/>
          <w:szCs w:val="22"/>
        </w:rPr>
        <w:t xml:space="preserve">is then </w:t>
      </w:r>
      <w:r w:rsidR="00DA6D85" w:rsidRPr="007944EA">
        <w:rPr>
          <w:rFonts w:ascii="Times New Roman" w:hAnsi="Times New Roman" w:cs="Times New Roman"/>
          <w:sz w:val="22"/>
          <w:szCs w:val="22"/>
        </w:rPr>
        <w:t xml:space="preserve">extracted from the Arrhenius plot </w:t>
      </w:r>
      <w:r w:rsidR="001C7C69" w:rsidRPr="007944EA">
        <w:rPr>
          <w:rFonts w:ascii="Times New Roman" w:hAnsi="Times New Roman" w:cs="Times New Roman"/>
          <w:sz w:val="22"/>
          <w:szCs w:val="22"/>
        </w:rPr>
        <w:t>as</w:t>
      </w:r>
      <w:r w:rsidR="009106F5" w:rsidRPr="007944EA">
        <w:rPr>
          <w:rFonts w:ascii="Times New Roman" w:hAnsi="Times New Roman" w:cs="Times New Roman"/>
          <w:sz w:val="22"/>
          <w:szCs w:val="22"/>
        </w:rPr>
        <w:t xml:space="preserve"> a function of</w:t>
      </w:r>
      <w:r w:rsidR="001C7C69" w:rsidRPr="007944EA">
        <w:rPr>
          <w:rFonts w:ascii="Times New Roman" w:hAnsi="Times New Roman" w:cs="Times New Roman"/>
          <w:sz w:val="22"/>
          <w:szCs w:val="22"/>
        </w:rPr>
        <w:t xml:space="preserve"> reverse bias</w:t>
      </w:r>
      <w:r w:rsidR="009106F5" w:rsidRPr="007944EA">
        <w:rPr>
          <w:rFonts w:ascii="Times New Roman" w:hAnsi="Times New Roman" w:cs="Times New Roman"/>
          <w:sz w:val="22"/>
          <w:szCs w:val="22"/>
        </w:rPr>
        <w:t xml:space="preserve">, which is </w:t>
      </w:r>
      <w:r w:rsidR="00C3671A" w:rsidRPr="007944EA">
        <w:rPr>
          <w:rFonts w:ascii="Times New Roman" w:hAnsi="Times New Roman" w:cs="Times New Roman"/>
          <w:sz w:val="22"/>
          <w:szCs w:val="22"/>
        </w:rPr>
        <w:t>shown in Fig. 4 of the main paper. As the applied reverse bias</w:t>
      </w:r>
      <w:r w:rsidR="001C7C69" w:rsidRPr="007944EA">
        <w:rPr>
          <w:rFonts w:ascii="Times New Roman" w:hAnsi="Times New Roman" w:cs="Times New Roman"/>
          <w:sz w:val="22"/>
          <w:szCs w:val="22"/>
        </w:rPr>
        <w:t xml:space="preserve"> increases</w:t>
      </w:r>
      <w:r w:rsidR="00E74D14" w:rsidRPr="007944EA">
        <w:rPr>
          <w:rFonts w:ascii="Times New Roman" w:hAnsi="Times New Roman" w:cs="Times New Roman"/>
          <w:sz w:val="22"/>
          <w:szCs w:val="22"/>
        </w:rPr>
        <w:t xml:space="preserve">, </w:t>
      </w:r>
      <w:r w:rsidR="00C3671A" w:rsidRPr="007944EA">
        <w:rPr>
          <w:rFonts w:ascii="Times New Roman" w:hAnsi="Times New Roman" w:cs="Times New Roman"/>
          <w:sz w:val="22"/>
          <w:szCs w:val="22"/>
        </w:rPr>
        <w:t xml:space="preserve">a transition in the dominant carrier transport mechanism is suggested </w:t>
      </w:r>
      <w:r w:rsidR="00E74D14" w:rsidRPr="007944EA">
        <w:rPr>
          <w:rFonts w:ascii="Times New Roman" w:hAnsi="Times New Roman" w:cs="Times New Roman"/>
          <w:sz w:val="22"/>
          <w:szCs w:val="22"/>
        </w:rPr>
        <w:t>under high electric fields.</w:t>
      </w:r>
      <w:r w:rsidR="001C7C69" w:rsidRPr="007944EA">
        <w:rPr>
          <w:rFonts w:ascii="Times New Roman" w:hAnsi="Times New Roman" w:cs="Times New Roman"/>
          <w:sz w:val="22"/>
          <w:szCs w:val="22"/>
        </w:rPr>
        <w:t xml:space="preserve"> </w:t>
      </w:r>
      <w:r w:rsidR="006127A5" w:rsidRPr="007944EA">
        <w:rPr>
          <w:rFonts w:ascii="Times New Roman" w:hAnsi="Times New Roman" w:cs="Times New Roman"/>
          <w:sz w:val="22"/>
          <w:szCs w:val="22"/>
        </w:rPr>
        <w:t xml:space="preserve">The Poole-Frenkel (PF) analysis </w:t>
      </w:r>
      <w:r w:rsidR="004248A7" w:rsidRPr="007944EA">
        <w:rPr>
          <w:rFonts w:ascii="Times New Roman" w:hAnsi="Times New Roman" w:cs="Times New Roman"/>
          <w:sz w:val="22"/>
          <w:szCs w:val="22"/>
        </w:rPr>
        <w:t>in Supplementary Fig. (c) shows good linearity over the intermediate electric-field</w:t>
      </w:r>
      <w:r w:rsidR="006127A5" w:rsidRPr="007944EA">
        <w:rPr>
          <w:rFonts w:ascii="Times New Roman" w:hAnsi="Times New Roman" w:cs="Times New Roman"/>
          <w:sz w:val="22"/>
          <w:szCs w:val="22"/>
        </w:rPr>
        <w:t xml:space="preserve"> range, </w:t>
      </w:r>
      <w:r w:rsidR="006127A5" w:rsidRPr="007944EA">
        <w:rPr>
          <w:rFonts w:ascii="Times New Roman" w:hAnsi="Times New Roman" w:cs="Times New Roman"/>
          <w:sz w:val="22"/>
          <w:szCs w:val="22"/>
        </w:rPr>
        <w:lastRenderedPageBreak/>
        <w:t xml:space="preserve">indicating trap-assisted carrier emission through the interface or </w:t>
      </w:r>
      <w:r w:rsidR="004248A7" w:rsidRPr="007944EA">
        <w:rPr>
          <w:rFonts w:ascii="Times New Roman" w:hAnsi="Times New Roman" w:cs="Times New Roman"/>
          <w:sz w:val="22"/>
          <w:szCs w:val="22"/>
        </w:rPr>
        <w:t>interface</w:t>
      </w:r>
      <w:r w:rsidR="006127A5" w:rsidRPr="007944EA">
        <w:rPr>
          <w:rFonts w:ascii="Times New Roman" w:hAnsi="Times New Roman" w:cs="Times New Roman"/>
          <w:sz w:val="22"/>
          <w:szCs w:val="22"/>
        </w:rPr>
        <w:t>-related defect states. At higher electric fields, the Fowler</w:t>
      </w:r>
      <w:r w:rsidR="00EC7234" w:rsidRPr="007944EA">
        <w:rPr>
          <w:rFonts w:ascii="Times New Roman" w:hAnsi="Times New Roman" w:cs="Times New Roman"/>
          <w:sz w:val="22"/>
          <w:szCs w:val="22"/>
        </w:rPr>
        <w:t>-</w:t>
      </w:r>
      <w:r w:rsidR="006127A5" w:rsidRPr="007944EA">
        <w:rPr>
          <w:rFonts w:ascii="Times New Roman" w:hAnsi="Times New Roman" w:cs="Times New Roman"/>
          <w:sz w:val="22"/>
          <w:szCs w:val="22"/>
        </w:rPr>
        <w:t>Nordheim</w:t>
      </w:r>
      <w:r w:rsidR="00EC7234" w:rsidRPr="007944EA">
        <w:rPr>
          <w:rFonts w:ascii="Times New Roman" w:hAnsi="Times New Roman" w:cs="Times New Roman"/>
          <w:sz w:val="22"/>
          <w:szCs w:val="22"/>
        </w:rPr>
        <w:t xml:space="preserve"> (FN)</w:t>
      </w:r>
      <w:r w:rsidR="006127A5" w:rsidRPr="007944EA">
        <w:rPr>
          <w:rFonts w:ascii="Times New Roman" w:hAnsi="Times New Roman" w:cs="Times New Roman"/>
          <w:sz w:val="22"/>
          <w:szCs w:val="22"/>
        </w:rPr>
        <w:t xml:space="preserve"> plot in</w:t>
      </w:r>
      <w:r w:rsidR="004248A7" w:rsidRPr="007944EA">
        <w:rPr>
          <w:rFonts w:ascii="Times New Roman" w:hAnsi="Times New Roman" w:cs="Times New Roman"/>
          <w:sz w:val="22"/>
          <w:szCs w:val="22"/>
        </w:rPr>
        <w:t xml:space="preserve"> Supplementary Fig.</w:t>
      </w:r>
      <w:r w:rsidR="006127A5" w:rsidRPr="007944EA">
        <w:rPr>
          <w:rFonts w:ascii="Times New Roman" w:hAnsi="Times New Roman" w:cs="Times New Roman"/>
          <w:sz w:val="22"/>
          <w:szCs w:val="22"/>
        </w:rPr>
        <w:t xml:space="preserve"> (d) displays a linear dependence, confirming that field-induced tunneling becomes the dominant carrier transport mechanism. Together, these results reveal a transition from trap-assisted conduction to tunneling transport as the reverse electric field increases.</w:t>
      </w:r>
    </w:p>
    <w:sectPr w:rsidR="006127A5" w:rsidRPr="007944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ans Serif Collection">
    <w:panose1 w:val="020B0502040504020204"/>
    <w:charset w:val="00"/>
    <w:family w:val="swiss"/>
    <w:pitch w:val="variable"/>
    <w:sig w:usb0="E057A3FF" w:usb1="4200605F" w:usb2="29100029" w:usb3="00000000" w:csb0="000001D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7900B8"/>
    <w:multiLevelType w:val="multilevel"/>
    <w:tmpl w:val="B266A73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649168DA"/>
    <w:multiLevelType w:val="hybridMultilevel"/>
    <w:tmpl w:val="7570C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E00C4D"/>
    <w:multiLevelType w:val="multilevel"/>
    <w:tmpl w:val="B266A73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16cid:durableId="700781760">
    <w:abstractNumId w:val="0"/>
  </w:num>
  <w:num w:numId="2" w16cid:durableId="1000697668">
    <w:abstractNumId w:val="1"/>
  </w:num>
  <w:num w:numId="3" w16cid:durableId="4262722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B8C"/>
    <w:rsid w:val="00011A38"/>
    <w:rsid w:val="00014842"/>
    <w:rsid w:val="0001620E"/>
    <w:rsid w:val="000247A4"/>
    <w:rsid w:val="000321D6"/>
    <w:rsid w:val="00033374"/>
    <w:rsid w:val="00035091"/>
    <w:rsid w:val="0004134C"/>
    <w:rsid w:val="0005290F"/>
    <w:rsid w:val="00055995"/>
    <w:rsid w:val="00056D84"/>
    <w:rsid w:val="0007435A"/>
    <w:rsid w:val="0008052F"/>
    <w:rsid w:val="00092E61"/>
    <w:rsid w:val="000938EB"/>
    <w:rsid w:val="00096A91"/>
    <w:rsid w:val="000C6435"/>
    <w:rsid w:val="000D362E"/>
    <w:rsid w:val="000D373D"/>
    <w:rsid w:val="000E7779"/>
    <w:rsid w:val="00116DC3"/>
    <w:rsid w:val="00125063"/>
    <w:rsid w:val="0012626B"/>
    <w:rsid w:val="0013011A"/>
    <w:rsid w:val="00130B2A"/>
    <w:rsid w:val="001379EA"/>
    <w:rsid w:val="00161192"/>
    <w:rsid w:val="001777B3"/>
    <w:rsid w:val="00181FE4"/>
    <w:rsid w:val="0018440F"/>
    <w:rsid w:val="001A788D"/>
    <w:rsid w:val="001C7C69"/>
    <w:rsid w:val="00221CD2"/>
    <w:rsid w:val="00241901"/>
    <w:rsid w:val="00243EEA"/>
    <w:rsid w:val="0025774E"/>
    <w:rsid w:val="00261A8A"/>
    <w:rsid w:val="00271F95"/>
    <w:rsid w:val="00273B9C"/>
    <w:rsid w:val="00281BF6"/>
    <w:rsid w:val="002870CC"/>
    <w:rsid w:val="00293265"/>
    <w:rsid w:val="00293E4E"/>
    <w:rsid w:val="002B158B"/>
    <w:rsid w:val="002C2547"/>
    <w:rsid w:val="002C2B8C"/>
    <w:rsid w:val="002D18AA"/>
    <w:rsid w:val="002D1A92"/>
    <w:rsid w:val="002D5D7B"/>
    <w:rsid w:val="002D6187"/>
    <w:rsid w:val="002E58D9"/>
    <w:rsid w:val="002F065C"/>
    <w:rsid w:val="002F79BF"/>
    <w:rsid w:val="00337577"/>
    <w:rsid w:val="00365ECC"/>
    <w:rsid w:val="00366DDB"/>
    <w:rsid w:val="003A1CC1"/>
    <w:rsid w:val="003A31F6"/>
    <w:rsid w:val="003B51E2"/>
    <w:rsid w:val="003D2124"/>
    <w:rsid w:val="003E60D8"/>
    <w:rsid w:val="003F453E"/>
    <w:rsid w:val="004154E7"/>
    <w:rsid w:val="004248A7"/>
    <w:rsid w:val="004254F9"/>
    <w:rsid w:val="00425800"/>
    <w:rsid w:val="004277A9"/>
    <w:rsid w:val="004459D4"/>
    <w:rsid w:val="00466781"/>
    <w:rsid w:val="00467BF5"/>
    <w:rsid w:val="004826FA"/>
    <w:rsid w:val="0049168F"/>
    <w:rsid w:val="004A5AA5"/>
    <w:rsid w:val="004B040E"/>
    <w:rsid w:val="004B6B5C"/>
    <w:rsid w:val="004D21E6"/>
    <w:rsid w:val="00500F33"/>
    <w:rsid w:val="00526F21"/>
    <w:rsid w:val="00530BB7"/>
    <w:rsid w:val="00536ADE"/>
    <w:rsid w:val="00537245"/>
    <w:rsid w:val="00537AF9"/>
    <w:rsid w:val="00544D80"/>
    <w:rsid w:val="00546C69"/>
    <w:rsid w:val="00547A0D"/>
    <w:rsid w:val="00547E34"/>
    <w:rsid w:val="005505DC"/>
    <w:rsid w:val="00556756"/>
    <w:rsid w:val="00562502"/>
    <w:rsid w:val="005629DC"/>
    <w:rsid w:val="00577924"/>
    <w:rsid w:val="00583269"/>
    <w:rsid w:val="00591A55"/>
    <w:rsid w:val="005A2E0F"/>
    <w:rsid w:val="005B02A7"/>
    <w:rsid w:val="006127A5"/>
    <w:rsid w:val="006127DF"/>
    <w:rsid w:val="00630374"/>
    <w:rsid w:val="006506C2"/>
    <w:rsid w:val="00656C9C"/>
    <w:rsid w:val="00682034"/>
    <w:rsid w:val="00682332"/>
    <w:rsid w:val="00692261"/>
    <w:rsid w:val="00692D34"/>
    <w:rsid w:val="006A75F2"/>
    <w:rsid w:val="006C15C4"/>
    <w:rsid w:val="006D0DBE"/>
    <w:rsid w:val="006D4B87"/>
    <w:rsid w:val="00702A90"/>
    <w:rsid w:val="00702F86"/>
    <w:rsid w:val="00730BFC"/>
    <w:rsid w:val="00745699"/>
    <w:rsid w:val="007464D3"/>
    <w:rsid w:val="00754ED1"/>
    <w:rsid w:val="00765FD6"/>
    <w:rsid w:val="0076773D"/>
    <w:rsid w:val="00790FFA"/>
    <w:rsid w:val="007944EA"/>
    <w:rsid w:val="007953B5"/>
    <w:rsid w:val="007B3740"/>
    <w:rsid w:val="007D0A72"/>
    <w:rsid w:val="007F53BD"/>
    <w:rsid w:val="008004E3"/>
    <w:rsid w:val="0081523F"/>
    <w:rsid w:val="008439CD"/>
    <w:rsid w:val="008503E1"/>
    <w:rsid w:val="00851283"/>
    <w:rsid w:val="008569DB"/>
    <w:rsid w:val="008605C2"/>
    <w:rsid w:val="008731C5"/>
    <w:rsid w:val="00873FC8"/>
    <w:rsid w:val="008839A6"/>
    <w:rsid w:val="00892A62"/>
    <w:rsid w:val="008A134D"/>
    <w:rsid w:val="008B41AE"/>
    <w:rsid w:val="008C1A6C"/>
    <w:rsid w:val="008C727F"/>
    <w:rsid w:val="009106F5"/>
    <w:rsid w:val="00927E3D"/>
    <w:rsid w:val="009304B4"/>
    <w:rsid w:val="00952CF7"/>
    <w:rsid w:val="00961EBC"/>
    <w:rsid w:val="0097176D"/>
    <w:rsid w:val="0099124C"/>
    <w:rsid w:val="009B0C58"/>
    <w:rsid w:val="009B48E3"/>
    <w:rsid w:val="009E2DE8"/>
    <w:rsid w:val="009E35F8"/>
    <w:rsid w:val="009F2A1A"/>
    <w:rsid w:val="009F68DC"/>
    <w:rsid w:val="00A0279A"/>
    <w:rsid w:val="00A06648"/>
    <w:rsid w:val="00A11E21"/>
    <w:rsid w:val="00A53C86"/>
    <w:rsid w:val="00A65315"/>
    <w:rsid w:val="00A85D9C"/>
    <w:rsid w:val="00A93430"/>
    <w:rsid w:val="00AC3315"/>
    <w:rsid w:val="00AD38AB"/>
    <w:rsid w:val="00AE51EC"/>
    <w:rsid w:val="00AF1119"/>
    <w:rsid w:val="00AF7756"/>
    <w:rsid w:val="00B01BA5"/>
    <w:rsid w:val="00B1038F"/>
    <w:rsid w:val="00B10CDB"/>
    <w:rsid w:val="00B21B66"/>
    <w:rsid w:val="00B50406"/>
    <w:rsid w:val="00B6028C"/>
    <w:rsid w:val="00B60E4E"/>
    <w:rsid w:val="00B7061B"/>
    <w:rsid w:val="00B81608"/>
    <w:rsid w:val="00BC0249"/>
    <w:rsid w:val="00BC5351"/>
    <w:rsid w:val="00BD0E84"/>
    <w:rsid w:val="00BE3EF8"/>
    <w:rsid w:val="00BF0355"/>
    <w:rsid w:val="00C1097D"/>
    <w:rsid w:val="00C23D1A"/>
    <w:rsid w:val="00C3671A"/>
    <w:rsid w:val="00C76A96"/>
    <w:rsid w:val="00C85D1B"/>
    <w:rsid w:val="00CB34C8"/>
    <w:rsid w:val="00CC0F15"/>
    <w:rsid w:val="00D01954"/>
    <w:rsid w:val="00D05DBC"/>
    <w:rsid w:val="00D06956"/>
    <w:rsid w:val="00D14635"/>
    <w:rsid w:val="00D420C3"/>
    <w:rsid w:val="00D51B90"/>
    <w:rsid w:val="00D52427"/>
    <w:rsid w:val="00D57E24"/>
    <w:rsid w:val="00D84FA0"/>
    <w:rsid w:val="00DA26B9"/>
    <w:rsid w:val="00DA6D85"/>
    <w:rsid w:val="00DC3380"/>
    <w:rsid w:val="00DC7D1B"/>
    <w:rsid w:val="00DD0E1C"/>
    <w:rsid w:val="00DD0F72"/>
    <w:rsid w:val="00DD295C"/>
    <w:rsid w:val="00E10789"/>
    <w:rsid w:val="00E40853"/>
    <w:rsid w:val="00E40AA7"/>
    <w:rsid w:val="00E51EF3"/>
    <w:rsid w:val="00E74D14"/>
    <w:rsid w:val="00E870E5"/>
    <w:rsid w:val="00E87D2C"/>
    <w:rsid w:val="00E9145E"/>
    <w:rsid w:val="00EA0AFB"/>
    <w:rsid w:val="00EA0C1C"/>
    <w:rsid w:val="00EA3968"/>
    <w:rsid w:val="00EA7926"/>
    <w:rsid w:val="00EC7234"/>
    <w:rsid w:val="00ED10B1"/>
    <w:rsid w:val="00ED724D"/>
    <w:rsid w:val="00EF67B0"/>
    <w:rsid w:val="00F00528"/>
    <w:rsid w:val="00F14D54"/>
    <w:rsid w:val="00F15C4E"/>
    <w:rsid w:val="00F21BFF"/>
    <w:rsid w:val="00F22775"/>
    <w:rsid w:val="00F30B80"/>
    <w:rsid w:val="00F84F93"/>
    <w:rsid w:val="00F86A6D"/>
    <w:rsid w:val="00F90ECB"/>
    <w:rsid w:val="00F969EE"/>
    <w:rsid w:val="00FA6987"/>
    <w:rsid w:val="00FB01F6"/>
    <w:rsid w:val="00FB20E6"/>
    <w:rsid w:val="00FE5218"/>
    <w:rsid w:val="00FE6A18"/>
    <w:rsid w:val="00FF1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649EE"/>
  <w15:chartTrackingRefBased/>
  <w15:docId w15:val="{272566CF-B59E-419E-AC8D-F7DD81BDA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2B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C2B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C2B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C2B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2B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2B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2B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2B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2B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B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C2B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C2B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C2B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2B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2B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2B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2B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2B8C"/>
    <w:rPr>
      <w:rFonts w:eastAsiaTheme="majorEastAsia" w:cstheme="majorBidi"/>
      <w:color w:val="272727" w:themeColor="text1" w:themeTint="D8"/>
    </w:rPr>
  </w:style>
  <w:style w:type="paragraph" w:styleId="Title">
    <w:name w:val="Title"/>
    <w:basedOn w:val="Normal"/>
    <w:next w:val="Normal"/>
    <w:link w:val="TitleChar"/>
    <w:uiPriority w:val="10"/>
    <w:qFormat/>
    <w:rsid w:val="002C2B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2B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2B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2B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2B8C"/>
    <w:pPr>
      <w:spacing w:before="160"/>
      <w:jc w:val="center"/>
    </w:pPr>
    <w:rPr>
      <w:i/>
      <w:iCs/>
      <w:color w:val="404040" w:themeColor="text1" w:themeTint="BF"/>
    </w:rPr>
  </w:style>
  <w:style w:type="character" w:customStyle="1" w:styleId="QuoteChar">
    <w:name w:val="Quote Char"/>
    <w:basedOn w:val="DefaultParagraphFont"/>
    <w:link w:val="Quote"/>
    <w:uiPriority w:val="29"/>
    <w:rsid w:val="002C2B8C"/>
    <w:rPr>
      <w:i/>
      <w:iCs/>
      <w:color w:val="404040" w:themeColor="text1" w:themeTint="BF"/>
    </w:rPr>
  </w:style>
  <w:style w:type="paragraph" w:styleId="ListParagraph">
    <w:name w:val="List Paragraph"/>
    <w:basedOn w:val="Normal"/>
    <w:uiPriority w:val="34"/>
    <w:qFormat/>
    <w:rsid w:val="002C2B8C"/>
    <w:pPr>
      <w:ind w:left="720"/>
      <w:contextualSpacing/>
    </w:pPr>
  </w:style>
  <w:style w:type="character" w:styleId="IntenseEmphasis">
    <w:name w:val="Intense Emphasis"/>
    <w:basedOn w:val="DefaultParagraphFont"/>
    <w:uiPriority w:val="21"/>
    <w:qFormat/>
    <w:rsid w:val="002C2B8C"/>
    <w:rPr>
      <w:i/>
      <w:iCs/>
      <w:color w:val="0F4761" w:themeColor="accent1" w:themeShade="BF"/>
    </w:rPr>
  </w:style>
  <w:style w:type="paragraph" w:styleId="IntenseQuote">
    <w:name w:val="Intense Quote"/>
    <w:basedOn w:val="Normal"/>
    <w:next w:val="Normal"/>
    <w:link w:val="IntenseQuoteChar"/>
    <w:uiPriority w:val="30"/>
    <w:qFormat/>
    <w:rsid w:val="002C2B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2B8C"/>
    <w:rPr>
      <w:i/>
      <w:iCs/>
      <w:color w:val="0F4761" w:themeColor="accent1" w:themeShade="BF"/>
    </w:rPr>
  </w:style>
  <w:style w:type="character" w:styleId="IntenseReference">
    <w:name w:val="Intense Reference"/>
    <w:basedOn w:val="DefaultParagraphFont"/>
    <w:uiPriority w:val="32"/>
    <w:qFormat/>
    <w:rsid w:val="002C2B8C"/>
    <w:rPr>
      <w:b/>
      <w:bCs/>
      <w:smallCaps/>
      <w:color w:val="0F4761" w:themeColor="accent1" w:themeShade="BF"/>
      <w:spacing w:val="5"/>
    </w:rPr>
  </w:style>
  <w:style w:type="paragraph" w:styleId="NormalWeb">
    <w:name w:val="Normal (Web)"/>
    <w:basedOn w:val="Normal"/>
    <w:uiPriority w:val="99"/>
    <w:unhideWhenUsed/>
    <w:rsid w:val="001379EA"/>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Caption">
    <w:name w:val="caption"/>
    <w:basedOn w:val="Normal"/>
    <w:next w:val="Normal"/>
    <w:uiPriority w:val="35"/>
    <w:unhideWhenUsed/>
    <w:qFormat/>
    <w:rsid w:val="009E35F8"/>
    <w:pPr>
      <w:spacing w:after="200" w:line="240" w:lineRule="auto"/>
    </w:pPr>
    <w:rPr>
      <w:i/>
      <w:iCs/>
      <w:color w:val="0E2841" w:themeColor="text2"/>
      <w:sz w:val="18"/>
      <w:szCs w:val="18"/>
    </w:rPr>
  </w:style>
  <w:style w:type="character" w:styleId="Hyperlink">
    <w:name w:val="Hyperlink"/>
    <w:basedOn w:val="DefaultParagraphFont"/>
    <w:uiPriority w:val="99"/>
    <w:unhideWhenUsed/>
    <w:rsid w:val="00D57E24"/>
    <w:rPr>
      <w:color w:val="467886" w:themeColor="hyperlink"/>
      <w:u w:val="single"/>
    </w:rPr>
  </w:style>
  <w:style w:type="character" w:styleId="CommentReference">
    <w:name w:val="annotation reference"/>
    <w:basedOn w:val="DefaultParagraphFont"/>
    <w:uiPriority w:val="99"/>
    <w:semiHidden/>
    <w:unhideWhenUsed/>
    <w:rsid w:val="00E40AA7"/>
    <w:rPr>
      <w:sz w:val="16"/>
      <w:szCs w:val="16"/>
    </w:rPr>
  </w:style>
  <w:style w:type="paragraph" w:styleId="CommentText">
    <w:name w:val="annotation text"/>
    <w:basedOn w:val="Normal"/>
    <w:link w:val="CommentTextChar"/>
    <w:uiPriority w:val="99"/>
    <w:unhideWhenUsed/>
    <w:rsid w:val="00E40AA7"/>
    <w:pPr>
      <w:spacing w:line="240" w:lineRule="auto"/>
    </w:pPr>
    <w:rPr>
      <w:sz w:val="20"/>
      <w:szCs w:val="20"/>
    </w:rPr>
  </w:style>
  <w:style w:type="character" w:customStyle="1" w:styleId="CommentTextChar">
    <w:name w:val="Comment Text Char"/>
    <w:basedOn w:val="DefaultParagraphFont"/>
    <w:link w:val="CommentText"/>
    <w:uiPriority w:val="99"/>
    <w:rsid w:val="00E40AA7"/>
    <w:rPr>
      <w:sz w:val="20"/>
      <w:szCs w:val="20"/>
    </w:rPr>
  </w:style>
  <w:style w:type="paragraph" w:styleId="CommentSubject">
    <w:name w:val="annotation subject"/>
    <w:basedOn w:val="CommentText"/>
    <w:next w:val="CommentText"/>
    <w:link w:val="CommentSubjectChar"/>
    <w:uiPriority w:val="99"/>
    <w:semiHidden/>
    <w:unhideWhenUsed/>
    <w:rsid w:val="00E40AA7"/>
    <w:rPr>
      <w:b/>
      <w:bCs/>
    </w:rPr>
  </w:style>
  <w:style w:type="character" w:customStyle="1" w:styleId="CommentSubjectChar">
    <w:name w:val="Comment Subject Char"/>
    <w:basedOn w:val="CommentTextChar"/>
    <w:link w:val="CommentSubject"/>
    <w:uiPriority w:val="99"/>
    <w:semiHidden/>
    <w:rsid w:val="00E40A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tiff"/><Relationship Id="rId1" Type="http://schemas.openxmlformats.org/officeDocument/2006/relationships/customXml" Target="../customXml/item1.xml"/><Relationship Id="rId6" Type="http://schemas.openxmlformats.org/officeDocument/2006/relationships/hyperlink" Target="mailto:krishna.53@osu.edu" TargetMode="External"/><Relationship Id="rId11" Type="http://schemas.openxmlformats.org/officeDocument/2006/relationships/image" Target="media/image5.tiff"/><Relationship Id="rId5" Type="http://schemas.openxmlformats.org/officeDocument/2006/relationships/webSettings" Target="webSettings.xml"/><Relationship Id="rId15" Type="http://schemas.openxmlformats.org/officeDocument/2006/relationships/image" Target="media/image9.tiff"/><Relationship Id="rId10" Type="http://schemas.openxmlformats.org/officeDocument/2006/relationships/image" Target="media/image4.tiff"/><Relationship Id="rId4" Type="http://schemas.openxmlformats.org/officeDocument/2006/relationships/settings" Target="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5F8DE-0448-45EB-BBA9-92D8B0F65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2095</Words>
  <Characters>11942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Muduli, Manisha</dc:creator>
  <cp:keywords/>
  <dc:description/>
  <cp:lastModifiedBy>Muduli, Manisha</cp:lastModifiedBy>
  <cp:revision>7</cp:revision>
  <dcterms:created xsi:type="dcterms:W3CDTF">2026-07-30T18:55:00Z</dcterms:created>
  <dcterms:modified xsi:type="dcterms:W3CDTF">2026-07-30T19:11:00Z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5f8caaf0-309c-40ad-9a10-0751a82dc357</vt:lpwstr>
  </property>
</Properties>
</file>