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A8EC7">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rPr>
        <w:t>Supplementary Material</w:t>
      </w:r>
    </w:p>
    <w:p w14:paraId="30892F21">
      <w:pPr>
        <w:spacing w:line="360" w:lineRule="auto"/>
        <w:rPr>
          <w:rFonts w:hint="default" w:ascii="Times New Roman" w:hAnsi="Times New Roman" w:cs="Times New Roman"/>
          <w:b/>
          <w:bCs/>
          <w:i w:val="0"/>
          <w:iCs w:val="0"/>
          <w:sz w:val="24"/>
        </w:rPr>
      </w:pPr>
    </w:p>
    <w:p w14:paraId="6AB697F4">
      <w:pPr>
        <w:spacing w:line="360" w:lineRule="auto"/>
        <w:rPr>
          <w:rFonts w:hint="default" w:ascii="Times New Roman" w:hAnsi="Times New Roman" w:cs="Times New Roman"/>
          <w:b/>
          <w:bCs/>
          <w:sz w:val="24"/>
          <w:lang w:val="en-US" w:eastAsia="zh-CN"/>
        </w:rPr>
      </w:pPr>
      <w:r>
        <w:rPr>
          <w:rFonts w:hint="default" w:ascii="Times New Roman" w:hAnsi="Times New Roman" w:cs="Times New Roman"/>
          <w:b/>
          <w:bCs/>
          <w:i w:val="0"/>
          <w:iCs w:val="0"/>
          <w:sz w:val="24"/>
        </w:rPr>
        <w:t>Ellagitannin corilagin targets V-ATPase B2 to restore lysosomal Ca²⁺-AMPK metabolic axis and suppress microglia-driven neuroinflammation</w:t>
      </w:r>
      <w:r>
        <w:rPr>
          <w:rFonts w:hint="default" w:ascii="Times New Roman" w:hAnsi="Times New Roman" w:cs="Times New Roman"/>
          <w:b/>
          <w:bCs/>
          <w:sz w:val="24"/>
          <w:lang w:val="en-US" w:eastAsia="zh-CN"/>
        </w:rPr>
        <w:t xml:space="preserve"> in aging mice</w:t>
      </w:r>
    </w:p>
    <w:p w14:paraId="74017141">
      <w:pPr>
        <w:spacing w:line="360" w:lineRule="auto"/>
        <w:rPr>
          <w:rFonts w:hint="default" w:ascii="Times New Roman" w:hAnsi="Times New Roman" w:cs="Times New Roman" w:eastAsiaTheme="minorEastAsia"/>
          <w:sz w:val="24"/>
          <w:lang w:val="en-US" w:eastAsia="zh-CN"/>
        </w:rPr>
      </w:pPr>
    </w:p>
    <w:p w14:paraId="0C341A44">
      <w:pPr>
        <w:spacing w:line="360" w:lineRule="auto"/>
        <w:jc w:val="left"/>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Chenxi Yue</w:t>
      </w:r>
      <w:r>
        <w:rPr>
          <w:rFonts w:hint="eastAsia" w:ascii="Times New Roman" w:hAnsi="Times New Roman" w:cs="Times New Roman"/>
          <w:sz w:val="24"/>
          <w:highlight w:val="none"/>
          <w:vertAlign w:val="superscript"/>
          <w:lang w:val="en-US" w:eastAsia="zh-CN"/>
        </w:rPr>
        <w:t>1,2</w:t>
      </w:r>
      <w:r>
        <w:rPr>
          <w:rFonts w:hint="default" w:ascii="Times New Roman" w:hAnsi="Times New Roman" w:cs="Times New Roman"/>
          <w:sz w:val="24"/>
          <w:highlight w:val="none"/>
          <w:lang w:val="en-US" w:eastAsia="zh-CN"/>
        </w:rPr>
        <w:t>, Ruixiang Li</w:t>
      </w:r>
      <w:r>
        <w:rPr>
          <w:rFonts w:hint="eastAsia" w:ascii="Times New Roman" w:hAnsi="Times New Roman" w:cs="Times New Roman"/>
          <w:sz w:val="24"/>
          <w:highlight w:val="none"/>
          <w:vertAlign w:val="superscript"/>
          <w:lang w:val="en-US" w:eastAsia="zh-CN"/>
        </w:rPr>
        <w:t>1,3</w:t>
      </w:r>
      <w:r>
        <w:rPr>
          <w:rFonts w:hint="default" w:ascii="Times New Roman" w:hAnsi="Times New Roman" w:cs="Times New Roman"/>
          <w:sz w:val="24"/>
          <w:highlight w:val="none"/>
          <w:lang w:val="en-US" w:eastAsia="zh-CN"/>
        </w:rPr>
        <w:t xml:space="preserve">, </w:t>
      </w:r>
      <w:r>
        <w:rPr>
          <w:rFonts w:hint="eastAsia" w:ascii="Times New Roman" w:hAnsi="Times New Roman" w:cs="Times New Roman"/>
          <w:sz w:val="24"/>
          <w:highlight w:val="none"/>
          <w:lang w:val="en-US" w:eastAsia="zh-CN"/>
        </w:rPr>
        <w:t>Zhang Sang</w:t>
      </w:r>
      <w:r>
        <w:rPr>
          <w:rFonts w:hint="eastAsia" w:ascii="Times New Roman" w:hAnsi="Times New Roman" w:cs="Times New Roman"/>
          <w:sz w:val="24"/>
          <w:highlight w:val="none"/>
          <w:vertAlign w:val="superscript"/>
          <w:lang w:val="en-US" w:eastAsia="zh-CN"/>
        </w:rPr>
        <w:t>1</w:t>
      </w:r>
      <w:r>
        <w:rPr>
          <w:rFonts w:hint="eastAsia" w:ascii="Times New Roman" w:hAnsi="Times New Roman" w:cs="Times New Roman"/>
          <w:sz w:val="24"/>
          <w:highlight w:val="none"/>
          <w:lang w:val="en-US" w:eastAsia="zh-CN"/>
        </w:rPr>
        <w:t>, Jiexin Lei</w:t>
      </w:r>
      <w:r>
        <w:rPr>
          <w:rFonts w:hint="eastAsia" w:ascii="Times New Roman" w:hAnsi="Times New Roman" w:cs="Times New Roman"/>
          <w:sz w:val="24"/>
          <w:highlight w:val="none"/>
          <w:vertAlign w:val="superscript"/>
          <w:lang w:val="en-US" w:eastAsia="zh-CN"/>
        </w:rPr>
        <w:t>4</w:t>
      </w:r>
      <w:r>
        <w:rPr>
          <w:rFonts w:hint="eastAsia" w:ascii="Times New Roman" w:hAnsi="Times New Roman" w:cs="Times New Roman"/>
          <w:sz w:val="24"/>
          <w:highlight w:val="none"/>
          <w:lang w:val="en-US" w:eastAsia="zh-CN"/>
        </w:rPr>
        <w:t>, Fuchao Chen</w:t>
      </w:r>
      <w:r>
        <w:rPr>
          <w:rFonts w:hint="eastAsia" w:ascii="Times New Roman" w:hAnsi="Times New Roman" w:cs="Times New Roman"/>
          <w:sz w:val="24"/>
          <w:highlight w:val="none"/>
          <w:vertAlign w:val="superscript"/>
          <w:lang w:val="en-US" w:eastAsia="zh-CN"/>
        </w:rPr>
        <w:t>5</w:t>
      </w:r>
      <w:r>
        <w:rPr>
          <w:rFonts w:hint="eastAsia" w:ascii="Times New Roman" w:hAnsi="Times New Roman" w:cs="Times New Roman"/>
          <w:sz w:val="24"/>
          <w:highlight w:val="none"/>
          <w:lang w:val="en-US" w:eastAsia="zh-CN"/>
        </w:rPr>
        <w:t>, Benhong Zhou</w:t>
      </w:r>
      <w:r>
        <w:rPr>
          <w:rFonts w:hint="eastAsia" w:ascii="Times New Roman" w:hAnsi="Times New Roman" w:cs="Times New Roman"/>
          <w:sz w:val="24"/>
          <w:highlight w:val="none"/>
          <w:vertAlign w:val="superscript"/>
          <w:lang w:val="en-US" w:eastAsia="zh-CN"/>
        </w:rPr>
        <w:t>1</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Peng Chen</w:t>
      </w:r>
      <w:r>
        <w:rPr>
          <w:rFonts w:hint="eastAsia" w:ascii="Times New Roman" w:hAnsi="Times New Roman" w:cs="Times New Roman"/>
          <w:sz w:val="24"/>
          <w:highlight w:val="none"/>
          <w:vertAlign w:val="superscript"/>
          <w:lang w:val="en-US" w:eastAsia="zh-CN"/>
        </w:rPr>
        <w:t>1,2</w:t>
      </w:r>
    </w:p>
    <w:p w14:paraId="39B8ECF9">
      <w:pPr>
        <w:spacing w:line="360" w:lineRule="auto"/>
        <w:jc w:val="left"/>
        <w:rPr>
          <w:rFonts w:hint="default" w:ascii="Times New Roman" w:hAnsi="Times New Roman" w:cs="Times New Roman"/>
          <w:sz w:val="24"/>
          <w:highlight w:val="none"/>
          <w:lang w:val="en-US" w:eastAsia="zh-CN"/>
        </w:rPr>
      </w:pPr>
    </w:p>
    <w:p w14:paraId="0FF4377E">
      <w:pPr>
        <w:numPr>
          <w:ilvl w:val="0"/>
          <w:numId w:val="1"/>
        </w:numPr>
        <w:spacing w:line="360" w:lineRule="auto"/>
        <w:jc w:val="left"/>
        <w:rPr>
          <w:rFonts w:hint="default" w:ascii="Times New Roman" w:hAnsi="Times New Roman" w:cs="Times New Roman"/>
          <w:sz w:val="24"/>
          <w:highlight w:val="none"/>
          <w:lang w:val="en-GB" w:eastAsia="zh-CN"/>
        </w:rPr>
      </w:pPr>
      <w:r>
        <w:rPr>
          <w:rFonts w:hint="default" w:ascii="Times New Roman" w:hAnsi="Times New Roman" w:cs="Times New Roman"/>
          <w:sz w:val="24"/>
          <w:highlight w:val="none"/>
          <w:lang w:val="en-US" w:eastAsia="zh-CN"/>
        </w:rPr>
        <w:t>Department of Pharmacy, Renmin Hospital of Wuhan University, Wuhan, Hubei</w:t>
      </w:r>
      <w:r>
        <w:rPr>
          <w:rFonts w:hint="default" w:ascii="Times New Roman" w:hAnsi="Times New Roman" w:cs="Times New Roman"/>
          <w:sz w:val="24"/>
          <w:highlight w:val="none"/>
          <w:lang w:val="en-GB" w:eastAsia="zh-CN"/>
        </w:rPr>
        <w:t>, 430060, P. R. China</w:t>
      </w:r>
    </w:p>
    <w:p w14:paraId="49A82698">
      <w:pPr>
        <w:numPr>
          <w:ilvl w:val="0"/>
          <w:numId w:val="1"/>
        </w:numPr>
        <w:spacing w:line="360" w:lineRule="auto"/>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Wuhan University School of Pharmaceutical Sciences</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Wuhan, Hubei</w:t>
      </w:r>
      <w:r>
        <w:rPr>
          <w:rFonts w:hint="default" w:ascii="Times New Roman" w:hAnsi="Times New Roman" w:cs="Times New Roman"/>
          <w:sz w:val="24"/>
          <w:highlight w:val="none"/>
          <w:lang w:val="en-GB" w:eastAsia="zh-CN"/>
        </w:rPr>
        <w:t>, 4300</w:t>
      </w:r>
      <w:r>
        <w:rPr>
          <w:rFonts w:hint="eastAsia" w:ascii="Times New Roman" w:hAnsi="Times New Roman" w:cs="Times New Roman"/>
          <w:sz w:val="24"/>
          <w:highlight w:val="none"/>
          <w:lang w:val="en-US" w:eastAsia="zh-CN"/>
        </w:rPr>
        <w:t>71</w:t>
      </w:r>
      <w:r>
        <w:rPr>
          <w:rFonts w:hint="default" w:ascii="Times New Roman" w:hAnsi="Times New Roman" w:cs="Times New Roman"/>
          <w:sz w:val="24"/>
          <w:highlight w:val="none"/>
          <w:lang w:val="en-GB" w:eastAsia="zh-CN"/>
        </w:rPr>
        <w:t>, P. R. China</w:t>
      </w:r>
      <w:r>
        <w:rPr>
          <w:rFonts w:hint="default" w:ascii="Times New Roman" w:hAnsi="Times New Roman" w:cs="Times New Roman" w:eastAsiaTheme="minorEastAsia"/>
          <w:sz w:val="24"/>
          <w:highlight w:val="none"/>
          <w:lang w:val="en-US" w:eastAsia="zh-CN"/>
        </w:rPr>
        <w:t xml:space="preserve"> </w:t>
      </w:r>
    </w:p>
    <w:p w14:paraId="411F92BF">
      <w:pPr>
        <w:numPr>
          <w:ilvl w:val="0"/>
          <w:numId w:val="1"/>
        </w:numPr>
        <w:spacing w:line="360" w:lineRule="auto"/>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Hubei University of Chinese Medicine School of Pharmacy</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Wuhan, Hubei</w:t>
      </w:r>
      <w:r>
        <w:rPr>
          <w:rFonts w:hint="default" w:ascii="Times New Roman" w:hAnsi="Times New Roman" w:cs="Times New Roman"/>
          <w:sz w:val="24"/>
          <w:highlight w:val="none"/>
          <w:lang w:val="en-GB" w:eastAsia="zh-CN"/>
        </w:rPr>
        <w:t>, 4300</w:t>
      </w:r>
      <w:r>
        <w:rPr>
          <w:rFonts w:hint="eastAsia" w:ascii="Times New Roman" w:hAnsi="Times New Roman" w:cs="Times New Roman"/>
          <w:sz w:val="24"/>
          <w:highlight w:val="none"/>
          <w:lang w:val="en-US" w:eastAsia="zh-CN"/>
        </w:rPr>
        <w:t>72</w:t>
      </w:r>
      <w:r>
        <w:rPr>
          <w:rFonts w:hint="default" w:ascii="Times New Roman" w:hAnsi="Times New Roman" w:cs="Times New Roman"/>
          <w:sz w:val="24"/>
          <w:highlight w:val="none"/>
          <w:lang w:val="en-GB" w:eastAsia="zh-CN"/>
        </w:rPr>
        <w:t>, P. R. China</w:t>
      </w:r>
    </w:p>
    <w:p w14:paraId="1C0F3081">
      <w:pPr>
        <w:spacing w:line="360" w:lineRule="auto"/>
        <w:rPr>
          <w:rFonts w:hint="default" w:ascii="Times New Roman" w:hAnsi="Times New Roman" w:cs="Times New Roman"/>
          <w:sz w:val="24"/>
          <w:highlight w:val="none"/>
          <w:lang w:val="en-GB"/>
        </w:rPr>
      </w:pPr>
      <w:r>
        <w:rPr>
          <w:rFonts w:hint="eastAsia" w:ascii="Times New Roman" w:hAnsi="Times New Roman" w:cs="Times New Roman"/>
          <w:sz w:val="24"/>
          <w:highlight w:val="none"/>
          <w:lang w:val="en-US" w:eastAsia="zh-CN"/>
        </w:rPr>
        <w:t>4</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lang w:val="en-GB"/>
        </w:rPr>
        <w:t>Department of Endocrinology, Renmin Hospital of Wuhan University, Wuhan,</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lang w:val="en-GB"/>
        </w:rPr>
        <w:t>Hubei, 430060, P. R. China</w:t>
      </w:r>
    </w:p>
    <w:p w14:paraId="43DC3BA3">
      <w:pPr>
        <w:spacing w:line="360" w:lineRule="auto"/>
        <w:rPr>
          <w:rFonts w:hint="default" w:ascii="Times New Roman" w:hAnsi="Times New Roman" w:eastAsia="宋体" w:cs="Times New Roman"/>
          <w:sz w:val="24"/>
          <w:highlight w:val="none"/>
        </w:rPr>
      </w:pPr>
      <w:r>
        <w:rPr>
          <w:rFonts w:hint="eastAsia" w:ascii="Times New Roman" w:hAnsi="Times New Roman" w:cs="Times New Roman"/>
          <w:sz w:val="24"/>
          <w:highlight w:val="none"/>
          <w:lang w:val="en-US" w:eastAsia="zh-CN"/>
        </w:rPr>
        <w:t>5</w:t>
      </w:r>
      <w:r>
        <w:rPr>
          <w:rFonts w:hint="default" w:ascii="Times New Roman" w:hAnsi="Times New Roman" w:cs="Times New Roman"/>
          <w:sz w:val="24"/>
          <w:highlight w:val="none"/>
        </w:rPr>
        <w:t>. Sinopharm Dongfeng General Hospital, Hubei University of Medicine, Shiyan, Hubei, 442001</w:t>
      </w:r>
      <w:r>
        <w:rPr>
          <w:rFonts w:hint="default" w:ascii="Times New Roman" w:hAnsi="Times New Roman" w:cs="Times New Roman"/>
          <w:sz w:val="24"/>
          <w:highlight w:val="none"/>
          <w:lang w:val="en-GB"/>
        </w:rPr>
        <w:t>, P. R.</w:t>
      </w:r>
      <w:r>
        <w:rPr>
          <w:rFonts w:hint="default" w:ascii="Times New Roman" w:hAnsi="Times New Roman" w:cs="Times New Roman"/>
          <w:sz w:val="24"/>
          <w:highlight w:val="none"/>
        </w:rPr>
        <w:t xml:space="preserve"> China.</w:t>
      </w:r>
    </w:p>
    <w:p w14:paraId="6DEFCF44">
      <w:pPr>
        <w:spacing w:line="360" w:lineRule="auto"/>
        <w:jc w:val="left"/>
        <w:rPr>
          <w:rFonts w:hint="default" w:ascii="Times New Roman" w:hAnsi="Times New Roman" w:cs="Times New Roman"/>
          <w:sz w:val="24"/>
          <w:highlight w:val="none"/>
        </w:rPr>
      </w:pPr>
    </w:p>
    <w:p w14:paraId="11095F07">
      <w:pPr>
        <w:spacing w:line="360" w:lineRule="auto"/>
        <w:rPr>
          <w:rFonts w:hint="default" w:ascii="Times New Roman" w:hAnsi="Times New Roman" w:cs="Times New Roman"/>
          <w:sz w:val="24"/>
          <w:highlight w:val="none"/>
          <w:lang w:val="en-GB"/>
        </w:rPr>
      </w:pPr>
    </w:p>
    <w:p w14:paraId="366DE135">
      <w:pPr>
        <w:spacing w:line="360" w:lineRule="auto"/>
        <w:rPr>
          <w:rFonts w:hint="default" w:ascii="Times New Roman" w:hAnsi="Times New Roman" w:cs="Times New Roman"/>
          <w:sz w:val="24"/>
          <w:highlight w:val="none"/>
          <w:lang w:val="en-GB"/>
        </w:rPr>
      </w:pPr>
    </w:p>
    <w:p w14:paraId="04E3417A">
      <w:pPr>
        <w:spacing w:line="360" w:lineRule="auto"/>
        <w:rPr>
          <w:rFonts w:hint="default" w:ascii="Times New Roman" w:hAnsi="Times New Roman" w:cs="Times New Roman"/>
          <w:sz w:val="24"/>
          <w:highlight w:val="none"/>
          <w:lang w:val="en-GB"/>
        </w:rPr>
      </w:pPr>
    </w:p>
    <w:p w14:paraId="7D97FF1A">
      <w:pPr>
        <w:spacing w:line="360" w:lineRule="auto"/>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b/>
          <w:bCs/>
          <w:sz w:val="24"/>
          <w:highlight w:val="none"/>
        </w:rPr>
        <w:t>Correspondence</w:t>
      </w:r>
      <w:r>
        <w:rPr>
          <w:rFonts w:hint="default" w:ascii="Times New Roman" w:hAnsi="Times New Roman" w:cs="Times New Roman"/>
          <w:sz w:val="24"/>
          <w:highlight w:val="none"/>
        </w:rPr>
        <w:t xml:space="preserve">: </w:t>
      </w:r>
      <w:r>
        <w:rPr>
          <w:rFonts w:hint="eastAsia" w:ascii="Times New Roman" w:hAnsi="Times New Roman" w:cs="Times New Roman"/>
          <w:sz w:val="24"/>
          <w:highlight w:val="none"/>
          <w:lang w:val="en-US" w:eastAsia="zh-CN"/>
        </w:rPr>
        <w:t>Chen Peng</w:t>
      </w:r>
    </w:p>
    <w:p w14:paraId="66B7C080">
      <w:pPr>
        <w:spacing w:line="360" w:lineRule="auto"/>
        <w:jc w:val="left"/>
        <w:rPr>
          <w:rFonts w:hint="default" w:ascii="Times New Roman" w:hAnsi="Times New Roman" w:cs="Times New Roman"/>
          <w:b/>
          <w:bCs/>
          <w:sz w:val="24"/>
          <w:highlight w:val="none"/>
        </w:rPr>
      </w:pPr>
      <w:r>
        <w:rPr>
          <w:rFonts w:hint="default" w:ascii="Times New Roman" w:hAnsi="Times New Roman" w:cs="Times New Roman"/>
          <w:sz w:val="24"/>
          <w:highlight w:val="none"/>
          <w:lang w:val="en-US" w:eastAsia="zh-CN"/>
        </w:rPr>
        <w:t>Department of Pharmacy, Renmin Hospital of Wuhan University, Wuhan, Hubei</w:t>
      </w:r>
      <w:r>
        <w:rPr>
          <w:rFonts w:hint="default" w:ascii="Times New Roman" w:hAnsi="Times New Roman" w:cs="Times New Roman"/>
          <w:sz w:val="24"/>
          <w:highlight w:val="none"/>
          <w:lang w:val="en-GB" w:eastAsia="zh-CN"/>
        </w:rPr>
        <w:t>, 430060, P. R. China</w:t>
      </w:r>
      <w:r>
        <w:rPr>
          <w:rFonts w:hint="default" w:ascii="Times New Roman" w:hAnsi="Times New Roman" w:cs="Times New Roman"/>
          <w:sz w:val="24"/>
          <w:highlight w:val="none"/>
        </w:rPr>
        <w:t xml:space="preserve">. Tel </w:t>
      </w:r>
      <w:r>
        <w:rPr>
          <w:rFonts w:hint="eastAsia" w:ascii="Times New Roman" w:hAnsi="Times New Roman" w:cs="Times New Roman"/>
          <w:sz w:val="24"/>
          <w:highlight w:val="none"/>
          <w:lang w:val="en-US" w:eastAsia="zh-CN"/>
        </w:rPr>
        <w:t>18271851543</w:t>
      </w:r>
      <w:r>
        <w:rPr>
          <w:rFonts w:hint="default" w:ascii="Times New Roman" w:hAnsi="Times New Roman" w:cs="Times New Roman"/>
          <w:sz w:val="24"/>
          <w:highlight w:val="none"/>
        </w:rPr>
        <w:t xml:space="preserve">; Email </w:t>
      </w:r>
      <w:r>
        <w:rPr>
          <w:rFonts w:hint="eastAsia" w:ascii="Times New Roman" w:hAnsi="Times New Roman" w:cs="Times New Roman"/>
          <w:sz w:val="24"/>
          <w:highlight w:val="none"/>
          <w:lang w:val="en-US" w:eastAsia="zh-CN"/>
        </w:rPr>
        <w:t>2282968908@qq.com</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"mailto:benhongzh@whu.edu.cn;" </w:instrText>
      </w:r>
      <w:r>
        <w:rPr>
          <w:rFonts w:hint="default" w:ascii="Times New Roman" w:hAnsi="Times New Roman" w:cs="Times New Roman"/>
          <w:highlight w:val="none"/>
        </w:rPr>
        <w:fldChar w:fldCharType="separate"/>
      </w:r>
      <w:r>
        <w:rPr>
          <w:rFonts w:hint="default" w:ascii="Times New Roman" w:hAnsi="Times New Roman" w:cs="Times New Roman"/>
          <w:sz w:val="24"/>
          <w:highlight w:val="none"/>
        </w:rPr>
        <w:t>;</w:t>
      </w:r>
      <w:r>
        <w:rPr>
          <w:rFonts w:hint="default" w:ascii="Times New Roman" w:hAnsi="Times New Roman" w:cs="Times New Roman"/>
          <w:sz w:val="24"/>
          <w:highlight w:val="none"/>
        </w:rPr>
        <w:fldChar w:fldCharType="end"/>
      </w:r>
    </w:p>
    <w:p w14:paraId="786C7602">
      <w:pPr>
        <w:spacing w:line="360" w:lineRule="auto"/>
        <w:rPr>
          <w:rFonts w:hint="default" w:ascii="Times New Roman" w:hAnsi="Times New Roman" w:cs="Times New Roman"/>
          <w:b/>
          <w:bCs/>
          <w:sz w:val="24"/>
        </w:rPr>
      </w:pPr>
    </w:p>
    <w:p w14:paraId="1DFAE337">
      <w:pPr>
        <w:spacing w:line="360" w:lineRule="auto"/>
        <w:rPr>
          <w:rFonts w:hint="default" w:ascii="Times New Roman" w:hAnsi="Times New Roman" w:cs="Times New Roman"/>
          <w:b/>
          <w:bCs/>
          <w:sz w:val="24"/>
        </w:rPr>
      </w:pPr>
    </w:p>
    <w:p w14:paraId="12E00B89">
      <w:pPr>
        <w:spacing w:line="360" w:lineRule="auto"/>
        <w:rPr>
          <w:rFonts w:hint="default" w:ascii="Times New Roman" w:hAnsi="Times New Roman" w:cs="Times New Roman"/>
          <w:b/>
          <w:bCs/>
          <w:sz w:val="24"/>
        </w:rPr>
      </w:pPr>
    </w:p>
    <w:p w14:paraId="24ECF07D">
      <w:pPr>
        <w:spacing w:line="360" w:lineRule="auto"/>
        <w:rPr>
          <w:rFonts w:hint="default" w:ascii="Times New Roman" w:hAnsi="Times New Roman" w:cs="Times New Roman"/>
          <w:b/>
          <w:bCs/>
          <w:sz w:val="24"/>
        </w:rPr>
      </w:pPr>
    </w:p>
    <w:p w14:paraId="1F69C3B3">
      <w:pPr>
        <w:spacing w:line="360" w:lineRule="auto"/>
        <w:rPr>
          <w:rFonts w:ascii="Times New Roman" w:hAnsi="Times New Roman" w:cs="Times New Roman"/>
          <w:b/>
          <w:bCs/>
          <w:sz w:val="24"/>
        </w:rPr>
      </w:pPr>
      <w:r>
        <w:rPr>
          <w:rFonts w:ascii="Times New Roman" w:hAnsi="Times New Roman" w:eastAsia="TimesNewRomanPS-BoldMT" w:cs="Times New Roman"/>
          <w:b/>
          <w:bCs/>
          <w:sz w:val="24"/>
          <w:lang w:bidi="ar"/>
        </w:rPr>
        <w:t>CONTENT:</w:t>
      </w:r>
    </w:p>
    <w:p w14:paraId="1C9A253B">
      <w:pPr>
        <w:spacing w:line="360" w:lineRule="auto"/>
        <w:rPr>
          <w:rFonts w:ascii="Times New Roman" w:hAnsi="Times New Roman" w:eastAsia="宋体" w:cs="Times New Roman"/>
          <w:b/>
          <w:bCs/>
          <w:sz w:val="24"/>
          <w:lang w:bidi="ar"/>
        </w:rPr>
      </w:pPr>
      <w:r>
        <w:rPr>
          <w:rFonts w:ascii="Times New Roman" w:hAnsi="Times New Roman" w:eastAsia="宋体" w:cs="Times New Roman"/>
          <w:b/>
          <w:bCs/>
          <w:sz w:val="24"/>
          <w:lang w:bidi="ar"/>
        </w:rPr>
        <w:t>Experimental section</w:t>
      </w:r>
    </w:p>
    <w:p w14:paraId="258C228E">
      <w:pPr>
        <w:autoSpaceDE w:val="0"/>
        <w:autoSpaceDN w:val="0"/>
        <w:adjustRightInd w:val="0"/>
        <w:spacing w:line="360" w:lineRule="auto"/>
        <w:rPr>
          <w:rFonts w:hint="default" w:ascii="Times New Roman" w:hAnsi="Times New Roman" w:cs="Times New Roman"/>
          <w:color w:val="000000"/>
          <w:sz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val="0"/>
          <w:sz w:val="24"/>
          <w:lang w:val="en-US" w:eastAsia="zh-CN"/>
        </w:rPr>
        <w:t>Figure S1.</w:t>
      </w:r>
      <w:r>
        <w:rPr>
          <w:rFonts w:hint="eastAsia" w:ascii="Times New Roman" w:hAnsi="Times New Roman" w:cs="Times New Roman"/>
          <w:b w:val="0"/>
          <w:bCs/>
          <w:sz w:val="24"/>
          <w:lang w:val="en-US" w:eastAsia="zh-CN"/>
        </w:rPr>
        <w:t xml:space="preserve"> </w:t>
      </w:r>
      <w:r>
        <w:rPr>
          <w:rFonts w:hint="default" w:ascii="Times New Roman" w:hAnsi="Times New Roman" w:cs="Times New Roman"/>
          <w:b w:val="0"/>
          <w:bCs/>
          <w:sz w:val="24"/>
        </w:rPr>
        <w:t>CORG protective effects against D-gal-induced neuroinflammation in BV</w:t>
      </w:r>
      <w:r>
        <w:rPr>
          <w:rFonts w:hint="eastAsia" w:ascii="Times New Roman" w:hAnsi="Times New Roman" w:cs="Times New Roman"/>
          <w:b w:val="0"/>
          <w:bCs/>
          <w:sz w:val="24"/>
          <w:lang w:val="en-US" w:eastAsia="zh-CN"/>
        </w:rPr>
        <w:t>-</w:t>
      </w:r>
      <w:r>
        <w:rPr>
          <w:rFonts w:hint="default" w:ascii="Times New Roman" w:hAnsi="Times New Roman" w:cs="Times New Roman"/>
          <w:b w:val="0"/>
          <w:bCs/>
          <w:sz w:val="24"/>
        </w:rPr>
        <w:t>2 cells.</w:t>
      </w:r>
    </w:p>
    <w:p w14:paraId="775B3053">
      <w:pPr>
        <w:autoSpaceDE w:val="0"/>
        <w:autoSpaceDN w:val="0"/>
        <w:adjustRightInd w:val="0"/>
        <w:spacing w:line="360" w:lineRule="auto"/>
        <w:rPr>
          <w:rFonts w:hint="default" w:ascii="Times New Roman" w:hAnsi="Times New Roman" w:eastAsia="宋体" w:cs="Times New Roman"/>
          <w:sz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default" w:ascii="Times New Roman" w:hAnsi="Times New Roman" w:cs="Times New Roman"/>
          <w:b/>
          <w:sz w:val="24"/>
        </w:rPr>
        <w:t xml:space="preserve">Figure </w:t>
      </w:r>
      <w:r>
        <w:rPr>
          <w:rFonts w:hint="eastAsia" w:ascii="Times New Roman" w:hAnsi="Times New Roman" w:cs="Times New Roman"/>
          <w:b/>
          <w:sz w:val="24"/>
          <w:lang w:val="en-US" w:eastAsia="zh-CN"/>
        </w:rPr>
        <w:t>S2</w:t>
      </w:r>
      <w:r>
        <w:rPr>
          <w:rFonts w:hint="default" w:ascii="Times New Roman" w:hAnsi="Times New Roman" w:cs="Times New Roman"/>
          <w:b/>
          <w:sz w:val="24"/>
        </w:rPr>
        <w:t xml:space="preserve">. </w:t>
      </w:r>
      <w:r>
        <w:rPr>
          <w:rFonts w:hint="default" w:ascii="Times New Roman" w:hAnsi="Times New Roman" w:cs="Times New Roman"/>
          <w:b w:val="0"/>
          <w:bCs/>
          <w:sz w:val="24"/>
        </w:rPr>
        <w:t>CORG</w:t>
      </w:r>
      <w:r>
        <w:rPr>
          <w:rFonts w:hint="default" w:ascii="Times New Roman" w:hAnsi="Times New Roman" w:cs="Times New Roman"/>
          <w:b w:val="0"/>
          <w:bCs/>
          <w:color w:val="000000"/>
          <w:sz w:val="24"/>
        </w:rPr>
        <w:t xml:space="preserve"> protective effects against MCM-induced primary cortical neuron damage. </w:t>
      </w:r>
    </w:p>
    <w:p w14:paraId="062CDD5E">
      <w:pPr>
        <w:autoSpaceDE w:val="0"/>
        <w:autoSpaceDN w:val="0"/>
        <w:adjustRightInd w:val="0"/>
        <w:spacing w:line="360" w:lineRule="auto"/>
        <w:rPr>
          <w:rFonts w:hint="eastAsia" w:ascii="Times New Roman" w:hAnsi="Times New Roman" w:eastAsia="宋体" w:cs="Times New Roman"/>
          <w:color w:val="000000"/>
          <w:sz w:val="24"/>
          <w:lang w:val="en-US" w:eastAsia="zh-CN"/>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eastAsia="宋体" w:cs="Times New Roman"/>
          <w:b/>
          <w:bCs/>
          <w:sz w:val="24"/>
          <w:szCs w:val="24"/>
          <w:lang w:val="en-US" w:eastAsia="zh-CN"/>
        </w:rPr>
        <w:t>Figure S3.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b w:val="0"/>
          <w:bCs w:val="0"/>
          <w:sz w:val="24"/>
          <w:szCs w:val="24"/>
          <w:lang w:val="en-US" w:eastAsia="zh-CN"/>
        </w:rPr>
        <w:t>Protective effect of CORG on D-gal-induced mitochondrial damage in BV-2 cells.</w:t>
      </w:r>
    </w:p>
    <w:p w14:paraId="1E700401">
      <w:pPr>
        <w:autoSpaceDE w:val="0"/>
        <w:autoSpaceDN w:val="0"/>
        <w:adjustRightInd w:val="0"/>
        <w:spacing w:line="360" w:lineRule="auto"/>
        <w:rPr>
          <w:rFonts w:hint="default" w:ascii="Times New Roman" w:hAnsi="Times New Roman" w:cs="Times New Roman"/>
          <w:sz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color w:val="000000"/>
          <w:sz w:val="24"/>
          <w:lang w:val="en-US" w:eastAsia="zh-CN"/>
        </w:rPr>
        <w:t>Figure S4.</w:t>
      </w:r>
      <w:r>
        <w:rPr>
          <w:rFonts w:hint="eastAsia" w:ascii="Times New Roman" w:hAnsi="Times New Roman" w:cs="Times New Roman"/>
          <w:b w:val="0"/>
          <w:bCs w:val="0"/>
          <w:color w:val="000000"/>
          <w:sz w:val="24"/>
          <w:lang w:val="en-US" w:eastAsia="zh-CN"/>
        </w:rPr>
        <w:t xml:space="preserve"> CORG can cross BBB and improve </w:t>
      </w:r>
      <w:r>
        <w:rPr>
          <w:rFonts w:hint="default" w:ascii="Times New Roman" w:hAnsi="Times New Roman" w:cs="Times New Roman"/>
          <w:b w:val="0"/>
          <w:bCs w:val="0"/>
          <w:sz w:val="24"/>
        </w:rPr>
        <w:t>general appearance</w:t>
      </w:r>
      <w:r>
        <w:rPr>
          <w:rFonts w:hint="eastAsia" w:ascii="Times New Roman" w:hAnsi="Times New Roman" w:cs="Times New Roman"/>
          <w:b w:val="0"/>
          <w:bCs w:val="0"/>
          <w:sz w:val="24"/>
          <w:lang w:val="en-US" w:eastAsia="zh-CN"/>
        </w:rPr>
        <w:t xml:space="preserve"> in D-gal-induced aging mice.</w:t>
      </w:r>
    </w:p>
    <w:p w14:paraId="5D06DC6D">
      <w:pPr>
        <w:spacing w:line="360" w:lineRule="auto"/>
        <w:rPr>
          <w:rFonts w:hint="default" w:ascii="Times New Roman" w:hAnsi="Times New Roman" w:eastAsia="宋体" w:cs="Times New Roman"/>
          <w:sz w:val="24"/>
          <w:szCs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color w:val="000000"/>
          <w:sz w:val="24"/>
          <w:lang w:val="en-US" w:eastAsia="zh-CN"/>
        </w:rPr>
        <w:t xml:space="preserve">Figure S5. </w:t>
      </w:r>
      <w:r>
        <w:rPr>
          <w:rFonts w:hint="default" w:ascii="Times New Roman" w:hAnsi="Times New Roman" w:cs="Times New Roman"/>
          <w:b w:val="0"/>
          <w:bCs/>
          <w:sz w:val="24"/>
        </w:rPr>
        <w:t xml:space="preserve">CORG protective effects against D-gal-induced </w:t>
      </w:r>
      <w:r>
        <w:rPr>
          <w:rFonts w:hint="eastAsia" w:ascii="Times New Roman" w:hAnsi="Times New Roman" w:cs="Times New Roman"/>
          <w:b w:val="0"/>
          <w:bCs/>
          <w:sz w:val="24"/>
          <w:lang w:val="en-US" w:eastAsia="zh-CN"/>
        </w:rPr>
        <w:t>h</w:t>
      </w:r>
      <w:r>
        <w:rPr>
          <w:rFonts w:hint="default" w:ascii="Times New Roman" w:hAnsi="Times New Roman" w:cs="Times New Roman"/>
          <w:b w:val="0"/>
          <w:bCs/>
          <w:sz w:val="24"/>
        </w:rPr>
        <w:t>ippocampal pathological damage</w:t>
      </w:r>
      <w:r>
        <w:rPr>
          <w:rFonts w:hint="eastAsia" w:ascii="Times New Roman" w:hAnsi="Times New Roman" w:cs="Times New Roman"/>
          <w:b w:val="0"/>
          <w:bCs/>
          <w:sz w:val="24"/>
          <w:lang w:val="en-US" w:eastAsia="zh-CN"/>
        </w:rPr>
        <w:t xml:space="preserve">. </w:t>
      </w:r>
    </w:p>
    <w:p w14:paraId="6B416D12">
      <w:pPr>
        <w:autoSpaceDE w:val="0"/>
        <w:autoSpaceDN w:val="0"/>
        <w:adjustRightInd w:val="0"/>
        <w:spacing w:line="360" w:lineRule="auto"/>
        <w:rPr>
          <w:rFonts w:hint="eastAsia" w:ascii="Times New Roman" w:hAnsi="Times New Roman" w:cs="Times New Roman" w:eastAsiaTheme="minorEastAsia"/>
          <w:b/>
          <w:bCs/>
          <w:color w:val="000000"/>
          <w:sz w:val="24"/>
          <w:lang w:val="en-US" w:eastAsia="zh-CN"/>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sz w:val="24"/>
          <w:lang w:val="en-US" w:eastAsia="zh-CN"/>
        </w:rPr>
        <w:t xml:space="preserve">Figure S6. </w:t>
      </w:r>
      <w:r>
        <w:rPr>
          <w:rFonts w:hint="default" w:ascii="Times New Roman" w:hAnsi="Times New Roman" w:cs="Times New Roman"/>
          <w:b w:val="0"/>
          <w:bCs w:val="0"/>
          <w:sz w:val="24"/>
        </w:rPr>
        <w:t>CORG prevents D-gal-induced impairment of LTP</w:t>
      </w:r>
      <w:r>
        <w:rPr>
          <w:rFonts w:hint="eastAsia" w:ascii="Times New Roman" w:hAnsi="Times New Roman" w:cs="Times New Roman"/>
          <w:b w:val="0"/>
          <w:bCs w:val="0"/>
          <w:sz w:val="24"/>
          <w:lang w:val="en-US" w:eastAsia="zh-CN"/>
        </w:rPr>
        <w:t xml:space="preserve"> and abnormal expression of synapse-associated proteins</w:t>
      </w:r>
      <w:r>
        <w:rPr>
          <w:rFonts w:hint="default" w:ascii="Times New Roman" w:hAnsi="Times New Roman" w:cs="Times New Roman"/>
          <w:b w:val="0"/>
          <w:bCs w:val="0"/>
          <w:sz w:val="24"/>
        </w:rPr>
        <w:t xml:space="preserve">. </w:t>
      </w:r>
    </w:p>
    <w:p w14:paraId="53AD22A8">
      <w:pPr>
        <w:autoSpaceDE w:val="0"/>
        <w:autoSpaceDN w:val="0"/>
        <w:adjustRightInd w:val="0"/>
        <w:spacing w:line="360" w:lineRule="auto"/>
        <w:rPr>
          <w:rFonts w:hint="default" w:ascii="Times New Roman" w:hAnsi="Times New Roman" w:cs="Times New Roman" w:eastAsiaTheme="minorEastAsia"/>
          <w:b/>
          <w:bCs/>
          <w:color w:val="000000"/>
          <w:sz w:val="24"/>
          <w:lang w:val="en-US" w:eastAsia="zh-CN"/>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color w:val="000000"/>
          <w:sz w:val="24"/>
          <w:lang w:val="en-US" w:eastAsia="zh-CN"/>
        </w:rPr>
        <w:t xml:space="preserve">Figure S7. </w:t>
      </w:r>
      <w:r>
        <w:rPr>
          <w:rFonts w:hint="default" w:ascii="Times New Roman" w:hAnsi="Times New Roman" w:cs="Times New Roman"/>
          <w:b w:val="0"/>
          <w:bCs w:val="0"/>
          <w:color w:val="auto"/>
          <w:sz w:val="24"/>
        </w:rPr>
        <w:t>CORG attenuates D-gal-induced oxidative stress and SASP factors in the brains of D-gal-induced aging mice.</w:t>
      </w:r>
    </w:p>
    <w:p w14:paraId="0EFE2089">
      <w:pPr>
        <w:autoSpaceDE w:val="0"/>
        <w:autoSpaceDN w:val="0"/>
        <w:adjustRightInd w:val="0"/>
        <w:spacing w:line="360" w:lineRule="auto"/>
        <w:rPr>
          <w:rFonts w:hint="default" w:ascii="Times New Roman" w:hAnsi="Times New Roman" w:cs="Times New Roman"/>
          <w:color w:val="000000"/>
          <w:sz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color w:val="000000"/>
          <w:sz w:val="24"/>
          <w:lang w:val="en-US" w:eastAsia="zh-CN"/>
        </w:rPr>
        <w:t xml:space="preserve">Figure S8. </w:t>
      </w:r>
      <w:r>
        <w:rPr>
          <w:rFonts w:hint="default" w:ascii="Times New Roman" w:hAnsi="Times New Roman" w:cs="Times New Roman"/>
          <w:b w:val="0"/>
          <w:bCs w:val="0"/>
          <w:color w:val="000000"/>
          <w:sz w:val="24"/>
        </w:rPr>
        <w:t xml:space="preserve">CORG </w:t>
      </w:r>
      <w:r>
        <w:rPr>
          <w:rFonts w:hint="eastAsia" w:ascii="Times New Roman" w:hAnsi="Times New Roman" w:cs="Times New Roman"/>
          <w:b w:val="0"/>
          <w:bCs w:val="0"/>
          <w:color w:val="000000"/>
          <w:sz w:val="24"/>
          <w:lang w:val="en-US" w:eastAsia="zh-CN"/>
        </w:rPr>
        <w:t>rescues</w:t>
      </w:r>
      <w:r>
        <w:rPr>
          <w:rFonts w:hint="default" w:ascii="Times New Roman" w:hAnsi="Times New Roman" w:cs="Times New Roman"/>
          <w:b w:val="0"/>
          <w:bCs w:val="0"/>
          <w:color w:val="000000"/>
          <w:sz w:val="24"/>
        </w:rPr>
        <w:t xml:space="preserve"> microglia activation and morphological plasticity </w:t>
      </w:r>
      <w:r>
        <w:rPr>
          <w:rFonts w:hint="default" w:ascii="Times New Roman" w:hAnsi="Times New Roman" w:cs="Times New Roman"/>
          <w:b w:val="0"/>
          <w:bCs w:val="0"/>
          <w:i/>
          <w:iCs/>
          <w:color w:val="000000"/>
          <w:sz w:val="24"/>
        </w:rPr>
        <w:t>in vivo</w:t>
      </w:r>
      <w:r>
        <w:rPr>
          <w:rFonts w:hint="default" w:ascii="Times New Roman" w:hAnsi="Times New Roman" w:cs="Times New Roman"/>
          <w:b w:val="0"/>
          <w:bCs w:val="0"/>
          <w:color w:val="000000"/>
          <w:sz w:val="24"/>
        </w:rPr>
        <w:t xml:space="preserve">.  </w:t>
      </w:r>
    </w:p>
    <w:p w14:paraId="23882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eastAsia" w:ascii="Times New Roman" w:hAnsi="Times New Roman" w:cs="Times New Roman"/>
          <w:b/>
          <w:bCs/>
          <w:color w:val="000000"/>
          <w:sz w:val="24"/>
          <w:lang w:val="en-US" w:eastAsia="zh-CN"/>
        </w:rPr>
        <w:t xml:space="preserve">Figure S9. </w:t>
      </w:r>
      <w:r>
        <w:rPr>
          <w:rFonts w:ascii="Times New Roman" w:hAnsi="Times New Roman" w:eastAsia="宋体" w:cs="Times New Roman"/>
          <w:b w:val="0"/>
          <w:bCs w:val="0"/>
          <w:sz w:val="24"/>
        </w:rPr>
        <w:t xml:space="preserve">Identifying potential mechanisms of action for </w:t>
      </w:r>
      <w:r>
        <w:rPr>
          <w:rFonts w:hint="eastAsia" w:ascii="Times New Roman" w:hAnsi="Times New Roman" w:eastAsia="宋体" w:cs="Times New Roman"/>
          <w:b w:val="0"/>
          <w:bCs w:val="0"/>
          <w:sz w:val="24"/>
          <w:lang w:val="en-US" w:eastAsia="zh-CN"/>
        </w:rPr>
        <w:t xml:space="preserve">CORG </w:t>
      </w:r>
      <w:r>
        <w:rPr>
          <w:rFonts w:ascii="Times New Roman" w:hAnsi="Times New Roman" w:eastAsia="宋体" w:cs="Times New Roman"/>
          <w:b w:val="0"/>
          <w:bCs w:val="0"/>
          <w:sz w:val="24"/>
        </w:rPr>
        <w:t>through network pharmacology screening</w:t>
      </w:r>
      <w:r>
        <w:rPr>
          <w:rFonts w:hint="eastAsia" w:ascii="Times New Roman" w:hAnsi="Times New Roman" w:eastAsia="宋体" w:cs="Times New Roman"/>
          <w:b w:val="0"/>
          <w:bCs w:val="0"/>
          <w:sz w:val="24"/>
          <w:lang w:val="en-US" w:eastAsia="zh-CN"/>
        </w:rPr>
        <w:t xml:space="preserve">. </w:t>
      </w:r>
      <w:r>
        <w:rPr>
          <w:rFonts w:hint="default" w:ascii="Times New Roman" w:hAnsi="Times New Roman" w:cs="Times New Roman" w:eastAsiaTheme="minorEastAsia"/>
          <w:sz w:val="24"/>
          <w:szCs w:val="24"/>
          <w:lang w:eastAsia="zh-CN"/>
        </w:rPr>
        <w:br w:type="textWrapping"/>
      </w: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Style w:val="5"/>
          <w:rFonts w:hint="default" w:ascii="Times New Roman" w:hAnsi="Times New Roman" w:cs="Times New Roman"/>
          <w:sz w:val="24"/>
          <w:szCs w:val="24"/>
        </w:rPr>
        <w:t xml:space="preserve">Figure </w:t>
      </w:r>
      <w:r>
        <w:rPr>
          <w:rStyle w:val="5"/>
          <w:rFonts w:hint="eastAsia" w:ascii="Times New Roman" w:hAnsi="Times New Roman" w:cs="Times New Roman"/>
          <w:sz w:val="24"/>
          <w:szCs w:val="24"/>
          <w:lang w:val="en-US" w:eastAsia="zh-CN"/>
        </w:rPr>
        <w:t xml:space="preserve">S10. </w:t>
      </w:r>
      <w:r>
        <w:rPr>
          <w:rFonts w:ascii="Times New Roman" w:hAnsi="Times New Roman" w:eastAsia="宋体" w:cs="Times New Roman"/>
          <w:b w:val="0"/>
          <w:bCs w:val="0"/>
          <w:sz w:val="24"/>
        </w:rPr>
        <w:t xml:space="preserve">Effects of </w:t>
      </w:r>
      <w:r>
        <w:rPr>
          <w:rFonts w:hint="eastAsia" w:ascii="Times New Roman" w:hAnsi="Times New Roman" w:eastAsia="宋体" w:cs="Times New Roman"/>
          <w:b w:val="0"/>
          <w:bCs w:val="0"/>
          <w:sz w:val="24"/>
          <w:lang w:val="en-US" w:eastAsia="zh-CN"/>
        </w:rPr>
        <w:t>CORG</w:t>
      </w:r>
      <w:r>
        <w:rPr>
          <w:rFonts w:ascii="Times New Roman" w:hAnsi="Times New Roman" w:eastAsia="宋体" w:cs="Times New Roman"/>
          <w:b w:val="0"/>
          <w:bCs w:val="0"/>
          <w:sz w:val="24"/>
        </w:rPr>
        <w:t xml:space="preserve"> on D</w:t>
      </w:r>
      <w:r>
        <w:rPr>
          <w:rFonts w:hint="eastAsia" w:ascii="Times New Roman" w:hAnsi="Times New Roman" w:eastAsia="宋体" w:cs="Times New Roman"/>
          <w:b w:val="0"/>
          <w:bCs w:val="0"/>
          <w:sz w:val="24"/>
          <w:lang w:val="en-US" w:eastAsia="zh-CN"/>
        </w:rPr>
        <w:t>gal</w:t>
      </w:r>
      <w:r>
        <w:rPr>
          <w:rFonts w:ascii="Times New Roman" w:hAnsi="Times New Roman" w:eastAsia="宋体" w:cs="Times New Roman"/>
          <w:b w:val="0"/>
          <w:bCs w:val="0"/>
          <w:sz w:val="24"/>
        </w:rPr>
        <w:t xml:space="preserve">-induced behavioral abnormalities and microglial inflammatory activation in mice are abolished by </w:t>
      </w:r>
      <w:r>
        <w:rPr>
          <w:rFonts w:hint="default" w:ascii="Times New Roman" w:hAnsi="Times New Roman" w:cs="Times New Roman"/>
          <w:b w:val="0"/>
          <w:bCs w:val="0"/>
          <w:sz w:val="24"/>
          <w:szCs w:val="24"/>
        </w:rPr>
        <w:t>V-ATPase B2</w:t>
      </w:r>
      <w:r>
        <w:rPr>
          <w:rFonts w:ascii="Times New Roman" w:hAnsi="Times New Roman" w:eastAsia="宋体" w:cs="Times New Roman"/>
          <w:b w:val="0"/>
          <w:bCs w:val="0"/>
          <w:sz w:val="24"/>
        </w:rPr>
        <w:t xml:space="preserve"> knockout</w:t>
      </w:r>
      <w:r>
        <w:rPr>
          <w:rFonts w:hint="eastAsia" w:ascii="Times New Roman" w:hAnsi="Times New Roman" w:eastAsia="宋体" w:cs="Times New Roman"/>
          <w:b w:val="0"/>
          <w:bCs w:val="0"/>
          <w:sz w:val="24"/>
          <w:lang w:val="en-US" w:eastAsia="zh-CN"/>
        </w:rPr>
        <w:t>.</w:t>
      </w:r>
      <w:r>
        <w:rPr>
          <w:rStyle w:val="5"/>
          <w:rFonts w:hint="default" w:ascii="Times New Roman" w:hAnsi="Times New Roman" w:cs="Times New Roman"/>
          <w:b w:val="0"/>
          <w:bCs w:val="0"/>
          <w:sz w:val="24"/>
          <w:szCs w:val="24"/>
        </w:rPr>
        <w:t xml:space="preserve"> </w:t>
      </w:r>
    </w:p>
    <w:p w14:paraId="34B0F2A9">
      <w:pPr>
        <w:spacing w:line="360" w:lineRule="auto"/>
        <w:rPr>
          <w:rFonts w:hint="default" w:ascii="Times New Roman" w:hAnsi="Times New Roman" w:cs="Times New Roman" w:eastAsiaTheme="minorEastAsia"/>
          <w:sz w:val="24"/>
          <w:szCs w:val="24"/>
          <w:lang w:val="en-US" w:eastAsia="zh-CN"/>
        </w:rPr>
      </w:pPr>
      <w:r>
        <w:rPr>
          <w:rFonts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Style w:val="5"/>
          <w:rFonts w:hint="default" w:ascii="Times New Roman" w:hAnsi="Times New Roman" w:eastAsia="宋体" w:cs="Times New Roman"/>
          <w:sz w:val="24"/>
          <w:szCs w:val="24"/>
        </w:rPr>
        <w:t xml:space="preserve">Figure </w:t>
      </w:r>
      <w:r>
        <w:rPr>
          <w:rStyle w:val="5"/>
          <w:rFonts w:hint="eastAsia" w:ascii="Times New Roman" w:hAnsi="Times New Roman" w:eastAsia="宋体" w:cs="Times New Roman"/>
          <w:sz w:val="24"/>
          <w:szCs w:val="24"/>
          <w:lang w:val="en-US" w:eastAsia="zh-CN"/>
        </w:rPr>
        <w:t>S</w:t>
      </w:r>
      <w:r>
        <w:rPr>
          <w:rStyle w:val="5"/>
          <w:rFonts w:hint="default" w:ascii="Times New Roman" w:hAnsi="Times New Roman" w:eastAsia="宋体" w:cs="Times New Roman"/>
          <w:sz w:val="24"/>
          <w:szCs w:val="24"/>
        </w:rPr>
        <w:t>11</w:t>
      </w:r>
      <w:r>
        <w:rPr>
          <w:rStyle w:val="5"/>
          <w:rFonts w:hint="eastAsia" w:ascii="Times New Roman" w:hAnsi="Times New Roman" w:eastAsia="宋体" w:cs="Times New Roman"/>
          <w:sz w:val="24"/>
          <w:szCs w:val="24"/>
          <w:lang w:val="en-US" w:eastAsia="zh-CN"/>
        </w:rPr>
        <w:t xml:space="preserve">. </w:t>
      </w:r>
      <w:r>
        <w:rPr>
          <w:rFonts w:hint="default" w:ascii="Times New Roman" w:hAnsi="Times New Roman" w:cs="Times New Roman"/>
          <w:b w:val="0"/>
          <w:bCs w:val="0"/>
          <w:sz w:val="24"/>
          <w:szCs w:val="24"/>
          <w:highlight w:val="none"/>
          <w:lang w:val="en-US" w:eastAsia="zh-CN"/>
        </w:rPr>
        <w:t xml:space="preserve">Sequences for </w:t>
      </w:r>
      <w:r>
        <w:rPr>
          <w:rFonts w:hint="default" w:ascii="Times New Roman" w:hAnsi="Times New Roman" w:eastAsia="宋体" w:cs="Times New Roman"/>
          <w:b w:val="0"/>
          <w:bCs w:val="0"/>
          <w:sz w:val="24"/>
          <w:szCs w:val="24"/>
        </w:rPr>
        <w:t>V-ATPase B2, TRPML1, CaMKK2, and AMPK</w:t>
      </w:r>
      <w:r>
        <w:rPr>
          <w:rFonts w:hint="default" w:ascii="Times New Roman" w:hAnsi="Times New Roman" w:cs="Times New Roman"/>
          <w:b w:val="0"/>
          <w:bCs w:val="0"/>
          <w:sz w:val="24"/>
          <w:szCs w:val="24"/>
          <w:highlight w:val="none"/>
          <w:lang w:val="en-US" w:eastAsia="zh-CN"/>
        </w:rPr>
        <w:t xml:space="preserve"> primers and </w:t>
      </w:r>
      <w:r>
        <w:rPr>
          <w:rFonts w:hint="eastAsia" w:ascii="Times New Roman" w:hAnsi="Times New Roman" w:cs="Times New Roman"/>
          <w:b w:val="0"/>
          <w:bCs w:val="0"/>
          <w:sz w:val="24"/>
          <w:szCs w:val="24"/>
          <w:highlight w:val="none"/>
          <w:lang w:val="en-US" w:eastAsia="zh-CN"/>
        </w:rPr>
        <w:t>d</w:t>
      </w:r>
      <w:r>
        <w:rPr>
          <w:rFonts w:hint="default" w:ascii="Times New Roman" w:hAnsi="Times New Roman" w:cs="Times New Roman"/>
          <w:b w:val="0"/>
          <w:bCs w:val="0"/>
          <w:sz w:val="24"/>
          <w:szCs w:val="24"/>
          <w:highlight w:val="none"/>
          <w:lang w:val="en-US" w:eastAsia="zh-CN"/>
        </w:rPr>
        <w:t>etection of transfection efficiency for the th</w:t>
      </w:r>
      <w:r>
        <w:rPr>
          <w:rFonts w:hint="eastAsia" w:ascii="Times New Roman" w:hAnsi="Times New Roman" w:cs="Times New Roman"/>
          <w:b w:val="0"/>
          <w:bCs w:val="0"/>
          <w:sz w:val="24"/>
          <w:szCs w:val="24"/>
          <w:highlight w:val="none"/>
          <w:lang w:val="en-US" w:eastAsia="zh-CN"/>
        </w:rPr>
        <w:t>ese</w:t>
      </w:r>
      <w:r>
        <w:rPr>
          <w:rFonts w:hint="default" w:ascii="Times New Roman" w:hAnsi="Times New Roman" w:cs="Times New Roman"/>
          <w:b w:val="0"/>
          <w:bCs w:val="0"/>
          <w:sz w:val="24"/>
          <w:szCs w:val="24"/>
          <w:highlight w:val="none"/>
          <w:lang w:val="en-US" w:eastAsia="zh-CN"/>
        </w:rPr>
        <w:t xml:space="preserve"> sequences. </w:t>
      </w:r>
    </w:p>
    <w:p w14:paraId="6F225297">
      <w:pPr>
        <w:autoSpaceDE w:val="0"/>
        <w:autoSpaceDN w:val="0"/>
        <w:adjustRightInd w:val="0"/>
        <w:spacing w:line="360" w:lineRule="auto"/>
        <w:rPr>
          <w:rFonts w:hint="default" w:ascii="Times New Roman" w:hAnsi="Times New Roman" w:eastAsia="宋体" w:cs="Times New Roman"/>
          <w:b/>
          <w:bCs/>
          <w:color w:val="000000"/>
          <w:sz w:val="24"/>
          <w:lang w:val="en-US" w:eastAsia="zh-CN"/>
        </w:rPr>
      </w:pPr>
    </w:p>
    <w:p w14:paraId="68AA4162">
      <w:pPr>
        <w:spacing w:line="360" w:lineRule="auto"/>
        <w:rPr>
          <w:rFonts w:hint="default" w:ascii="Times New Roman" w:hAnsi="Times New Roman" w:cs="Times New Roman" w:eastAsiaTheme="minorEastAsia"/>
          <w:sz w:val="24"/>
          <w:szCs w:val="24"/>
          <w:lang w:val="en-US" w:eastAsia="zh-CN"/>
        </w:rPr>
      </w:pPr>
    </w:p>
    <w:p w14:paraId="0ECBE9D6">
      <w:pPr>
        <w:spacing w:line="360" w:lineRule="auto"/>
        <w:rPr>
          <w:rFonts w:hint="default" w:ascii="Times New Roman" w:hAnsi="Times New Roman" w:cs="Times New Roman"/>
          <w:b/>
          <w:bCs/>
          <w:sz w:val="24"/>
        </w:rPr>
      </w:pPr>
    </w:p>
    <w:p w14:paraId="51D2B965">
      <w:pPr>
        <w:spacing w:line="360" w:lineRule="auto"/>
        <w:rPr>
          <w:rFonts w:hint="default" w:ascii="Times New Roman" w:hAnsi="Times New Roman" w:cs="Times New Roman"/>
          <w:b/>
          <w:bCs/>
          <w:sz w:val="24"/>
        </w:rPr>
      </w:pPr>
    </w:p>
    <w:p w14:paraId="24F156F8">
      <w:pPr>
        <w:spacing w:line="360" w:lineRule="auto"/>
        <w:rPr>
          <w:rFonts w:hint="default" w:ascii="Times New Roman" w:hAnsi="Times New Roman" w:cs="Times New Roman"/>
          <w:b/>
          <w:bCs/>
          <w:sz w:val="24"/>
        </w:rPr>
      </w:pPr>
    </w:p>
    <w:p w14:paraId="39E2854F">
      <w:pPr>
        <w:spacing w:line="360" w:lineRule="auto"/>
        <w:rPr>
          <w:rFonts w:ascii="Times New Roman" w:hAnsi="Times New Roman" w:eastAsia="宋体" w:cs="Times New Roman"/>
          <w:b/>
          <w:bCs/>
          <w:sz w:val="24"/>
          <w:lang w:bidi="ar"/>
        </w:rPr>
      </w:pPr>
      <w:r>
        <w:rPr>
          <w:rFonts w:ascii="Times New Roman" w:hAnsi="Times New Roman" w:eastAsia="宋体" w:cs="Times New Roman"/>
          <w:b/>
          <w:bCs/>
          <w:sz w:val="24"/>
          <w:lang w:bidi="ar"/>
        </w:rPr>
        <w:t>Experimental Section:</w:t>
      </w:r>
    </w:p>
    <w:p w14:paraId="2805F89A">
      <w:pPr>
        <w:spacing w:line="360" w:lineRule="auto"/>
        <w:rPr>
          <w:rFonts w:hint="default" w:ascii="Times New Roman" w:hAnsi="Times New Roman" w:cs="Times New Roman"/>
          <w:b/>
          <w:bCs/>
          <w:sz w:val="24"/>
        </w:rPr>
      </w:pPr>
      <w:r>
        <w:rPr>
          <w:rFonts w:hint="default" w:ascii="Times New Roman" w:hAnsi="Times New Roman" w:cs="Times New Roman"/>
          <w:b/>
          <w:bCs/>
          <w:sz w:val="24"/>
        </w:rPr>
        <w:t>Cell viability assay</w:t>
      </w:r>
    </w:p>
    <w:p w14:paraId="1ADB52E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The assessment of cell viability was conducted using the Cell Counting Kit-8 assay. In conclusion, the culture medium was eliminated, and 10 μL of CCK-8 solution was placed into each well. The cells were placed in 96-well plates and incubated at 37 °C for 30 min, after which cell viability was assessed by reading absorbance at 450 nm with a microplate reader.</w:t>
      </w:r>
    </w:p>
    <w:p w14:paraId="291A0639">
      <w:pPr>
        <w:spacing w:line="360" w:lineRule="auto"/>
        <w:rPr>
          <w:rFonts w:hint="default" w:ascii="Times New Roman" w:hAnsi="Times New Roman" w:cs="Times New Roman"/>
          <w:b/>
          <w:bCs/>
          <w:sz w:val="24"/>
        </w:rPr>
      </w:pPr>
      <w:r>
        <w:rPr>
          <w:rFonts w:hint="default" w:ascii="Times New Roman" w:hAnsi="Times New Roman" w:cs="Times New Roman"/>
          <w:b/>
          <w:bCs/>
          <w:sz w:val="24"/>
        </w:rPr>
        <w:t>Primary cortical neurons culture</w:t>
      </w:r>
    </w:p>
    <w:p w14:paraId="13CAE47F">
      <w:pPr>
        <w:spacing w:line="360" w:lineRule="auto"/>
        <w:ind w:firstLine="475"/>
        <w:rPr>
          <w:rFonts w:hint="default" w:ascii="Times New Roman" w:hAnsi="Times New Roman" w:cs="Times New Roman"/>
          <w:color w:val="auto"/>
          <w:sz w:val="24"/>
        </w:rPr>
      </w:pPr>
      <w:r>
        <w:rPr>
          <w:rFonts w:hint="default" w:ascii="Times New Roman" w:hAnsi="Times New Roman" w:cs="Times New Roman"/>
          <w:color w:val="auto"/>
          <w:sz w:val="24"/>
        </w:rPr>
        <w:t>Cortical neurons were isolated from 15-day gestation C57BL/6J mouse fetuses</w:t>
      </w:r>
      <w:r>
        <w:rPr>
          <w:rFonts w:hint="default" w:ascii="Times New Roman" w:hAnsi="Times New Roman" w:cs="Times New Roman"/>
          <w:color w:val="auto"/>
          <w:sz w:val="24"/>
          <w:lang w:val="en-US" w:eastAsia="zh-CN"/>
        </w:rPr>
        <w:t xml:space="preserve"> as </w:t>
      </w:r>
      <w:r>
        <w:rPr>
          <w:rFonts w:hint="default" w:ascii="Times New Roman" w:hAnsi="Times New Roman" w:cs="Times New Roman"/>
          <w:color w:val="auto"/>
          <w:sz w:val="24"/>
        </w:rPr>
        <w:t>outlined in earlier descriptions. The cells were cultured in Neurobasal® medium (Invitrogen, Life Technologies) with an addition of 2% B27, 50 U/mL penicillin (Thermo Scientific, USA), and 50 μg/mL streptomycin (Thermo Scientific, USA).</w:t>
      </w:r>
      <w:r>
        <w:rPr>
          <w:rFonts w:hint="default" w:ascii="Times New Roman" w:hAnsi="Times New Roman" w:cs="Times New Roman"/>
          <w:color w:val="auto"/>
          <w:sz w:val="24"/>
          <w:lang w:val="en-US" w:eastAsia="zh-CN"/>
        </w:rPr>
        <w:t xml:space="preserve"> The neuronal cultures were preserved at 37 °C in a humidified atmosphere containing 5% CO</w:t>
      </w:r>
      <w:r>
        <w:rPr>
          <w:rFonts w:hint="default" w:ascii="Times New Roman" w:hAnsi="Times New Roman" w:cs="Times New Roman"/>
          <w:color w:val="auto"/>
          <w:sz w:val="24"/>
          <w:vertAlign w:val="subscript"/>
          <w:lang w:val="en-US" w:eastAsia="zh-CN"/>
        </w:rPr>
        <w:t>2</w:t>
      </w: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 xml:space="preserve">After 1 week of culture, the medium was replaced with various microglia-conditioned media </w:t>
      </w:r>
      <w:r>
        <w:rPr>
          <w:rFonts w:hint="default" w:ascii="Times New Roman" w:hAnsi="Times New Roman" w:cs="Times New Roman"/>
          <w:color w:val="auto"/>
          <w:sz w:val="24"/>
          <w:lang w:val="en-US" w:eastAsia="zh-CN"/>
        </w:rPr>
        <w:t>(</w:t>
      </w:r>
      <w:r>
        <w:rPr>
          <w:rFonts w:hint="default" w:ascii="Times New Roman" w:hAnsi="Times New Roman" w:cs="Times New Roman"/>
          <w:color w:val="auto"/>
          <w:sz w:val="24"/>
        </w:rPr>
        <w:t>MCMs</w:t>
      </w:r>
      <w:r>
        <w:rPr>
          <w:rFonts w:hint="default" w:ascii="Times New Roman" w:hAnsi="Times New Roman" w:cs="Times New Roman"/>
          <w:color w:val="auto"/>
          <w:sz w:val="24"/>
          <w:lang w:val="en-US" w:eastAsia="zh-CN"/>
        </w:rPr>
        <w:t>)</w:t>
      </w:r>
      <w:r>
        <w:rPr>
          <w:rFonts w:hint="default" w:ascii="Times New Roman" w:hAnsi="Times New Roman" w:cs="Times New Roman"/>
          <w:color w:val="auto"/>
          <w:sz w:val="24"/>
        </w:rPr>
        <w:t xml:space="preserve"> and maintained for 24 h. </w:t>
      </w:r>
    </w:p>
    <w:p w14:paraId="5559E0CF">
      <w:pPr>
        <w:spacing w:line="360" w:lineRule="auto"/>
        <w:ind w:firstLine="475"/>
        <w:rPr>
          <w:rFonts w:hint="default" w:ascii="Times New Roman" w:hAnsi="Times New Roman" w:cs="Times New Roman"/>
          <w:sz w:val="24"/>
        </w:rPr>
      </w:pPr>
      <w:r>
        <w:rPr>
          <w:rFonts w:hint="default" w:ascii="Times New Roman" w:hAnsi="Times New Roman" w:cs="Times New Roman"/>
          <w:color w:val="auto"/>
          <w:sz w:val="24"/>
        </w:rPr>
        <w:t>The BV</w:t>
      </w:r>
      <w:r>
        <w:rPr>
          <w:rFonts w:hint="default" w:ascii="Times New Roman" w:hAnsi="Times New Roman" w:cs="Times New Roman"/>
          <w:color w:val="auto"/>
          <w:sz w:val="24"/>
          <w:lang w:val="en-US" w:eastAsia="zh-CN"/>
        </w:rPr>
        <w:t>-</w:t>
      </w:r>
      <w:r>
        <w:rPr>
          <w:rFonts w:hint="default" w:ascii="Times New Roman" w:hAnsi="Times New Roman" w:cs="Times New Roman"/>
          <w:color w:val="auto"/>
          <w:sz w:val="24"/>
        </w:rPr>
        <w:t>2-cortical neurons co-culture was divided into five groups: Ctrl-MCM group; D-gal-MCM group; and D-gal combined with high (10 μM), medium (5 μM), and low (1 μM) doses of CORG-MCM groups. Followi</w:t>
      </w:r>
      <w:r>
        <w:rPr>
          <w:rFonts w:hint="default" w:ascii="Times New Roman" w:hAnsi="Times New Roman" w:cs="Times New Roman"/>
          <w:sz w:val="24"/>
        </w:rPr>
        <w:t xml:space="preserve">ng co-culture, samples were collected for </w:t>
      </w:r>
      <w:r>
        <w:rPr>
          <w:rFonts w:hint="default" w:ascii="Times New Roman" w:hAnsi="Times New Roman" w:eastAsia="宋体" w:cs="Times New Roman"/>
          <w:sz w:val="24"/>
        </w:rPr>
        <w:t xml:space="preserve">cell viability assessment, </w:t>
      </w:r>
      <w:r>
        <w:rPr>
          <w:rFonts w:hint="default" w:ascii="Times New Roman" w:hAnsi="Times New Roman" w:cs="Times New Roman"/>
          <w:sz w:val="24"/>
        </w:rPr>
        <w:t xml:space="preserve">immunostaining, and </w:t>
      </w:r>
      <w:r>
        <w:rPr>
          <w:rFonts w:hint="eastAsia" w:ascii="Times New Roman" w:hAnsi="Times New Roman" w:cs="Times New Roman"/>
          <w:sz w:val="24"/>
          <w:lang w:val="en-US" w:eastAsia="zh-CN"/>
        </w:rPr>
        <w:t>western blotting</w:t>
      </w:r>
      <w:r>
        <w:rPr>
          <w:rFonts w:hint="default" w:ascii="Times New Roman" w:hAnsi="Times New Roman" w:cs="Times New Roman"/>
          <w:sz w:val="24"/>
        </w:rPr>
        <w:t xml:space="preserve"> analysis. </w:t>
      </w:r>
      <w:r>
        <w:rPr>
          <w:rFonts w:hint="default" w:ascii="Times New Roman" w:hAnsi="Times New Roman" w:cs="Times New Roman"/>
          <w:color w:val="0000FF"/>
          <w:sz w:val="24"/>
        </w:rPr>
        <w:t xml:space="preserve">Figures </w:t>
      </w:r>
      <w:r>
        <w:rPr>
          <w:rFonts w:hint="eastAsia" w:ascii="Times New Roman" w:hAnsi="Times New Roman" w:cs="Times New Roman"/>
          <w:color w:val="0000FF"/>
          <w:sz w:val="24"/>
          <w:lang w:val="en-US" w:eastAsia="zh-CN"/>
        </w:rPr>
        <w:t>S2</w:t>
      </w:r>
      <w:r>
        <w:rPr>
          <w:rFonts w:hint="default" w:ascii="Times New Roman" w:hAnsi="Times New Roman" w:cs="Times New Roman"/>
          <w:color w:val="0000FF"/>
          <w:sz w:val="24"/>
        </w:rPr>
        <w:t xml:space="preserve">A and </w:t>
      </w:r>
      <w:r>
        <w:rPr>
          <w:rFonts w:hint="eastAsia" w:ascii="Times New Roman" w:hAnsi="Times New Roman" w:cs="Times New Roman"/>
          <w:color w:val="0000FF"/>
          <w:sz w:val="24"/>
          <w:lang w:val="en-US" w:eastAsia="zh-CN"/>
        </w:rPr>
        <w:t>S2</w:t>
      </w:r>
      <w:r>
        <w:rPr>
          <w:rFonts w:hint="default" w:ascii="Times New Roman" w:hAnsi="Times New Roman" w:cs="Times New Roman"/>
          <w:color w:val="0000FF"/>
          <w:sz w:val="24"/>
        </w:rPr>
        <w:t>B</w:t>
      </w:r>
      <w:r>
        <w:rPr>
          <w:rFonts w:hint="default" w:ascii="Times New Roman" w:hAnsi="Times New Roman" w:cs="Times New Roman"/>
          <w:sz w:val="24"/>
        </w:rPr>
        <w:t xml:space="preserve"> provide a detailed overview of the MCM intervention plan and the grouping information for the BV</w:t>
      </w:r>
      <w:r>
        <w:rPr>
          <w:rFonts w:hint="default" w:ascii="Times New Roman" w:hAnsi="Times New Roman" w:cs="Times New Roman"/>
          <w:sz w:val="24"/>
          <w:lang w:val="en-US" w:eastAsia="zh-CN"/>
        </w:rPr>
        <w:t>-</w:t>
      </w:r>
      <w:r>
        <w:rPr>
          <w:rFonts w:hint="default" w:ascii="Times New Roman" w:hAnsi="Times New Roman" w:cs="Times New Roman"/>
          <w:sz w:val="24"/>
        </w:rPr>
        <w:t>2-cortical neuron co-culture system.</w:t>
      </w:r>
    </w:p>
    <w:p w14:paraId="1CE110CA">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Determination of biochemical parameters</w:t>
      </w:r>
    </w:p>
    <w:p w14:paraId="78AF192B">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The levels of MDA and the activities of SOD, CAT, and GSH-Px were measured using commercial reagent kits according to the instructions provided by the manufacturer.</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rPr>
        <w:t>ritical homogenization buffer specifications</w:t>
      </w:r>
      <w:r>
        <w:rPr>
          <w:rFonts w:hint="default" w:ascii="Times New Roman" w:hAnsi="Times New Roman" w:cs="Times New Roman"/>
          <w:color w:val="auto"/>
          <w:sz w:val="24"/>
          <w:highlight w:val="none"/>
          <w:lang w:val="en-US" w:eastAsia="zh-CN"/>
        </w:rPr>
        <w:t xml:space="preserve"> did not </w:t>
      </w:r>
      <w:r>
        <w:rPr>
          <w:rFonts w:hint="default" w:ascii="Times New Roman" w:hAnsi="Times New Roman" w:eastAsia="Verdana" w:cs="Times New Roman"/>
          <w:i w:val="0"/>
          <w:iCs w:val="0"/>
          <w:caps w:val="0"/>
          <w:color w:val="auto"/>
          <w:spacing w:val="0"/>
          <w:sz w:val="24"/>
          <w:szCs w:val="24"/>
          <w:shd w:val="clear" w:color="auto" w:fill="FFFFFF"/>
        </w:rPr>
        <w:t xml:space="preserve">influence </w:t>
      </w:r>
      <w:r>
        <w:rPr>
          <w:rFonts w:hint="default" w:ascii="Times New Roman" w:hAnsi="Times New Roman" w:eastAsia="宋体" w:cs="Times New Roman"/>
          <w:i w:val="0"/>
          <w:iCs w:val="0"/>
          <w:caps w:val="0"/>
          <w:color w:val="auto"/>
          <w:spacing w:val="0"/>
          <w:sz w:val="24"/>
          <w:szCs w:val="24"/>
          <w:shd w:val="clear" w:color="auto" w:fill="FFFFFF"/>
          <w:lang w:val="en-US" w:eastAsia="zh-CN"/>
        </w:rPr>
        <w:t>o</w:t>
      </w:r>
      <w:r>
        <w:rPr>
          <w:rFonts w:hint="default" w:ascii="Times New Roman" w:hAnsi="Times New Roman" w:eastAsia="Verdana" w:cs="Times New Roman"/>
          <w:i w:val="0"/>
          <w:iCs w:val="0"/>
          <w:caps w:val="0"/>
          <w:color w:val="auto"/>
          <w:spacing w:val="0"/>
          <w:sz w:val="24"/>
          <w:szCs w:val="24"/>
          <w:shd w:val="clear" w:color="auto" w:fill="FFFFFF"/>
        </w:rPr>
        <w:t>xidative stress</w:t>
      </w:r>
      <w:r>
        <w:rPr>
          <w:rFonts w:hint="default" w:ascii="Times New Roman" w:hAnsi="Times New Roman" w:eastAsia="宋体" w:cs="Times New Roman"/>
          <w:i w:val="0"/>
          <w:iCs w:val="0"/>
          <w:caps w:val="0"/>
          <w:color w:val="auto"/>
          <w:spacing w:val="0"/>
          <w:sz w:val="24"/>
          <w:szCs w:val="24"/>
          <w:shd w:val="clear" w:color="auto" w:fill="FFFFFF"/>
          <w:lang w:val="en-US" w:eastAsia="zh-CN"/>
        </w:rPr>
        <w:t xml:space="preserve"> </w:t>
      </w:r>
      <w:r>
        <w:rPr>
          <w:rFonts w:hint="default" w:ascii="Times New Roman" w:hAnsi="Times New Roman" w:eastAsia="Verdana" w:cs="Times New Roman"/>
          <w:i w:val="0"/>
          <w:iCs w:val="0"/>
          <w:caps w:val="0"/>
          <w:color w:val="auto"/>
          <w:spacing w:val="0"/>
          <w:sz w:val="24"/>
          <w:szCs w:val="24"/>
          <w:shd w:val="clear" w:color="auto" w:fill="FFFFFF"/>
        </w:rPr>
        <w:t>results</w:t>
      </w:r>
      <w:r>
        <w:rPr>
          <w:rFonts w:hint="default" w:ascii="Times New Roman" w:hAnsi="Times New Roman" w:eastAsia="宋体" w:cs="Times New Roman"/>
          <w:i w:val="0"/>
          <w:iCs w:val="0"/>
          <w:caps w:val="0"/>
          <w:color w:val="auto"/>
          <w:spacing w:val="0"/>
          <w:sz w:val="24"/>
          <w:szCs w:val="24"/>
          <w:shd w:val="clear" w:color="auto" w:fill="FFFFFF"/>
          <w:lang w:val="en-US" w:eastAsia="zh-CN"/>
        </w:rPr>
        <w:t>. Enzyme-linked immunosorbent assay (ELISA) Kits were used to detect IL-1β, TNF-ɑ, IL-2, IL-6, ICAM-1, PAI-1, MMP-9, and MMP-3, following the manufacturer's instructions.</w:t>
      </w:r>
      <w:r>
        <w:rPr>
          <w:rFonts w:hint="default" w:ascii="Times New Roman" w:hAnsi="Times New Roman" w:cs="Times New Roman"/>
          <w:color w:val="auto"/>
          <w:sz w:val="24"/>
          <w:highlight w:val="none"/>
        </w:rPr>
        <w:t xml:space="preserve"> </w:t>
      </w:r>
    </w:p>
    <w:p w14:paraId="256AEE94">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Hematoxylin–eosin staining</w:t>
      </w:r>
    </w:p>
    <w:p w14:paraId="7BD0BA02">
      <w:p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The fixed brain tissues were processed by dehydration, paraffin embedding, and sectioning into 6-micron-thick slices for histological purposes. The sections were treated with xylene to remove paraffin, rehydrated using a series of graded ethanol, and then stained with hematoxylin and eosin (H&amp;E). Histomorphological results examined under a light microscope (Olympus, Japan) to observe histopathological changes in the hippocampal tissues and representative images were captured for analysis.</w:t>
      </w:r>
    </w:p>
    <w:p w14:paraId="197C0E80">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Nissl staining</w:t>
      </w:r>
    </w:p>
    <w:p w14:paraId="47B79D74">
      <w:pPr>
        <w:spacing w:line="360" w:lineRule="auto"/>
        <w:ind w:firstLine="480" w:firstLineChars="200"/>
        <w:rPr>
          <w:rFonts w:hint="eastAsia" w:ascii="Times New Roman" w:hAnsi="Times New Roman" w:cs="Times New Roman"/>
          <w:sz w:val="24"/>
          <w:highlight w:val="none"/>
          <w:lang w:val="en-US" w:eastAsia="zh-CN"/>
        </w:rPr>
      </w:pPr>
      <w:r>
        <w:rPr>
          <w:rFonts w:hint="default" w:ascii="Times New Roman" w:hAnsi="Times New Roman" w:cs="Times New Roman"/>
          <w:sz w:val="24"/>
          <w:highlight w:val="none"/>
        </w:rPr>
        <w:t xml:space="preserve">The sections embedded in paraffin were treated with cresyl violet stain and placed in an oven at 56 °C for </w:t>
      </w:r>
      <w:r>
        <w:rPr>
          <w:rFonts w:hint="eastAsia" w:ascii="Times New Roman" w:hAnsi="Times New Roman" w:cs="Times New Roman"/>
          <w:sz w:val="24"/>
          <w:highlight w:val="none"/>
          <w:lang w:val="en-US" w:eastAsia="zh-CN"/>
        </w:rPr>
        <w:t>1</w:t>
      </w:r>
      <w:r>
        <w:rPr>
          <w:rFonts w:hint="default" w:ascii="Times New Roman" w:hAnsi="Times New Roman" w:cs="Times New Roman"/>
          <w:sz w:val="24"/>
          <w:highlight w:val="none"/>
        </w:rPr>
        <w:t xml:space="preserve"> h.</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Post-staining, the sections were thoroughly rinsed with distilled water. Dehydration was achieved using anhydrous ethanol, and xylene was employed for clarification. Ultimately, a microscope was used to visualize and observe neuronal cells and Nissl bodies in the hippocampus</w:t>
      </w:r>
      <w:r>
        <w:rPr>
          <w:rFonts w:hint="eastAsia" w:ascii="Times New Roman" w:hAnsi="Times New Roman" w:cs="Times New Roman"/>
          <w:sz w:val="24"/>
          <w:highlight w:val="none"/>
          <w:lang w:val="en-US" w:eastAsia="zh-CN"/>
        </w:rPr>
        <w:t xml:space="preserve">. </w:t>
      </w:r>
    </w:p>
    <w:p w14:paraId="452D854E">
      <w:pPr>
        <w:spacing w:line="360" w:lineRule="auto"/>
        <w:rPr>
          <w:rFonts w:hint="default" w:ascii="Times New Roman" w:hAnsi="Times New Roman" w:cs="Times New Roman"/>
          <w:b/>
          <w:bCs/>
          <w:sz w:val="24"/>
        </w:rPr>
      </w:pPr>
      <w:r>
        <w:rPr>
          <w:rFonts w:hint="default" w:ascii="Times New Roman" w:hAnsi="Times New Roman" w:cs="Times New Roman"/>
          <w:b/>
          <w:bCs/>
          <w:sz w:val="24"/>
        </w:rPr>
        <w:t>Electrophysiological recording</w:t>
      </w:r>
    </w:p>
    <w:p w14:paraId="0CCF5D39">
      <w:pPr>
        <w:spacing w:line="360" w:lineRule="auto"/>
        <w:ind w:firstLine="480" w:firstLineChars="200"/>
        <w:rPr>
          <w:rFonts w:hint="default" w:ascii="Times New Roman" w:hAnsi="Times New Roman" w:cs="Times New Roman"/>
          <w:sz w:val="24"/>
          <w:highlight w:val="none"/>
          <w:lang w:val="en-US" w:eastAsia="zh-CN"/>
        </w:rPr>
      </w:pPr>
      <w:r>
        <w:rPr>
          <w:rFonts w:hint="eastAsia" w:ascii="Times New Roman" w:hAnsi="Times New Roman" w:cs="Times New Roman"/>
          <w:sz w:val="24"/>
          <w:lang w:val="en-US" w:eastAsia="zh-CN"/>
        </w:rPr>
        <w:t>B</w:t>
      </w:r>
      <w:r>
        <w:rPr>
          <w:rFonts w:hint="default" w:ascii="Times New Roman" w:hAnsi="Times New Roman" w:cs="Times New Roman"/>
          <w:sz w:val="24"/>
        </w:rPr>
        <w:t>rains were quickly extracted and immersed in ice-cold artificial cerebrospinal fluid (ACSF) with the following composition (in mM): 124 NaCl, 2.69 KCl, 1.25 KH</w:t>
      </w:r>
      <w:r>
        <w:rPr>
          <w:rFonts w:hint="default" w:ascii="Times New Roman" w:hAnsi="Times New Roman" w:cs="Times New Roman"/>
          <w:sz w:val="24"/>
          <w:vertAlign w:val="subscript"/>
        </w:rPr>
        <w:t>2</w:t>
      </w:r>
      <w:r>
        <w:rPr>
          <w:rFonts w:hint="default" w:ascii="Times New Roman" w:hAnsi="Times New Roman" w:cs="Times New Roman"/>
          <w:sz w:val="24"/>
        </w:rPr>
        <w:t>PO</w:t>
      </w:r>
      <w:r>
        <w:rPr>
          <w:rFonts w:hint="default" w:ascii="Times New Roman" w:hAnsi="Times New Roman" w:cs="Times New Roman"/>
          <w:sz w:val="24"/>
          <w:vertAlign w:val="subscript"/>
        </w:rPr>
        <w:t>4</w:t>
      </w:r>
      <w:r>
        <w:rPr>
          <w:rFonts w:hint="default" w:ascii="Times New Roman" w:hAnsi="Times New Roman" w:cs="Times New Roman"/>
          <w:sz w:val="24"/>
        </w:rPr>
        <w:t>, 2 MgSO</w:t>
      </w:r>
      <w:r>
        <w:rPr>
          <w:rFonts w:hint="default" w:ascii="Times New Roman" w:hAnsi="Times New Roman" w:cs="Times New Roman"/>
          <w:sz w:val="24"/>
          <w:vertAlign w:val="subscript"/>
        </w:rPr>
        <w:t>4</w:t>
      </w:r>
      <w:r>
        <w:rPr>
          <w:rFonts w:hint="default" w:ascii="Times New Roman" w:hAnsi="Times New Roman" w:cs="Times New Roman"/>
          <w:sz w:val="24"/>
        </w:rPr>
        <w:t>, 26 NaHCO</w:t>
      </w:r>
      <w:r>
        <w:rPr>
          <w:rFonts w:hint="default" w:ascii="Times New Roman" w:hAnsi="Times New Roman" w:cs="Times New Roman"/>
          <w:sz w:val="24"/>
          <w:vertAlign w:val="subscript"/>
        </w:rPr>
        <w:t>3</w:t>
      </w:r>
      <w:r>
        <w:rPr>
          <w:rFonts w:hint="default" w:ascii="Times New Roman" w:hAnsi="Times New Roman" w:cs="Times New Roman"/>
          <w:sz w:val="24"/>
        </w:rPr>
        <w:t>, 10 D-glucose, and 2 CaCl</w:t>
      </w:r>
      <w:r>
        <w:rPr>
          <w:rFonts w:hint="default" w:ascii="Times New Roman" w:hAnsi="Times New Roman" w:cs="Times New Roman"/>
          <w:sz w:val="24"/>
          <w:vertAlign w:val="subscript"/>
        </w:rPr>
        <w:t>2</w:t>
      </w:r>
      <w:r>
        <w:rPr>
          <w:rFonts w:hint="default" w:ascii="Times New Roman" w:hAnsi="Times New Roman" w:cs="Times New Roman"/>
          <w:sz w:val="24"/>
        </w:rPr>
        <w:t>, kept at a pH of 7.3–7.4.</w:t>
      </w:r>
      <w:r>
        <w:rPr>
          <w:rFonts w:hint="eastAsia" w:ascii="Times New Roman" w:hAnsi="Times New Roman" w:cs="Times New Roman"/>
          <w:sz w:val="24"/>
          <w:lang w:val="en-US" w:eastAsia="zh-CN"/>
        </w:rPr>
        <w:t xml:space="preserve"> Then </w:t>
      </w:r>
      <w:r>
        <w:rPr>
          <w:rFonts w:hint="default" w:ascii="Times New Roman" w:hAnsi="Times New Roman" w:cs="Times New Roman"/>
          <w:sz w:val="24"/>
        </w:rPr>
        <w:t>brains were sectioned into 300-μm slices in ice-cold oxygenated ACSF (95% O</w:t>
      </w:r>
      <w:r>
        <w:rPr>
          <w:rFonts w:hint="default" w:ascii="Times New Roman" w:hAnsi="Times New Roman" w:cs="Times New Roman"/>
          <w:sz w:val="24"/>
          <w:vertAlign w:val="subscript"/>
        </w:rPr>
        <w:t>2</w:t>
      </w:r>
      <w:r>
        <w:rPr>
          <w:rFonts w:hint="default" w:ascii="Times New Roman" w:hAnsi="Times New Roman" w:cs="Times New Roman"/>
          <w:sz w:val="24"/>
        </w:rPr>
        <w:t>/5% CO</w:t>
      </w:r>
      <w:r>
        <w:rPr>
          <w:rFonts w:hint="default" w:ascii="Times New Roman" w:hAnsi="Times New Roman" w:cs="Times New Roman"/>
          <w:sz w:val="24"/>
          <w:vertAlign w:val="subscript"/>
        </w:rPr>
        <w:t>2</w:t>
      </w:r>
      <w:r>
        <w:rPr>
          <w:rFonts w:hint="default" w:ascii="Times New Roman" w:hAnsi="Times New Roman" w:cs="Times New Roman"/>
          <w:sz w:val="24"/>
        </w:rPr>
        <w:t>). After 1 h, the brain slices transferred into the recording chamber and continuously superfused with ACSF composed of (mM): 124 NaCl, 2.5 KCl, 1.2 NaH</w:t>
      </w:r>
      <w:r>
        <w:rPr>
          <w:rFonts w:hint="default" w:ascii="Times New Roman" w:hAnsi="Times New Roman" w:cs="Times New Roman"/>
          <w:sz w:val="24"/>
          <w:vertAlign w:val="subscript"/>
        </w:rPr>
        <w:t>2</w:t>
      </w:r>
      <w:r>
        <w:rPr>
          <w:rFonts w:hint="default" w:ascii="Times New Roman" w:hAnsi="Times New Roman" w:cs="Times New Roman"/>
          <w:sz w:val="24"/>
        </w:rPr>
        <w:t>PO</w:t>
      </w:r>
      <w:r>
        <w:rPr>
          <w:rFonts w:hint="default" w:ascii="Times New Roman" w:hAnsi="Times New Roman" w:cs="Times New Roman"/>
          <w:sz w:val="24"/>
          <w:vertAlign w:val="subscript"/>
        </w:rPr>
        <w:t>4</w:t>
      </w:r>
      <w:r>
        <w:rPr>
          <w:rFonts w:hint="default" w:ascii="Times New Roman" w:hAnsi="Times New Roman" w:cs="Times New Roman"/>
          <w:sz w:val="24"/>
        </w:rPr>
        <w:t>, 24 NaHCO</w:t>
      </w:r>
      <w:r>
        <w:rPr>
          <w:rFonts w:hint="default" w:ascii="Times New Roman" w:hAnsi="Times New Roman" w:cs="Times New Roman"/>
          <w:sz w:val="24"/>
          <w:vertAlign w:val="subscript"/>
        </w:rPr>
        <w:t>3</w:t>
      </w:r>
      <w:r>
        <w:rPr>
          <w:rFonts w:hint="default" w:ascii="Times New Roman" w:hAnsi="Times New Roman" w:cs="Times New Roman"/>
          <w:sz w:val="24"/>
        </w:rPr>
        <w:t>, 5 HEPES, 12.5 glucose, 2 MgSO</w:t>
      </w:r>
      <w:r>
        <w:rPr>
          <w:rFonts w:hint="default" w:ascii="Times New Roman" w:hAnsi="Times New Roman" w:cs="Times New Roman"/>
          <w:sz w:val="24"/>
          <w:vertAlign w:val="subscript"/>
        </w:rPr>
        <w:t>4</w:t>
      </w:r>
      <w:r>
        <w:rPr>
          <w:rFonts w:hint="default" w:ascii="Times New Roman" w:hAnsi="Times New Roman" w:cs="Times New Roman"/>
          <w:sz w:val="24"/>
        </w:rPr>
        <w:t>, and 2 CaCl</w:t>
      </w:r>
      <w:r>
        <w:rPr>
          <w:rFonts w:hint="default" w:ascii="Times New Roman" w:hAnsi="Times New Roman" w:cs="Times New Roman"/>
          <w:sz w:val="24"/>
          <w:vertAlign w:val="subscript"/>
        </w:rPr>
        <w:t>2</w:t>
      </w:r>
      <w:r>
        <w:rPr>
          <w:rFonts w:hint="default" w:ascii="Times New Roman" w:hAnsi="Times New Roman" w:cs="Times New Roman"/>
          <w:sz w:val="24"/>
        </w:rPr>
        <w:t xml:space="preserve">. Field excitatory postsynaptic potentials (EPSPs) were measured in the CA1 stratum radiatum following established methodologies. To elicit long-term potentiation (LTP), </w:t>
      </w:r>
      <w:r>
        <w:rPr>
          <w:rFonts w:hint="eastAsia" w:ascii="Times New Roman" w:hAnsi="Times New Roman" w:cs="Times New Roman"/>
          <w:sz w:val="24"/>
          <w:lang w:val="en-US" w:eastAsia="zh-CN"/>
        </w:rPr>
        <w:t>r</w:t>
      </w:r>
      <w:r>
        <w:rPr>
          <w:rFonts w:hint="default" w:ascii="Times New Roman" w:hAnsi="Times New Roman" w:cs="Times New Roman"/>
          <w:sz w:val="24"/>
        </w:rPr>
        <w:t>ecordings were made at 30°C while 10 trains were delivered at 200 Hz with 2-second intervals.</w:t>
      </w:r>
    </w:p>
    <w:p w14:paraId="20D723A6">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Mitochondrial reactive oxygen species (mtROS) assay</w:t>
      </w:r>
    </w:p>
    <w:p w14:paraId="04CC0DF2">
      <w:pPr>
        <w:spacing w:line="360" w:lineRule="auto"/>
        <w:ind w:firstLine="420" w:firstLineChars="0"/>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BV-2 </w:t>
      </w:r>
      <w:r>
        <w:rPr>
          <w:rFonts w:hint="default" w:ascii="Times New Roman" w:hAnsi="Times New Roman" w:cs="Times New Roman"/>
          <w:sz w:val="24"/>
          <w:szCs w:val="24"/>
        </w:rPr>
        <w:t>cells incubating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with DMEM </w:t>
      </w:r>
      <w:r>
        <w:rPr>
          <w:rFonts w:hint="default" w:ascii="Times New Roman" w:hAnsi="Times New Roman" w:cs="Times New Roman"/>
          <w:sz w:val="24"/>
          <w:szCs w:val="24"/>
          <w:lang w:val="en-US" w:eastAsia="zh-CN"/>
        </w:rPr>
        <w:t xml:space="preserve">was </w:t>
      </w:r>
      <w:r>
        <w:rPr>
          <w:rFonts w:hint="default" w:ascii="Times New Roman" w:hAnsi="Times New Roman" w:cs="Times New Roman"/>
          <w:sz w:val="24"/>
          <w:szCs w:val="24"/>
        </w:rPr>
        <w:t xml:space="preserve">supplemented with 200 nM MitoTracker Green and maintained at 37 °C for 30 min. After removal of the staining medium, the cultures were gently rinsed using PBS and subsequently exposed to a freshly prepared 5 μM MitoSOX Red staining solution, followed by an additional incubation at 37 °C for 30 min under light-protected conditions to enable the detection of mitochondrial reactive oxygen species (mtROS). Fluorescence signals were immediately captured using a laser scanning confocal microscope (Nikon AX R, Japan), and the corresponding fluorescence intensity, which represented intracellular mtROS levels, was quantitatively analyzed using ImageJ software. </w:t>
      </w:r>
    </w:p>
    <w:p w14:paraId="4E8251B8">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Mitochondrial membrane potential (MMP) assay</w:t>
      </w:r>
    </w:p>
    <w:p w14:paraId="0D704D21">
      <w:pPr>
        <w:spacing w:line="360" w:lineRule="auto"/>
        <w:ind w:firstLine="420" w:firstLineChars="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MMP was assessed by JC-1 staining. After the designated interventions, BV2 cells assigned to a CCCP-treated control condition were briefly rinsed in PBS for 40 min at 37 °C. Upon completion of treatment,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rPr>
        <w:t>he JC-1 dye solution was given to all experimental groups, which were then maintained at 37 °C for at least 30 minutes, away from light exposure.</w:t>
      </w:r>
      <w:r>
        <w:rPr>
          <w:rFonts w:hint="eastAsia" w:ascii="Times New Roman" w:hAnsi="Times New Roman" w:cs="Times New Roman"/>
          <w:sz w:val="24"/>
          <w:szCs w:val="24"/>
          <w:lang w:val="en-US" w:eastAsia="zh-CN"/>
        </w:rPr>
        <w:t xml:space="preserve"> The assessment of MMP was conducted using JC-1 staining,</w:t>
      </w:r>
      <w:r>
        <w:rPr>
          <w:rFonts w:hint="default" w:ascii="Times New Roman" w:hAnsi="Times New Roman" w:cs="Times New Roman"/>
          <w:sz w:val="24"/>
          <w:szCs w:val="24"/>
        </w:rPr>
        <w:t xml:space="preserve"> which reflected alterations in mitochondrial membrane potential, was quantitatively analyzed using ImageJ software</w:t>
      </w:r>
      <w:r>
        <w:rPr>
          <w:rFonts w:hint="default" w:ascii="Times New Roman" w:hAnsi="Times New Roman" w:cs="Times New Roman"/>
          <w:sz w:val="24"/>
          <w:szCs w:val="24"/>
          <w:lang w:val="en-US" w:eastAsia="zh-CN"/>
        </w:rPr>
        <w:t>.</w:t>
      </w:r>
    </w:p>
    <w:p w14:paraId="7CA78A47">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Mitochondrial respiratory chain complex I (complex I, CI) activity</w:t>
      </w:r>
      <w:r>
        <w:rPr>
          <w:rFonts w:hint="default" w:ascii="Times New Roman" w:hAnsi="Times New Roman" w:cs="Times New Roman"/>
          <w:b/>
          <w:bCs/>
          <w:sz w:val="24"/>
          <w:szCs w:val="24"/>
          <w:lang w:eastAsia="zh-CN"/>
        </w:rPr>
        <w:t xml:space="preserve"> </w:t>
      </w:r>
      <w:r>
        <w:rPr>
          <w:rFonts w:hint="default" w:ascii="Times New Roman" w:hAnsi="Times New Roman" w:cs="Times New Roman"/>
          <w:b/>
          <w:bCs/>
          <w:sz w:val="24"/>
          <w:szCs w:val="24"/>
        </w:rPr>
        <w:t>assay</w:t>
      </w:r>
    </w:p>
    <w:p w14:paraId="68B83956">
      <w:pPr>
        <w:spacing w:line="360" w:lineRule="auto"/>
        <w:ind w:firstLine="420" w:firstLineChars="0"/>
        <w:rPr>
          <w:rFonts w:hint="default" w:ascii="Times New Roman" w:hAnsi="Times New Roman" w:cs="Times New Roman"/>
          <w:sz w:val="24"/>
          <w:szCs w:val="24"/>
        </w:rPr>
      </w:pPr>
      <w:r>
        <w:rPr>
          <w:rFonts w:hint="default" w:ascii="Times New Roman" w:hAnsi="Times New Roman" w:cs="Times New Roman"/>
          <w:sz w:val="24"/>
          <w:szCs w:val="24"/>
        </w:rPr>
        <w:t>The ac</w:t>
      </w:r>
      <w:r>
        <w:rPr>
          <w:rFonts w:hint="default" w:ascii="Times New Roman" w:hAnsi="Times New Roman" w:cs="Times New Roman"/>
          <w:sz w:val="24"/>
          <w:szCs w:val="24"/>
          <w:lang w:val="en-US" w:eastAsia="zh-CN"/>
        </w:rPr>
        <w:t>tivity of Complex I (CI) within the mitochondrial respiratory chain was assessed utilizing an enzymatic detection kit available on the market, adhering to the instructions provided by the manufacturer. Following sample preparation, the required reaction components were sequentially dispensed into a 96-well ultraviolet-compatible microplate according to the recommended assay protocol. The absorbance was continuously monitored at 340 nm, with measurements initially recorded at 1</w:t>
      </w:r>
      <w:r>
        <w:rPr>
          <w:rFonts w:hint="default" w:ascii="Times New Roman" w:hAnsi="Times New Roman" w:cs="Times New Roman"/>
          <w:sz w:val="24"/>
          <w:szCs w:val="24"/>
        </w:rPr>
        <w:t xml:space="preserve">0-s intervals and subsequently acquired at 1 min and 10 s. Complex I activity was then calculated on the basis of the protein concentration recommended by the manufacturer, thereby allowing quantitative comparison among different experimental groups. </w:t>
      </w:r>
    </w:p>
    <w:p w14:paraId="02BC22DA">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Detection of ATP levels</w:t>
      </w:r>
    </w:p>
    <w:p w14:paraId="72228BD2">
      <w:pPr>
        <w:spacing w:line="360" w:lineRule="auto"/>
        <w:ind w:firstLine="420" w:firstLineChars="0"/>
        <w:rPr>
          <w:rFonts w:hint="default" w:ascii="Times New Roman" w:hAnsi="Times New Roman" w:eastAsia="宋体" w:cs="Times New Roman"/>
          <w:color w:val="auto"/>
          <w:sz w:val="24"/>
          <w:lang w:val="en-US" w:eastAsia="zh-CN"/>
        </w:rPr>
      </w:pPr>
      <w:r>
        <w:rPr>
          <w:rFonts w:hint="default" w:ascii="Times New Roman" w:hAnsi="Times New Roman" w:cs="Times New Roman"/>
          <w:sz w:val="24"/>
          <w:szCs w:val="24"/>
        </w:rPr>
        <w:t xml:space="preserve">Briefly, an aliquot of 100 μL of freshly prepared ATP assay detection reagent, consisting of the ATP reaction reagent and its corresponding dilution buffer mixed at a ratio of 1:4, was dispensed into each well of a 96-well microplate. Following equilibration under ambient conditions for approximately 3–5 min, an aliquot of 30 μL from each corresponding cell lysate was rapidly introduced into the designated reaction well before being immediately mixed thoroughly by gentle pipetting to ensure complete homogenization. The resulting chemiluminescence signal was subsequently recorded as luminescence intensity through the chemiluminescent detection mode available on the microplate reader. </w:t>
      </w:r>
    </w:p>
    <w:p w14:paraId="1E4DBBCF">
      <w:pPr>
        <w:spacing w:line="360" w:lineRule="auto"/>
        <w:rPr>
          <w:rFonts w:hint="default" w:ascii="Times New Roman" w:hAnsi="Times New Roman" w:cs="Times New Roman"/>
          <w:b/>
          <w:bCs/>
          <w:sz w:val="24"/>
        </w:rPr>
      </w:pPr>
      <w:r>
        <w:rPr>
          <w:rFonts w:hint="default" w:ascii="Times New Roman" w:hAnsi="Times New Roman" w:cs="Times New Roman"/>
          <w:b/>
          <w:bCs/>
          <w:sz w:val="24"/>
        </w:rPr>
        <w:t>Preparation of samples and high-performance liquid chromatography (HPLC) analysis for CORG</w:t>
      </w:r>
    </w:p>
    <w:p w14:paraId="10C4CE7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Quantification of</w:t>
      </w:r>
      <w:r>
        <w:rPr>
          <w:rFonts w:hint="eastAsia" w:ascii="Times New Roman" w:hAnsi="Times New Roman" w:cs="Times New Roman"/>
          <w:sz w:val="24"/>
          <w:lang w:val="en-US" w:eastAsia="zh-CN"/>
        </w:rPr>
        <w:t xml:space="preserve"> CORG</w:t>
      </w:r>
      <w:r>
        <w:rPr>
          <w:rFonts w:hint="default" w:ascii="Times New Roman" w:hAnsi="Times New Roman" w:cs="Times New Roman"/>
          <w:sz w:val="24"/>
        </w:rPr>
        <w:t xml:space="preserve"> in hippocampal tissue was conducted via HPLC. This assay was designed to evaluate the blood-brain barrier </w:t>
      </w:r>
      <w:r>
        <w:rPr>
          <w:rFonts w:hint="eastAsia" w:ascii="Times New Roman" w:hAnsi="Times New Roman" w:cs="Times New Roman"/>
          <w:sz w:val="24"/>
          <w:lang w:val="en-US" w:eastAsia="zh-CN"/>
        </w:rPr>
        <w:t>(</w:t>
      </w:r>
      <w:r>
        <w:rPr>
          <w:rFonts w:hint="default" w:ascii="Times New Roman" w:hAnsi="Times New Roman" w:cs="Times New Roman"/>
          <w:sz w:val="24"/>
        </w:rPr>
        <w:t>BBB</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penetration capability of CORG. The stereotaxic method was employed to insert a probe into the hippocampus of animals at the specified coordinates: anterior-posterior: 2.2 mm, medial-lateral: 1.6 mm, and dorsal-ventral: 1.6 mm.</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Following sustained perfusion with ACSF, the interstitial fluid was collected and subsequently lyophilized. Subsequently, 0.1 mL of 0.5 M sulfuric acid was added per milliliter of the microdialysis sample to adjust the pH. For each milliliter of supernatant, vortexing was performed before extraction with 1 mL of ethyl acetate for 2 min. The sample was then centrifuged at speeds exceeding 10,000 RPM for 10 min and incubated at 4 °C for 30 min. Supernatant-derived ethyl acetate extracts were maintained at −20 °C pending subsequent HPLC analysis.</w:t>
      </w:r>
    </w:p>
    <w:p w14:paraId="3A91CB4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The chromatographic analysis was conducted using a Thermo ODS2 Hypersil C18 column with dimensions of 30 mm × 0.32 mm × 0.25 µm, manufactured by Agilent, USA.A mixture of water with 1% formic acid (v/v, eluent A) and acetonitrile (eluent B) in a 70:30 volume ratio (v/v) was used as the mobile phase, flowing at 200 μL/min without any splitting.</w:t>
      </w:r>
      <w:r>
        <w:rPr>
          <w:rFonts w:hint="default" w:ascii="Times New Roman" w:hAnsi="Times New Roman" w:cs="Times New Roman"/>
          <w:b/>
          <w:bCs/>
          <w:sz w:val="24"/>
          <w:lang w:val="en-US" w:eastAsia="zh-CN"/>
        </w:rPr>
        <w:t xml:space="preserve"> </w:t>
      </w:r>
      <w:r>
        <w:rPr>
          <w:rFonts w:hint="default" w:ascii="Times New Roman" w:hAnsi="Times New Roman" w:cs="Times New Roman"/>
          <w:sz w:val="24"/>
          <w:lang w:val="en-US" w:eastAsia="zh-CN"/>
        </w:rPr>
        <w:t>A 0.20 μm Millipore filter (Molsheim, France) was used to filter all solvents, which were then degassed in an ultrasonic bath for 15 minutes before being used. Detection was carried out at 270 nm, with the autosampler temperature set to 4 °C and an injection volume of 5 μL.</w:t>
      </w:r>
    </w:p>
    <w:p w14:paraId="1AA2253F">
      <w:pPr>
        <w:numPr>
          <w:ilvl w:val="0"/>
          <w:numId w:val="0"/>
        </w:numPr>
        <w:spacing w:line="360" w:lineRule="auto"/>
        <w:rPr>
          <w:rFonts w:hint="default" w:ascii="Times New Roman" w:hAnsi="Times New Roman" w:cs="Times New Roman"/>
          <w:b/>
          <w:bCs/>
          <w:sz w:val="24"/>
          <w:lang w:val="en-US" w:eastAsia="zh-CN"/>
        </w:rPr>
      </w:pPr>
      <w:r>
        <w:rPr>
          <w:rFonts w:hint="default" w:ascii="Times New Roman" w:hAnsi="Times New Roman" w:cs="Times New Roman"/>
          <w:b/>
          <w:bCs/>
          <w:sz w:val="24"/>
          <w:lang w:val="en-US" w:eastAsia="zh-CN"/>
        </w:rPr>
        <w:t>Protein–protein interaction (PPI) network analysis</w:t>
      </w:r>
    </w:p>
    <w:p w14:paraId="403C44BA">
      <w:pPr>
        <w:numPr>
          <w:ilvl w:val="0"/>
          <w:numId w:val="0"/>
        </w:numPr>
        <w:spacing w:line="360" w:lineRule="auto"/>
        <w:ind w:firstLine="420" w:firstLineChars="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The functional interactions among ATP6V1B2, PRKAA1, and MCOLN1 were analyzed using the STRING database, with experimental and predictive evidence integrated to map their direct or indirect functional associations. Meanwhile, the canonical structure of CORG was submitted to Swiss</w:t>
      </w:r>
      <w:r>
        <w:rPr>
          <w:rFonts w:hint="eastAsia" w:ascii="Times New Roman" w:hAnsi="Times New Roman" w:cs="Times New Roman"/>
          <w:b w:val="0"/>
          <w:bCs w:val="0"/>
          <w:color w:val="auto"/>
          <w:sz w:val="24"/>
          <w:lang w:val="en-US" w:eastAsia="zh-CN"/>
        </w:rPr>
        <w:t xml:space="preserve"> </w:t>
      </w:r>
      <w:r>
        <w:rPr>
          <w:rFonts w:hint="default" w:ascii="Times New Roman" w:hAnsi="Times New Roman" w:cs="Times New Roman"/>
          <w:b w:val="0"/>
          <w:bCs w:val="0"/>
          <w:color w:val="auto"/>
          <w:sz w:val="24"/>
          <w:lang w:val="en-US" w:eastAsia="zh-CN"/>
        </w:rPr>
        <w:t>Target</w:t>
      </w:r>
      <w:r>
        <w:rPr>
          <w:rFonts w:hint="eastAsia" w:ascii="Times New Roman" w:hAnsi="Times New Roman" w:cs="Times New Roman"/>
          <w:b w:val="0"/>
          <w:bCs w:val="0"/>
          <w:color w:val="auto"/>
          <w:sz w:val="24"/>
          <w:lang w:val="en-US" w:eastAsia="zh-CN"/>
        </w:rPr>
        <w:t xml:space="preserve"> </w:t>
      </w:r>
      <w:r>
        <w:rPr>
          <w:rFonts w:hint="default" w:ascii="Times New Roman" w:hAnsi="Times New Roman" w:cs="Times New Roman"/>
          <w:b w:val="0"/>
          <w:bCs w:val="0"/>
          <w:color w:val="auto"/>
          <w:sz w:val="24"/>
          <w:lang w:val="en-US" w:eastAsia="zh-CN"/>
        </w:rPr>
        <w:t xml:space="preserve">Prediction to predict potential protein targets based on structural and chemical similarity with known bioactive compounds. After duplicate removal, the candidate targets were imported into STRING for protein interaction data retrieval. The interaction network was finally constructed and visualized </w:t>
      </w:r>
      <w:r>
        <w:rPr>
          <w:rFonts w:hint="default" w:ascii="Times New Roman" w:hAnsi="Times New Roman" w:cs="Times New Roman"/>
          <w:b w:val="0"/>
          <w:bCs w:val="0"/>
          <w:i/>
          <w:iCs/>
          <w:color w:val="auto"/>
          <w:sz w:val="24"/>
          <w:lang w:val="en-US" w:eastAsia="zh-CN"/>
        </w:rPr>
        <w:t>via</w:t>
      </w:r>
      <w:r>
        <w:rPr>
          <w:rFonts w:hint="default" w:ascii="Times New Roman" w:hAnsi="Times New Roman" w:cs="Times New Roman"/>
          <w:b w:val="0"/>
          <w:bCs w:val="0"/>
          <w:color w:val="auto"/>
          <w:sz w:val="24"/>
          <w:lang w:val="en-US" w:eastAsia="zh-CN"/>
        </w:rPr>
        <w:t xml:space="preserve"> Cytoscape to screen core proteins underlying the pharmacological effects of CORG.</w:t>
      </w:r>
    </w:p>
    <w:p w14:paraId="59EE98CF">
      <w:pPr>
        <w:spacing w:line="360" w:lineRule="auto"/>
        <w:rPr>
          <w:rFonts w:hint="default" w:ascii="Times New Roman" w:hAnsi="Times New Roman" w:cs="Times New Roman"/>
          <w:b/>
          <w:bCs/>
          <w:sz w:val="24"/>
        </w:rPr>
      </w:pPr>
    </w:p>
    <w:p w14:paraId="0CA6F771">
      <w:pPr>
        <w:spacing w:line="360" w:lineRule="auto"/>
        <w:rPr>
          <w:rFonts w:hint="default" w:ascii="Times New Roman" w:hAnsi="Times New Roman" w:cs="Times New Roman"/>
          <w:b/>
          <w:bCs/>
          <w:sz w:val="24"/>
        </w:rPr>
      </w:pPr>
    </w:p>
    <w:p w14:paraId="01EDF987">
      <w:pPr>
        <w:spacing w:line="360" w:lineRule="auto"/>
        <w:rPr>
          <w:rFonts w:hint="default" w:ascii="Times New Roman" w:hAnsi="Times New Roman" w:cs="Times New Roman"/>
          <w:b/>
          <w:bCs/>
          <w:sz w:val="24"/>
        </w:rPr>
      </w:pPr>
    </w:p>
    <w:p w14:paraId="3297067C">
      <w:pPr>
        <w:spacing w:line="360" w:lineRule="auto"/>
        <w:rPr>
          <w:rFonts w:hint="default" w:ascii="Times New Roman" w:hAnsi="Times New Roman" w:cs="Times New Roman"/>
          <w:b/>
          <w:bCs/>
          <w:sz w:val="24"/>
        </w:rPr>
      </w:pPr>
    </w:p>
    <w:p w14:paraId="524D1F5D">
      <w:pPr>
        <w:spacing w:line="360" w:lineRule="auto"/>
        <w:rPr>
          <w:rFonts w:hint="default" w:ascii="Times New Roman" w:hAnsi="Times New Roman" w:cs="Times New Roman"/>
          <w:b/>
          <w:bCs/>
          <w:sz w:val="24"/>
        </w:rPr>
      </w:pPr>
    </w:p>
    <w:p w14:paraId="00593F8D">
      <w:pPr>
        <w:spacing w:line="360" w:lineRule="auto"/>
        <w:rPr>
          <w:rFonts w:hint="default" w:ascii="Times New Roman" w:hAnsi="Times New Roman" w:cs="Times New Roman"/>
          <w:b/>
          <w:bCs/>
          <w:sz w:val="24"/>
        </w:rPr>
      </w:pPr>
    </w:p>
    <w:p w14:paraId="7FE49C42">
      <w:pPr>
        <w:spacing w:line="360" w:lineRule="auto"/>
        <w:rPr>
          <w:rFonts w:hint="default" w:ascii="Times New Roman" w:hAnsi="Times New Roman" w:cs="Times New Roman"/>
          <w:b/>
          <w:bCs/>
          <w:sz w:val="24"/>
        </w:rPr>
      </w:pPr>
    </w:p>
    <w:p w14:paraId="249F37FB">
      <w:pPr>
        <w:spacing w:line="360" w:lineRule="auto"/>
        <w:rPr>
          <w:rFonts w:hint="default" w:ascii="Times New Roman" w:hAnsi="Times New Roman" w:cs="Times New Roman"/>
          <w:b/>
          <w:bCs/>
          <w:sz w:val="24"/>
        </w:rPr>
      </w:pPr>
    </w:p>
    <w:p w14:paraId="287BCD89">
      <w:pPr>
        <w:spacing w:line="360" w:lineRule="auto"/>
        <w:rPr>
          <w:rFonts w:hint="default" w:ascii="Times New Roman" w:hAnsi="Times New Roman" w:cs="Times New Roman"/>
          <w:b/>
          <w:bCs/>
          <w:sz w:val="24"/>
        </w:rPr>
      </w:pPr>
    </w:p>
    <w:p w14:paraId="60884463">
      <w:pPr>
        <w:spacing w:line="360" w:lineRule="auto"/>
        <w:rPr>
          <w:rFonts w:hint="default" w:ascii="Times New Roman" w:hAnsi="Times New Roman" w:cs="Times New Roman"/>
          <w:b/>
          <w:bCs/>
          <w:sz w:val="24"/>
        </w:rPr>
      </w:pPr>
    </w:p>
    <w:p w14:paraId="3F8E4B06">
      <w:pPr>
        <w:spacing w:line="360" w:lineRule="auto"/>
        <w:rPr>
          <w:rFonts w:hint="default" w:ascii="Times New Roman" w:hAnsi="Times New Roman" w:cs="Times New Roman"/>
          <w:b/>
          <w:bCs/>
          <w:sz w:val="24"/>
        </w:rPr>
      </w:pPr>
    </w:p>
    <w:p w14:paraId="38BEE7A3">
      <w:pPr>
        <w:spacing w:line="360" w:lineRule="auto"/>
        <w:rPr>
          <w:rFonts w:hint="default" w:ascii="Times New Roman" w:hAnsi="Times New Roman" w:cs="Times New Roman"/>
          <w:b/>
          <w:bCs/>
          <w:sz w:val="24"/>
        </w:rPr>
      </w:pPr>
    </w:p>
    <w:p w14:paraId="3FB4293B">
      <w:pPr>
        <w:spacing w:line="360" w:lineRule="auto"/>
        <w:rPr>
          <w:rFonts w:hint="default" w:ascii="Times New Roman" w:hAnsi="Times New Roman" w:cs="Times New Roman"/>
          <w:b/>
          <w:bCs/>
          <w:sz w:val="24"/>
        </w:rPr>
      </w:pPr>
    </w:p>
    <w:p w14:paraId="40F35FA7">
      <w:pPr>
        <w:spacing w:line="360" w:lineRule="auto"/>
        <w:rPr>
          <w:rFonts w:hint="default" w:ascii="Times New Roman" w:hAnsi="Times New Roman" w:cs="Times New Roman"/>
          <w:b/>
          <w:bCs/>
          <w:sz w:val="24"/>
        </w:rPr>
      </w:pPr>
    </w:p>
    <w:p w14:paraId="739A640F">
      <w:pPr>
        <w:spacing w:line="360" w:lineRule="auto"/>
        <w:rPr>
          <w:rFonts w:hint="default" w:ascii="Times New Roman" w:hAnsi="Times New Roman" w:cs="Times New Roman"/>
          <w:b/>
          <w:bCs/>
          <w:sz w:val="24"/>
        </w:rPr>
      </w:pPr>
    </w:p>
    <w:p w14:paraId="33F44775">
      <w:pPr>
        <w:spacing w:line="360" w:lineRule="auto"/>
        <w:rPr>
          <w:rFonts w:hint="default" w:ascii="Times New Roman" w:hAnsi="Times New Roman" w:cs="Times New Roman"/>
          <w:b/>
          <w:bCs/>
          <w:sz w:val="24"/>
        </w:rPr>
      </w:pPr>
    </w:p>
    <w:p w14:paraId="257DDD50">
      <w:pPr>
        <w:spacing w:line="360" w:lineRule="auto"/>
        <w:rPr>
          <w:rFonts w:hint="default" w:ascii="Times New Roman" w:hAnsi="Times New Roman" w:cs="Times New Roman"/>
          <w:b/>
          <w:bCs/>
          <w:sz w:val="24"/>
        </w:rPr>
      </w:pPr>
    </w:p>
    <w:p w14:paraId="0CE8F081">
      <w:pPr>
        <w:spacing w:line="360" w:lineRule="auto"/>
        <w:rPr>
          <w:rFonts w:hint="default" w:ascii="Times New Roman" w:hAnsi="Times New Roman" w:cs="Times New Roman"/>
          <w:b/>
          <w:bCs/>
          <w:sz w:val="24"/>
        </w:rPr>
      </w:pPr>
    </w:p>
    <w:p w14:paraId="6F640C6C">
      <w:pPr>
        <w:spacing w:line="360" w:lineRule="auto"/>
        <w:rPr>
          <w:rFonts w:hint="default" w:ascii="Times New Roman" w:hAnsi="Times New Roman" w:cs="Times New Roman"/>
          <w:b/>
          <w:bCs/>
          <w:sz w:val="24"/>
        </w:rPr>
      </w:pPr>
    </w:p>
    <w:p w14:paraId="6968FD7D">
      <w:pPr>
        <w:spacing w:line="360" w:lineRule="auto"/>
        <w:rPr>
          <w:rFonts w:hint="default" w:ascii="Times New Roman" w:hAnsi="Times New Roman" w:cs="Times New Roman"/>
          <w:b/>
          <w:bCs/>
          <w:sz w:val="24"/>
        </w:rPr>
      </w:pPr>
    </w:p>
    <w:p w14:paraId="294E04A3">
      <w:pPr>
        <w:spacing w:line="360" w:lineRule="auto"/>
        <w:rPr>
          <w:rFonts w:hint="default" w:ascii="Times New Roman" w:hAnsi="Times New Roman" w:cs="Times New Roman"/>
          <w:b/>
          <w:bCs/>
          <w:sz w:val="24"/>
        </w:rPr>
      </w:pPr>
    </w:p>
    <w:p w14:paraId="19D47AE0">
      <w:pPr>
        <w:spacing w:line="360" w:lineRule="auto"/>
        <w:rPr>
          <w:rFonts w:hint="default" w:ascii="Times New Roman" w:hAnsi="Times New Roman" w:cs="Times New Roman"/>
          <w:b/>
          <w:bCs/>
          <w:sz w:val="24"/>
        </w:rPr>
      </w:pPr>
    </w:p>
    <w:p w14:paraId="516A0896">
      <w:pPr>
        <w:spacing w:line="360" w:lineRule="auto"/>
        <w:rPr>
          <w:rFonts w:hint="default" w:ascii="Times New Roman" w:hAnsi="Times New Roman" w:cs="Times New Roman"/>
          <w:b/>
          <w:bCs/>
          <w:sz w:val="24"/>
        </w:rPr>
      </w:pPr>
    </w:p>
    <w:p w14:paraId="796E3D5C">
      <w:pPr>
        <w:spacing w:line="360" w:lineRule="auto"/>
        <w:rPr>
          <w:rFonts w:hint="default" w:ascii="Times New Roman" w:hAnsi="Times New Roman" w:cs="Times New Roman"/>
          <w:b/>
          <w:bCs/>
          <w:sz w:val="24"/>
        </w:rPr>
      </w:pPr>
    </w:p>
    <w:p w14:paraId="6E982612">
      <w:pPr>
        <w:spacing w:line="360" w:lineRule="auto"/>
        <w:rPr>
          <w:rFonts w:hint="default" w:ascii="Times New Roman" w:hAnsi="Times New Roman" w:cs="Times New Roman"/>
          <w:b/>
          <w:bCs/>
          <w:sz w:val="24"/>
        </w:rPr>
      </w:pPr>
    </w:p>
    <w:p w14:paraId="1114E80A">
      <w:pPr>
        <w:spacing w:line="360" w:lineRule="auto"/>
        <w:rPr>
          <w:rFonts w:ascii="Times New Roman" w:hAnsi="Times New Roman" w:eastAsia="TimesNewRomanPS-BoldMT" w:cs="Times New Roman"/>
          <w:b/>
          <w:bCs/>
          <w:sz w:val="24"/>
          <w:lang w:bidi="ar"/>
        </w:rPr>
      </w:pPr>
      <w:r>
        <w:rPr>
          <w:rFonts w:ascii="Times New Roman" w:hAnsi="Times New Roman" w:eastAsia="TimesNewRomanPS-BoldMT" w:cs="Times New Roman"/>
          <w:b/>
          <w:bCs/>
          <w:sz w:val="24"/>
          <w:lang w:bidi="ar"/>
        </w:rPr>
        <w:t>Supplementary Figure</w:t>
      </w:r>
      <w:r>
        <w:rPr>
          <w:rFonts w:ascii="Times New Roman" w:hAnsi="Times New Roman" w:eastAsia="宋体" w:cs="Times New Roman"/>
          <w:b/>
          <w:bCs/>
          <w:sz w:val="24"/>
          <w:lang w:bidi="ar"/>
        </w:rPr>
        <w:t xml:space="preserve"> Legend</w:t>
      </w:r>
      <w:r>
        <w:rPr>
          <w:rFonts w:ascii="Times New Roman" w:hAnsi="Times New Roman" w:eastAsia="TimesNewRomanPS-BoldMT" w:cs="Times New Roman"/>
          <w:b/>
          <w:bCs/>
          <w:sz w:val="24"/>
          <w:lang w:bidi="ar"/>
        </w:rPr>
        <w:t>s:</w:t>
      </w:r>
    </w:p>
    <w:p w14:paraId="61C1A17B">
      <w:pPr>
        <w:autoSpaceDE w:val="0"/>
        <w:autoSpaceDN w:val="0"/>
        <w:adjustRightInd w:val="0"/>
        <w:spacing w:line="360" w:lineRule="auto"/>
        <w:rPr>
          <w:rFonts w:hint="eastAsia" w:ascii="Times New Roman" w:hAnsi="Times New Roman" w:cs="Times New Roman"/>
          <w:b/>
          <w:bCs w:val="0"/>
          <w:sz w:val="24"/>
          <w:lang w:val="en-US" w:eastAsia="zh-CN"/>
        </w:rPr>
      </w:pPr>
      <w:r>
        <w:rPr>
          <w:rFonts w:hint="eastAsia" w:ascii="Times New Roman" w:hAnsi="Times New Roman" w:cs="Times New Roman"/>
          <w:b/>
          <w:bCs w:val="0"/>
          <w:sz w:val="24"/>
          <w:lang w:val="en-US" w:eastAsia="zh-CN"/>
        </w:rPr>
        <w:drawing>
          <wp:inline distT="0" distB="0" distL="114300" distR="114300">
            <wp:extent cx="5259705" cy="3472180"/>
            <wp:effectExtent l="0" t="0" r="13335" b="254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59705" cy="3472180"/>
                    </a:xfrm>
                    <a:prstGeom prst="rect">
                      <a:avLst/>
                    </a:prstGeom>
                  </pic:spPr>
                </pic:pic>
              </a:graphicData>
            </a:graphic>
          </wp:inline>
        </w:drawing>
      </w:r>
    </w:p>
    <w:p w14:paraId="009C4E7A">
      <w:pPr>
        <w:autoSpaceDE w:val="0"/>
        <w:autoSpaceDN w:val="0"/>
        <w:adjustRightInd w:val="0"/>
        <w:spacing w:line="360" w:lineRule="auto"/>
        <w:rPr>
          <w:rFonts w:hint="default" w:ascii="Times New Roman" w:hAnsi="Times New Roman" w:cs="Times New Roman"/>
          <w:color w:val="000000"/>
          <w:sz w:val="24"/>
        </w:rPr>
      </w:pPr>
      <w:r>
        <w:rPr>
          <w:rFonts w:hint="eastAsia" w:ascii="Times New Roman" w:hAnsi="Times New Roman" w:cs="Times New Roman"/>
          <w:b/>
          <w:bCs w:val="0"/>
          <w:sz w:val="24"/>
          <w:lang w:val="en-US" w:eastAsia="zh-CN"/>
        </w:rPr>
        <w:t>Figure S1.</w:t>
      </w:r>
      <w:r>
        <w:rPr>
          <w:rFonts w:hint="eastAsia" w:ascii="Times New Roman" w:hAnsi="Times New Roman" w:cs="Times New Roman"/>
          <w:bCs/>
          <w:sz w:val="24"/>
          <w:lang w:val="en-US" w:eastAsia="zh-CN"/>
        </w:rPr>
        <w:t xml:space="preserve"> </w:t>
      </w:r>
      <w:r>
        <w:rPr>
          <w:rFonts w:hint="default" w:ascii="Times New Roman" w:hAnsi="Times New Roman" w:cs="Times New Roman"/>
          <w:b/>
          <w:bCs w:val="0"/>
          <w:sz w:val="24"/>
        </w:rPr>
        <w:t>CORG protective effects against D-gal-induced neuroinflammation in BV</w:t>
      </w:r>
      <w:r>
        <w:rPr>
          <w:rFonts w:hint="eastAsia" w:ascii="Times New Roman" w:hAnsi="Times New Roman" w:cs="Times New Roman"/>
          <w:b/>
          <w:bCs w:val="0"/>
          <w:sz w:val="24"/>
          <w:lang w:val="en-US" w:eastAsia="zh-CN"/>
        </w:rPr>
        <w:t>-</w:t>
      </w:r>
      <w:r>
        <w:rPr>
          <w:rFonts w:hint="default" w:ascii="Times New Roman" w:hAnsi="Times New Roman" w:cs="Times New Roman"/>
          <w:b/>
          <w:bCs w:val="0"/>
          <w:sz w:val="24"/>
        </w:rPr>
        <w:t>2 cells</w:t>
      </w:r>
      <w:r>
        <w:rPr>
          <w:rFonts w:hint="default" w:ascii="Times New Roman" w:hAnsi="Times New Roman" w:cs="Times New Roman"/>
          <w:sz w:val="24"/>
        </w:rPr>
        <w:t>. (A) Schematic diagram of BV</w:t>
      </w:r>
      <w:r>
        <w:rPr>
          <w:rFonts w:hint="eastAsia" w:ascii="Times New Roman" w:hAnsi="Times New Roman" w:cs="Times New Roman"/>
          <w:sz w:val="24"/>
          <w:lang w:val="en-US" w:eastAsia="zh-CN"/>
        </w:rPr>
        <w:t>-</w:t>
      </w:r>
      <w:r>
        <w:rPr>
          <w:rFonts w:hint="default" w:ascii="Times New Roman" w:hAnsi="Times New Roman" w:cs="Times New Roman"/>
          <w:sz w:val="24"/>
        </w:rPr>
        <w:t>2 cell culture. Relative viability of BV</w:t>
      </w:r>
      <w:r>
        <w:rPr>
          <w:rFonts w:hint="eastAsia" w:ascii="Times New Roman" w:hAnsi="Times New Roman" w:cs="Times New Roman"/>
          <w:sz w:val="24"/>
          <w:lang w:val="en-US" w:eastAsia="zh-CN"/>
        </w:rPr>
        <w:t>-</w:t>
      </w:r>
      <w:r>
        <w:rPr>
          <w:rFonts w:hint="default" w:ascii="Times New Roman" w:hAnsi="Times New Roman" w:cs="Times New Roman"/>
          <w:sz w:val="24"/>
        </w:rPr>
        <w:t>2 cells primed with D-gal (B), followed by treatment with CORG (C). The morphology of BV</w:t>
      </w:r>
      <w:r>
        <w:rPr>
          <w:rFonts w:hint="eastAsia" w:ascii="Times New Roman" w:hAnsi="Times New Roman" w:cs="Times New Roman"/>
          <w:sz w:val="24"/>
          <w:lang w:val="en-US" w:eastAsia="zh-CN"/>
        </w:rPr>
        <w:t>-</w:t>
      </w:r>
      <w:r>
        <w:rPr>
          <w:rFonts w:hint="default" w:ascii="Times New Roman" w:hAnsi="Times New Roman" w:cs="Times New Roman"/>
          <w:sz w:val="24"/>
        </w:rPr>
        <w:t>2 cells (D). Measured levels of IL-1β (E), IL-2 (F), IL-6 (G), and TNF-α (H)</w:t>
      </w:r>
      <w:r>
        <w:rPr>
          <w:rFonts w:hint="default" w:ascii="Times New Roman" w:hAnsi="Times New Roman" w:cs="Times New Roman"/>
          <w:sz w:val="24"/>
          <w:lang w:val="en-US" w:eastAsia="zh-CN"/>
        </w:rPr>
        <w:t xml:space="preserve"> (</w:t>
      </w:r>
      <w:r>
        <w:rPr>
          <w:rFonts w:hint="default" w:ascii="Times New Roman" w:hAnsi="Times New Roman" w:cs="Times New Roman"/>
          <w:i/>
          <w:iCs/>
          <w:color w:val="000000"/>
          <w:sz w:val="24"/>
        </w:rPr>
        <w:t>n</w:t>
      </w:r>
      <w:r>
        <w:rPr>
          <w:rFonts w:hint="default" w:ascii="Times New Roman" w:hAnsi="Times New Roman" w:cs="Times New Roman"/>
          <w:color w:val="000000"/>
          <w:sz w:val="24"/>
        </w:rPr>
        <w:t xml:space="preserve"> = </w:t>
      </w:r>
      <w:r>
        <w:rPr>
          <w:rFonts w:hint="eastAsia" w:ascii="Times New Roman" w:hAnsi="Times New Roman" w:cs="Times New Roman"/>
          <w:color w:val="000000"/>
          <w:sz w:val="24"/>
          <w:lang w:val="en-US" w:eastAsia="zh-CN"/>
        </w:rPr>
        <w:t>3</w:t>
      </w:r>
      <w:r>
        <w:rPr>
          <w:rFonts w:hint="default" w:ascii="Times New Roman" w:hAnsi="Times New Roman" w:cs="Times New Roman"/>
          <w:color w:val="000000"/>
          <w:sz w:val="24"/>
        </w:rPr>
        <w:t xml:space="preserve"> independent experiments</w:t>
      </w:r>
      <w:r>
        <w:rPr>
          <w:rFonts w:hint="default" w:ascii="Times New Roman" w:hAnsi="Times New Roman" w:cs="Times New Roman"/>
          <w:sz w:val="24"/>
          <w:lang w:val="en-US" w:eastAsia="zh-CN"/>
        </w:rPr>
        <w:t>)</w:t>
      </w:r>
      <w:r>
        <w:rPr>
          <w:rFonts w:hint="default" w:ascii="Times New Roman" w:hAnsi="Times New Roman" w:cs="Times New Roman"/>
          <w:sz w:val="24"/>
        </w:rPr>
        <w:t xml:space="preserve">. β-actin was used as an internal control. </w:t>
      </w:r>
      <w:r>
        <w:rPr>
          <w:rFonts w:hint="default" w:ascii="Times New Roman" w:hAnsi="Times New Roman" w:cs="Times New Roman"/>
          <w:color w:val="000000"/>
          <w:sz w:val="24"/>
        </w:rPr>
        <w:t xml:space="preserve">Data are presented as mean ± SEM from each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 xml:space="preserve">P </w:t>
      </w:r>
      <w:r>
        <w:rPr>
          <w:rFonts w:hint="default" w:ascii="Times New Roman" w:hAnsi="Times New Roman" w:cs="Times New Roman"/>
          <w:color w:val="000000"/>
          <w:sz w:val="24"/>
        </w:rPr>
        <w:t xml:space="preserve">&lt;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untreated Ctrl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D-gal-treated group. </w:t>
      </w:r>
    </w:p>
    <w:p w14:paraId="49769829">
      <w:pPr>
        <w:autoSpaceDE w:val="0"/>
        <w:autoSpaceDN w:val="0"/>
        <w:adjustRightInd w:val="0"/>
        <w:spacing w:line="360" w:lineRule="auto"/>
        <w:rPr>
          <w:rFonts w:hint="default" w:ascii="Times New Roman" w:hAnsi="Times New Roman" w:cs="Times New Roman"/>
          <w:color w:val="000000"/>
          <w:sz w:val="24"/>
        </w:rPr>
      </w:pPr>
    </w:p>
    <w:p w14:paraId="027CF6B9">
      <w:pPr>
        <w:autoSpaceDE w:val="0"/>
        <w:autoSpaceDN w:val="0"/>
        <w:adjustRightInd w:val="0"/>
        <w:spacing w:line="360" w:lineRule="auto"/>
        <w:rPr>
          <w:rFonts w:hint="default" w:ascii="Times New Roman" w:hAnsi="Times New Roman" w:cs="Times New Roman"/>
          <w:color w:val="000000"/>
          <w:sz w:val="24"/>
        </w:rPr>
      </w:pPr>
    </w:p>
    <w:p w14:paraId="68D0800F">
      <w:pPr>
        <w:autoSpaceDE w:val="0"/>
        <w:autoSpaceDN w:val="0"/>
        <w:adjustRightInd w:val="0"/>
        <w:spacing w:line="360" w:lineRule="auto"/>
        <w:rPr>
          <w:rFonts w:hint="default" w:ascii="Times New Roman" w:hAnsi="Times New Roman" w:cs="Times New Roman"/>
          <w:color w:val="000000"/>
          <w:sz w:val="24"/>
        </w:rPr>
      </w:pPr>
    </w:p>
    <w:p w14:paraId="03A710B6">
      <w:pPr>
        <w:autoSpaceDE w:val="0"/>
        <w:autoSpaceDN w:val="0"/>
        <w:adjustRightInd w:val="0"/>
        <w:spacing w:line="360" w:lineRule="auto"/>
        <w:rPr>
          <w:rFonts w:hint="default" w:ascii="Times New Roman" w:hAnsi="Times New Roman" w:cs="Times New Roman"/>
          <w:color w:val="000000"/>
          <w:sz w:val="24"/>
        </w:rPr>
      </w:pPr>
    </w:p>
    <w:p w14:paraId="78F3CA4D">
      <w:pPr>
        <w:autoSpaceDE w:val="0"/>
        <w:autoSpaceDN w:val="0"/>
        <w:adjustRightInd w:val="0"/>
        <w:spacing w:line="360" w:lineRule="auto"/>
        <w:rPr>
          <w:rFonts w:hint="default" w:ascii="Times New Roman" w:hAnsi="Times New Roman" w:cs="Times New Roman"/>
          <w:color w:val="000000"/>
          <w:sz w:val="24"/>
        </w:rPr>
      </w:pPr>
    </w:p>
    <w:p w14:paraId="0E541D0F">
      <w:pPr>
        <w:autoSpaceDE w:val="0"/>
        <w:autoSpaceDN w:val="0"/>
        <w:adjustRightInd w:val="0"/>
        <w:spacing w:line="360" w:lineRule="auto"/>
        <w:rPr>
          <w:rFonts w:hint="default" w:ascii="Times New Roman" w:hAnsi="Times New Roman" w:cs="Times New Roman"/>
          <w:color w:val="000000"/>
          <w:sz w:val="24"/>
        </w:rPr>
      </w:pPr>
    </w:p>
    <w:p w14:paraId="0BD11521">
      <w:pPr>
        <w:autoSpaceDE w:val="0"/>
        <w:autoSpaceDN w:val="0"/>
        <w:adjustRightInd w:val="0"/>
        <w:spacing w:line="360" w:lineRule="auto"/>
        <w:rPr>
          <w:rFonts w:hint="default" w:ascii="Times New Roman" w:hAnsi="Times New Roman" w:cs="Times New Roman"/>
          <w:color w:val="000000"/>
          <w:sz w:val="24"/>
        </w:rPr>
      </w:pPr>
    </w:p>
    <w:p w14:paraId="34E89848">
      <w:pPr>
        <w:autoSpaceDE w:val="0"/>
        <w:autoSpaceDN w:val="0"/>
        <w:adjustRightInd w:val="0"/>
        <w:spacing w:line="360" w:lineRule="auto"/>
        <w:rPr>
          <w:rFonts w:hint="default" w:ascii="Times New Roman" w:hAnsi="Times New Roman" w:cs="Times New Roman"/>
          <w:color w:val="000000"/>
          <w:sz w:val="24"/>
        </w:rPr>
      </w:pPr>
    </w:p>
    <w:p w14:paraId="44549E1C">
      <w:pPr>
        <w:autoSpaceDE w:val="0"/>
        <w:autoSpaceDN w:val="0"/>
        <w:adjustRightInd w:val="0"/>
        <w:spacing w:line="360" w:lineRule="auto"/>
        <w:rPr>
          <w:rFonts w:hint="default" w:ascii="Times New Roman" w:hAnsi="Times New Roman" w:cs="Times New Roman"/>
          <w:color w:val="000000"/>
          <w:sz w:val="24"/>
        </w:rPr>
      </w:pPr>
    </w:p>
    <w:p w14:paraId="0A1F4B33">
      <w:pPr>
        <w:autoSpaceDE w:val="0"/>
        <w:autoSpaceDN w:val="0"/>
        <w:adjustRightInd w:val="0"/>
        <w:spacing w:line="360" w:lineRule="auto"/>
        <w:rPr>
          <w:rFonts w:hint="default" w:ascii="Times New Roman" w:hAnsi="Times New Roman" w:cs="Times New Roman"/>
          <w:color w:val="000000"/>
          <w:sz w:val="24"/>
        </w:rPr>
      </w:pPr>
    </w:p>
    <w:p w14:paraId="67BA74F2">
      <w:pPr>
        <w:autoSpaceDE w:val="0"/>
        <w:autoSpaceDN w:val="0"/>
        <w:adjustRightInd w:val="0"/>
        <w:spacing w:line="360" w:lineRule="auto"/>
        <w:rPr>
          <w:rFonts w:hint="eastAsia" w:ascii="Times New Roman" w:hAnsi="Times New Roman" w:cs="Times New Roman" w:eastAsiaTheme="minorEastAsia"/>
          <w:b/>
          <w:sz w:val="24"/>
          <w:lang w:eastAsia="zh-CN"/>
        </w:rPr>
      </w:pPr>
      <w:r>
        <w:rPr>
          <w:rFonts w:hint="eastAsia" w:ascii="Times New Roman" w:hAnsi="Times New Roman" w:cs="Times New Roman" w:eastAsiaTheme="minorEastAsia"/>
          <w:b/>
          <w:sz w:val="24"/>
          <w:lang w:eastAsia="zh-CN"/>
        </w:rPr>
        <w:drawing>
          <wp:inline distT="0" distB="0" distL="114300" distR="114300">
            <wp:extent cx="5247640" cy="6154420"/>
            <wp:effectExtent l="0" t="0" r="10160" b="254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47640" cy="6154420"/>
                    </a:xfrm>
                    <a:prstGeom prst="rect">
                      <a:avLst/>
                    </a:prstGeom>
                  </pic:spPr>
                </pic:pic>
              </a:graphicData>
            </a:graphic>
          </wp:inline>
        </w:drawing>
      </w:r>
    </w:p>
    <w:p w14:paraId="66581447">
      <w:pPr>
        <w:autoSpaceDE w:val="0"/>
        <w:autoSpaceDN w:val="0"/>
        <w:adjustRightInd w:val="0"/>
        <w:spacing w:line="360" w:lineRule="auto"/>
        <w:rPr>
          <w:rFonts w:hint="default" w:ascii="Times New Roman" w:hAnsi="Times New Roman" w:cs="Times New Roman"/>
          <w:color w:val="000000"/>
          <w:sz w:val="24"/>
        </w:rPr>
      </w:pPr>
      <w:r>
        <w:rPr>
          <w:rFonts w:hint="default" w:ascii="Times New Roman" w:hAnsi="Times New Roman" w:cs="Times New Roman"/>
          <w:b/>
          <w:sz w:val="24"/>
        </w:rPr>
        <w:t xml:space="preserve">Figure </w:t>
      </w:r>
      <w:r>
        <w:rPr>
          <w:rFonts w:hint="eastAsia" w:ascii="Times New Roman" w:hAnsi="Times New Roman" w:cs="Times New Roman"/>
          <w:b/>
          <w:sz w:val="24"/>
          <w:lang w:val="en-US" w:eastAsia="zh-CN"/>
        </w:rPr>
        <w:t>S2</w:t>
      </w:r>
      <w:r>
        <w:rPr>
          <w:rFonts w:hint="default" w:ascii="Times New Roman" w:hAnsi="Times New Roman" w:cs="Times New Roman"/>
          <w:b/>
          <w:sz w:val="24"/>
        </w:rPr>
        <w:t xml:space="preserve">. </w:t>
      </w:r>
      <w:r>
        <w:rPr>
          <w:rFonts w:hint="default" w:ascii="Times New Roman" w:hAnsi="Times New Roman" w:cs="Times New Roman"/>
          <w:b/>
          <w:bCs w:val="0"/>
          <w:sz w:val="24"/>
        </w:rPr>
        <w:t>CORG</w:t>
      </w:r>
      <w:r>
        <w:rPr>
          <w:rFonts w:hint="default" w:ascii="Times New Roman" w:hAnsi="Times New Roman" w:cs="Times New Roman"/>
          <w:b/>
          <w:bCs w:val="0"/>
          <w:color w:val="000000"/>
          <w:sz w:val="24"/>
        </w:rPr>
        <w:t xml:space="preserve"> protective effects against MCM-induced primary cortical neuron damage</w:t>
      </w:r>
      <w:r>
        <w:rPr>
          <w:rFonts w:hint="default" w:ascii="Times New Roman" w:hAnsi="Times New Roman" w:cs="Times New Roman"/>
          <w:color w:val="000000"/>
          <w:sz w:val="24"/>
        </w:rPr>
        <w:t xml:space="preserve">. </w:t>
      </w:r>
      <w:r>
        <w:rPr>
          <w:rFonts w:hint="default" w:ascii="Times New Roman" w:hAnsi="Times New Roman" w:cs="Times New Roman"/>
          <w:sz w:val="24"/>
        </w:rPr>
        <w:t xml:space="preserve">(A–B) Schematic diagram of primary cortical neuron culture and experimental grouping. (C) Effects of CORG on cell viability. (D–E) SOD and CAT activity. (F) MDA content. (G–H) Immunofluorescence staining and quantification of MAP-2 levels in primary cortical neurons. </w:t>
      </w:r>
      <w:r>
        <w:rPr>
          <w:rFonts w:hint="default" w:ascii="Times New Roman" w:hAnsi="Times New Roman" w:eastAsia="宋体" w:cs="Times New Roman"/>
          <w:sz w:val="24"/>
          <w:szCs w:val="24"/>
        </w:rPr>
        <w:t xml:space="preserve">(I, J) Representative images of Sholl analysis and quantification of total neurite length. </w:t>
      </w:r>
      <w:r>
        <w:rPr>
          <w:rFonts w:hint="default" w:ascii="Times New Roman" w:hAnsi="Times New Roman" w:cs="Times New Roman"/>
          <w:sz w:val="24"/>
        </w:rPr>
        <w:t>(</w:t>
      </w:r>
      <w:r>
        <w:rPr>
          <w:rFonts w:hint="eastAsia" w:ascii="Times New Roman" w:hAnsi="Times New Roman" w:cs="Times New Roman"/>
          <w:sz w:val="24"/>
          <w:lang w:val="en-US" w:eastAsia="zh-CN"/>
        </w:rPr>
        <w:t>K, L</w:t>
      </w:r>
      <w:r>
        <w:rPr>
          <w:rFonts w:hint="default" w:ascii="Times New Roman" w:hAnsi="Times New Roman" w:cs="Times New Roman"/>
          <w:sz w:val="24"/>
        </w:rPr>
        <w:t xml:space="preserve">) Western blots and densitometric analysis for </w:t>
      </w:r>
      <w:r>
        <w:rPr>
          <w:rFonts w:hint="eastAsia" w:ascii="Times New Roman" w:hAnsi="Times New Roman" w:cs="Times New Roman"/>
          <w:sz w:val="24"/>
          <w:lang w:val="en-US" w:eastAsia="zh-CN"/>
        </w:rPr>
        <w:t xml:space="preserve">BDNF, </w:t>
      </w:r>
      <w:r>
        <w:rPr>
          <w:rFonts w:hint="default" w:ascii="Times New Roman" w:hAnsi="Times New Roman" w:cs="Times New Roman"/>
          <w:sz w:val="24"/>
        </w:rPr>
        <w:t xml:space="preserve">PSD95, and Synaspin I. β-actin was used as an internal control. </w:t>
      </w:r>
      <w:r>
        <w:rPr>
          <w:rFonts w:hint="default" w:ascii="Times New Roman" w:hAnsi="Times New Roman" w:cs="Times New Roman"/>
          <w:color w:val="000000"/>
          <w:sz w:val="24"/>
        </w:rPr>
        <w:t>Data are presented as mean ± SEM from each group (</w:t>
      </w:r>
      <w:r>
        <w:rPr>
          <w:rFonts w:hint="default" w:ascii="Times New Roman" w:hAnsi="Times New Roman" w:cs="Times New Roman"/>
          <w:i/>
          <w:iCs/>
          <w:color w:val="000000"/>
          <w:sz w:val="24"/>
        </w:rPr>
        <w:t xml:space="preserve">n </w:t>
      </w:r>
      <w:r>
        <w:rPr>
          <w:rFonts w:hint="default" w:ascii="Times New Roman" w:hAnsi="Times New Roman" w:cs="Times New Roman"/>
          <w:color w:val="000000"/>
          <w:sz w:val="24"/>
        </w:rPr>
        <w:t xml:space="preserve">= 3 independent experiments).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 xml:space="preserve">P </w:t>
      </w:r>
      <w:r>
        <w:rPr>
          <w:rFonts w:hint="default" w:ascii="Times New Roman" w:hAnsi="Times New Roman" w:cs="Times New Roman"/>
          <w:color w:val="000000"/>
          <w:sz w:val="24"/>
        </w:rPr>
        <w:t xml:space="preserve">&lt;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MCM-Ctrl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MCM-D-gal-treated group. </w:t>
      </w:r>
    </w:p>
    <w:p w14:paraId="655E4D45">
      <w:pPr>
        <w:autoSpaceDE w:val="0"/>
        <w:autoSpaceDN w:val="0"/>
        <w:adjustRightInd w:val="0"/>
        <w:spacing w:line="360" w:lineRule="auto"/>
        <w:rPr>
          <w:rFonts w:hint="default" w:ascii="Times New Roman" w:hAnsi="Times New Roman" w:cs="Times New Roman"/>
          <w:color w:val="000000"/>
          <w:sz w:val="24"/>
        </w:rPr>
      </w:pPr>
    </w:p>
    <w:p w14:paraId="4917757A">
      <w:pPr>
        <w:autoSpaceDE w:val="0"/>
        <w:autoSpaceDN w:val="0"/>
        <w:adjustRightInd w:val="0"/>
        <w:spacing w:line="360" w:lineRule="auto"/>
        <w:rPr>
          <w:rFonts w:hint="default" w:ascii="Times New Roman" w:hAnsi="Times New Roman" w:cs="Times New Roman"/>
          <w:color w:val="000000"/>
          <w:sz w:val="24"/>
        </w:rPr>
      </w:pPr>
      <w:r>
        <w:rPr>
          <w:rFonts w:hint="eastAsia" w:ascii="Times New Roman" w:hAnsi="Times New Roman" w:cs="Times New Roman" w:eastAsiaTheme="minorEastAsia"/>
          <w:color w:val="000000"/>
          <w:sz w:val="24"/>
          <w:lang w:eastAsia="zh-CN"/>
        </w:rPr>
        <w:drawing>
          <wp:inline distT="0" distB="0" distL="114300" distR="114300">
            <wp:extent cx="5258435" cy="7147560"/>
            <wp:effectExtent l="0" t="0" r="14605" b="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58435" cy="7147560"/>
                    </a:xfrm>
                    <a:prstGeom prst="rect">
                      <a:avLst/>
                    </a:prstGeom>
                  </pic:spPr>
                </pic:pic>
              </a:graphicData>
            </a:graphic>
          </wp:inline>
        </w:drawing>
      </w:r>
    </w:p>
    <w:p w14:paraId="663A904E">
      <w:pPr>
        <w:autoSpaceDE w:val="0"/>
        <w:autoSpaceDN w:val="0"/>
        <w:adjustRightInd w:val="0"/>
        <w:spacing w:line="360" w:lineRule="auto"/>
        <w:rPr>
          <w:rFonts w:hint="default" w:ascii="Times New Roman" w:hAnsi="Times New Roman" w:cs="Times New Roman"/>
          <w:color w:val="000000"/>
          <w:sz w:val="24"/>
        </w:rPr>
      </w:pPr>
      <w:r>
        <w:rPr>
          <w:rFonts w:hint="eastAsia" w:ascii="Times New Roman" w:hAnsi="Times New Roman" w:eastAsia="宋体" w:cs="Times New Roman"/>
          <w:b/>
          <w:bCs/>
          <w:sz w:val="24"/>
          <w:szCs w:val="24"/>
          <w:lang w:val="en-US" w:eastAsia="zh-CN"/>
        </w:rPr>
        <w:t>Figure S3.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b/>
          <w:bCs/>
          <w:sz w:val="24"/>
          <w:szCs w:val="24"/>
          <w:lang w:val="en-US" w:eastAsia="zh-CN"/>
        </w:rPr>
        <w:t>Protective effect of CORG on D-gal-induced mitochondrial damage in BV-2 cells</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(A) Representative MitoTracker Green and MitoSOX-red fluorescence images of BV</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2 cells. (B) Quantification of MitoSOX-red fluorescence intensity. (C) Representative JC-1 fluorescence images showing changes in MMP. Red fluorescence indicates JC-1 aggregates, whereas green fluorescence indicates JC-1 monomers. (D) Quantification of the JC-1 red/green fluorescence ratio. (E) Intracellular ATP level. (F) Representative TEM images showing mitochondrial ultrastructure.</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color w:val="000000"/>
          <w:sz w:val="24"/>
        </w:rPr>
        <w:t xml:space="preserve">Data are presented as mean ± SEM from each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 xml:space="preserve">P </w:t>
      </w:r>
      <w:r>
        <w:rPr>
          <w:rFonts w:hint="default" w:ascii="Times New Roman" w:hAnsi="Times New Roman" w:cs="Times New Roman"/>
          <w:color w:val="000000"/>
          <w:sz w:val="24"/>
        </w:rPr>
        <w:t xml:space="preserve">&lt;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untreated Ctrl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D-gal-treated group. </w:t>
      </w:r>
    </w:p>
    <w:p w14:paraId="548F961C">
      <w:pPr>
        <w:autoSpaceDE w:val="0"/>
        <w:autoSpaceDN w:val="0"/>
        <w:adjustRightInd w:val="0"/>
        <w:spacing w:line="360" w:lineRule="auto"/>
        <w:rPr>
          <w:rFonts w:hint="default" w:ascii="Times New Roman" w:hAnsi="Times New Roman" w:cs="Times New Roman"/>
          <w:color w:val="000000"/>
          <w:sz w:val="24"/>
        </w:rPr>
      </w:pPr>
    </w:p>
    <w:p w14:paraId="56C2908C">
      <w:pPr>
        <w:autoSpaceDE w:val="0"/>
        <w:autoSpaceDN w:val="0"/>
        <w:adjustRightInd w:val="0"/>
        <w:spacing w:line="360" w:lineRule="auto"/>
        <w:rPr>
          <w:rFonts w:hint="eastAsia" w:ascii="Times New Roman" w:hAnsi="Times New Roman" w:cs="Times New Roman" w:eastAsiaTheme="minorEastAsia"/>
          <w:color w:val="000000"/>
          <w:sz w:val="24"/>
          <w:lang w:eastAsia="zh-CN"/>
        </w:rPr>
      </w:pPr>
      <w:r>
        <w:rPr>
          <w:rFonts w:hint="eastAsia" w:ascii="Times New Roman" w:hAnsi="Times New Roman" w:cs="Times New Roman" w:eastAsiaTheme="minorEastAsia"/>
          <w:color w:val="000000"/>
          <w:sz w:val="24"/>
          <w:lang w:eastAsia="zh-CN"/>
        </w:rPr>
        <w:drawing>
          <wp:inline distT="0" distB="0" distL="114300" distR="114300">
            <wp:extent cx="5260340" cy="6430010"/>
            <wp:effectExtent l="0" t="0" r="12700" b="1270"/>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60340" cy="6430010"/>
                    </a:xfrm>
                    <a:prstGeom prst="rect">
                      <a:avLst/>
                    </a:prstGeom>
                  </pic:spPr>
                </pic:pic>
              </a:graphicData>
            </a:graphic>
          </wp:inline>
        </w:drawing>
      </w:r>
    </w:p>
    <w:p w14:paraId="3098F2DE">
      <w:pPr>
        <w:autoSpaceDE w:val="0"/>
        <w:autoSpaceDN w:val="0"/>
        <w:adjustRightInd w:val="0"/>
        <w:spacing w:line="360" w:lineRule="auto"/>
        <w:rPr>
          <w:rFonts w:hint="default" w:ascii="Times New Roman" w:hAnsi="Times New Roman" w:cs="Times New Roman"/>
          <w:color w:val="auto"/>
          <w:sz w:val="24"/>
        </w:rPr>
      </w:pPr>
      <w:r>
        <w:rPr>
          <w:rFonts w:hint="eastAsia" w:ascii="Times New Roman" w:hAnsi="Times New Roman" w:cs="Times New Roman"/>
          <w:b/>
          <w:bCs/>
          <w:color w:val="000000"/>
          <w:sz w:val="24"/>
          <w:lang w:val="en-US" w:eastAsia="zh-CN"/>
        </w:rPr>
        <w:t xml:space="preserve">Figure S4. CORG can cross BBB and improve </w:t>
      </w:r>
      <w:r>
        <w:rPr>
          <w:rFonts w:hint="default" w:ascii="Times New Roman" w:hAnsi="Times New Roman" w:cs="Times New Roman"/>
          <w:b/>
          <w:bCs/>
          <w:sz w:val="24"/>
        </w:rPr>
        <w:t>general appearance</w:t>
      </w:r>
      <w:r>
        <w:rPr>
          <w:rFonts w:hint="eastAsia" w:ascii="Times New Roman" w:hAnsi="Times New Roman" w:cs="Times New Roman"/>
          <w:b/>
          <w:bCs/>
          <w:sz w:val="24"/>
          <w:lang w:val="en-US" w:eastAsia="zh-CN"/>
        </w:rPr>
        <w:t xml:space="preserve"> in D-gal-induced aging mice</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w:t>
      </w:r>
      <w:r>
        <w:rPr>
          <w:rFonts w:hint="eastAsia" w:ascii="Times New Roman" w:hAnsi="Times New Roman" w:cs="Times New Roman"/>
          <w:sz w:val="24"/>
          <w:lang w:val="en-US" w:eastAsia="zh-CN"/>
        </w:rPr>
        <w:t>A</w:t>
      </w:r>
      <w:r>
        <w:rPr>
          <w:rFonts w:hint="default" w:ascii="Times New Roman" w:hAnsi="Times New Roman" w:cs="Times New Roman"/>
          <w:sz w:val="24"/>
        </w:rPr>
        <w:t xml:space="preserve">) Schematic diagram of experimental design for D-gal injection and CORG administration. </w:t>
      </w:r>
      <w:r>
        <w:rPr>
          <w:rFonts w:hint="default" w:ascii="Times New Roman" w:hAnsi="Times New Roman" w:eastAsia="宋体" w:cs="Times New Roman"/>
          <w:sz w:val="24"/>
          <w:szCs w:val="24"/>
        </w:rPr>
        <w:t xml:space="preserve">(B) Schematic diagram of CMD and sample collection. </w:t>
      </w:r>
      <w:r>
        <w:rPr>
          <w:rFonts w:hint="eastAsia" w:ascii="Times New Roman" w:hAnsi="Times New Roman" w:eastAsia="宋体" w:cs="Times New Roman"/>
          <w:sz w:val="24"/>
          <w:szCs w:val="24"/>
          <w:lang w:val="en-US" w:eastAsia="zh-CN"/>
        </w:rPr>
        <w:t xml:space="preserve">(C) </w:t>
      </w:r>
      <w:r>
        <w:rPr>
          <w:rFonts w:hint="default" w:ascii="Times New Roman" w:hAnsi="Times New Roman" w:cs="Times New Roman"/>
          <w:color w:val="auto"/>
          <w:sz w:val="24"/>
        </w:rPr>
        <w:t>The concentration</w:t>
      </w:r>
      <w:r>
        <w:rPr>
          <w:rStyle w:val="6"/>
          <w:rFonts w:hint="default" w:ascii="Times New Roman" w:hAnsi="Times New Roman" w:cs="Times New Roman"/>
          <w:color w:val="auto"/>
          <w:sz w:val="24"/>
        </w:rPr>
        <w:t xml:space="preserve"> of </w:t>
      </w:r>
      <w:r>
        <w:rPr>
          <w:rFonts w:hint="default" w:ascii="Times New Roman" w:hAnsi="Times New Roman" w:cs="Times New Roman"/>
          <w:color w:val="auto"/>
          <w:sz w:val="24"/>
        </w:rPr>
        <w:t>CORG</w:t>
      </w:r>
      <w:r>
        <w:rPr>
          <w:rStyle w:val="6"/>
          <w:rFonts w:hint="default" w:ascii="Times New Roman" w:hAnsi="Times New Roman" w:cs="Times New Roman"/>
          <w:color w:val="auto"/>
          <w:sz w:val="24"/>
        </w:rPr>
        <w:t xml:space="preserve"> in the Ctrl, </w:t>
      </w:r>
      <w:r>
        <w:rPr>
          <w:rFonts w:hint="default" w:ascii="Times New Roman" w:hAnsi="Times New Roman" w:cs="Times New Roman"/>
          <w:color w:val="auto"/>
          <w:sz w:val="24"/>
        </w:rPr>
        <w:t>CORG</w:t>
      </w:r>
      <w:r>
        <w:rPr>
          <w:rStyle w:val="6"/>
          <w:rFonts w:hint="default" w:ascii="Times New Roman" w:hAnsi="Times New Roman" w:cs="Times New Roman"/>
          <w:color w:val="auto"/>
          <w:sz w:val="24"/>
        </w:rPr>
        <w:t xml:space="preserve">, and </w:t>
      </w:r>
      <w:r>
        <w:rPr>
          <w:rFonts w:hint="default" w:ascii="Times New Roman" w:hAnsi="Times New Roman" w:cs="Times New Roman"/>
          <w:color w:val="auto"/>
          <w:sz w:val="24"/>
        </w:rPr>
        <w:t>CORG</w:t>
      </w:r>
      <w:r>
        <w:rPr>
          <w:rStyle w:val="6"/>
          <w:rFonts w:hint="default" w:ascii="Times New Roman" w:hAnsi="Times New Roman" w:cs="Times New Roman"/>
          <w:color w:val="auto"/>
          <w:sz w:val="24"/>
        </w:rPr>
        <w:t xml:space="preserve"> + </w:t>
      </w:r>
      <w:r>
        <w:rPr>
          <w:rFonts w:hint="default" w:ascii="Times New Roman" w:hAnsi="Times New Roman" w:cs="Times New Roman"/>
          <w:color w:val="auto"/>
          <w:sz w:val="24"/>
          <w:lang w:bidi="ar"/>
        </w:rPr>
        <w:t xml:space="preserve">D-gal </w:t>
      </w:r>
      <w:r>
        <w:rPr>
          <w:rFonts w:hint="default" w:ascii="Times New Roman" w:hAnsi="Times New Roman" w:cs="Times New Roman"/>
          <w:color w:val="auto"/>
          <w:sz w:val="24"/>
        </w:rPr>
        <w:t>groups was measured using HPLC. CORG</w:t>
      </w:r>
      <w:r>
        <w:rPr>
          <w:rFonts w:hint="default" w:ascii="Times New Roman" w:hAnsi="Times New Roman" w:cs="Times New Roman"/>
          <w:color w:val="auto"/>
          <w:sz w:val="24"/>
          <w:lang w:bidi="ar"/>
        </w:rPr>
        <w:t xml:space="preserve"> elutes at 8.75 min.</w:t>
      </w:r>
      <w:r>
        <w:rPr>
          <w:rFonts w:hint="default" w:ascii="Times New Roman" w:hAnsi="Times New Roman" w:cs="Times New Roman"/>
          <w:color w:val="auto"/>
          <w:sz w:val="24"/>
        </w:rPr>
        <w:t xml:space="preserve"> (D) </w:t>
      </w:r>
      <w:r>
        <w:rPr>
          <w:rFonts w:hint="default" w:ascii="Times New Roman" w:hAnsi="Times New Roman" w:cs="Times New Roman"/>
          <w:color w:val="auto"/>
          <w:sz w:val="24"/>
          <w:lang w:bidi="ar"/>
        </w:rPr>
        <w:t xml:space="preserve">HPLC analysis indicated a significant increase in </w:t>
      </w:r>
      <w:r>
        <w:rPr>
          <w:rFonts w:hint="default" w:ascii="Times New Roman" w:hAnsi="Times New Roman" w:cs="Times New Roman"/>
          <w:color w:val="auto"/>
          <w:sz w:val="24"/>
        </w:rPr>
        <w:t>CORG</w:t>
      </w:r>
      <w:r>
        <w:rPr>
          <w:rFonts w:hint="default" w:ascii="Times New Roman" w:hAnsi="Times New Roman" w:cs="Times New Roman"/>
          <w:color w:val="auto"/>
          <w:sz w:val="24"/>
          <w:lang w:bidi="ar"/>
        </w:rPr>
        <w:t xml:space="preserve"> concentration in </w:t>
      </w:r>
      <w:r>
        <w:rPr>
          <w:rFonts w:hint="default" w:ascii="Times New Roman" w:hAnsi="Times New Roman" w:cs="Times New Roman"/>
          <w:color w:val="auto"/>
          <w:sz w:val="24"/>
        </w:rPr>
        <w:t>the hippocampus of the CORG (50 mg/kg/d</w:t>
      </w:r>
      <w:r>
        <w:rPr>
          <w:rStyle w:val="6"/>
          <w:rFonts w:hint="default" w:ascii="Times New Roman" w:hAnsi="Times New Roman" w:cs="Times New Roman"/>
          <w:color w:val="auto"/>
          <w:sz w:val="24"/>
        </w:rPr>
        <w:t xml:space="preserve">) + D-gal group compared with that in the </w:t>
      </w:r>
      <w:r>
        <w:rPr>
          <w:rFonts w:hint="default" w:ascii="Times New Roman" w:hAnsi="Times New Roman" w:cs="Times New Roman"/>
          <w:color w:val="auto"/>
          <w:sz w:val="24"/>
        </w:rPr>
        <w:t>CORG</w:t>
      </w:r>
      <w:r>
        <w:rPr>
          <w:rStyle w:val="6"/>
          <w:rFonts w:hint="default" w:ascii="Times New Roman" w:hAnsi="Times New Roman" w:cs="Times New Roman"/>
          <w:color w:val="auto"/>
          <w:sz w:val="24"/>
        </w:rPr>
        <w:t xml:space="preserve"> (50 mg/kg/d) group.</w:t>
      </w:r>
      <w:r>
        <w:rPr>
          <w:rFonts w:hint="default" w:ascii="Times New Roman" w:hAnsi="Times New Roman" w:cs="Times New Roman"/>
          <w:color w:val="auto"/>
          <w:sz w:val="24"/>
        </w:rPr>
        <w:t xml:space="preserve"> Effects of CORG on general appearance (</w:t>
      </w:r>
      <w:r>
        <w:rPr>
          <w:rFonts w:hint="eastAsia" w:ascii="Times New Roman" w:hAnsi="Times New Roman" w:cs="Times New Roman"/>
          <w:color w:val="auto"/>
          <w:sz w:val="24"/>
          <w:lang w:val="en-US" w:eastAsia="zh-CN"/>
        </w:rPr>
        <w:t>E</w:t>
      </w:r>
      <w:r>
        <w:rPr>
          <w:rFonts w:hint="default" w:ascii="Times New Roman" w:hAnsi="Times New Roman" w:cs="Times New Roman"/>
          <w:color w:val="auto"/>
          <w:sz w:val="24"/>
        </w:rPr>
        <w:t>), frailty score (</w:t>
      </w:r>
      <w:r>
        <w:rPr>
          <w:rFonts w:hint="eastAsia" w:ascii="Times New Roman" w:hAnsi="Times New Roman" w:cs="Times New Roman"/>
          <w:color w:val="auto"/>
          <w:sz w:val="24"/>
          <w:lang w:val="en-US" w:eastAsia="zh-CN"/>
        </w:rPr>
        <w:t>F</w:t>
      </w:r>
      <w:r>
        <w:rPr>
          <w:rFonts w:hint="default" w:ascii="Times New Roman" w:hAnsi="Times New Roman" w:cs="Times New Roman"/>
          <w:color w:val="auto"/>
          <w:sz w:val="24"/>
        </w:rPr>
        <w:t>), body weight (</w:t>
      </w:r>
      <w:r>
        <w:rPr>
          <w:rFonts w:hint="eastAsia" w:ascii="Times New Roman" w:hAnsi="Times New Roman" w:cs="Times New Roman"/>
          <w:color w:val="auto"/>
          <w:sz w:val="24"/>
          <w:lang w:val="en-US" w:eastAsia="zh-CN"/>
        </w:rPr>
        <w:t>G</w:t>
      </w:r>
      <w:r>
        <w:rPr>
          <w:rFonts w:hint="default" w:ascii="Times New Roman" w:hAnsi="Times New Roman" w:cs="Times New Roman"/>
          <w:color w:val="auto"/>
          <w:sz w:val="24"/>
        </w:rPr>
        <w:t>) in D-gal-induced aging mice</w:t>
      </w: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w:t>
      </w:r>
      <w:r>
        <w:rPr>
          <w:rFonts w:hint="default" w:ascii="Times New Roman" w:hAnsi="Times New Roman" w:cs="Times New Roman"/>
          <w:i/>
          <w:iCs/>
          <w:color w:val="auto"/>
          <w:sz w:val="24"/>
        </w:rPr>
        <w:t>n</w:t>
      </w:r>
      <w:r>
        <w:rPr>
          <w:rFonts w:hint="default" w:ascii="Times New Roman" w:hAnsi="Times New Roman" w:cs="Times New Roman"/>
          <w:color w:val="auto"/>
          <w:sz w:val="24"/>
        </w:rPr>
        <w:t xml:space="preserve"> = 12</w:t>
      </w: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independent experiments). (</w:t>
      </w:r>
      <w:r>
        <w:rPr>
          <w:rFonts w:hint="eastAsia" w:ascii="Times New Roman" w:hAnsi="Times New Roman" w:cs="Times New Roman"/>
          <w:color w:val="auto"/>
          <w:sz w:val="24"/>
          <w:lang w:val="en-US" w:eastAsia="zh-CN"/>
        </w:rPr>
        <w:t>H, I</w:t>
      </w:r>
      <w:r>
        <w:rPr>
          <w:rFonts w:hint="default" w:ascii="Times New Roman" w:hAnsi="Times New Roman" w:cs="Times New Roman"/>
          <w:color w:val="auto"/>
          <w:sz w:val="24"/>
        </w:rPr>
        <w:t xml:space="preserve">) Western blots and densitometric analysis for </w:t>
      </w:r>
      <w:r>
        <w:rPr>
          <w:rFonts w:hint="default" w:ascii="Times New Roman" w:hAnsi="Times New Roman" w:cs="Times New Roman"/>
          <w:color w:val="auto"/>
          <w:sz w:val="24"/>
          <w:lang w:val="en-US" w:eastAsia="zh-CN"/>
        </w:rPr>
        <w:t>Occludin</w:t>
      </w:r>
      <w:r>
        <w:rPr>
          <w:rFonts w:hint="default" w:ascii="Times New Roman" w:hAnsi="Times New Roman" w:cs="Times New Roman"/>
          <w:color w:val="auto"/>
          <w:sz w:val="24"/>
          <w:lang w:val="en-GB"/>
        </w:rPr>
        <w:t xml:space="preserve">, </w:t>
      </w:r>
      <w:r>
        <w:rPr>
          <w:rFonts w:hint="default" w:ascii="Times New Roman" w:hAnsi="Times New Roman" w:cs="Times New Roman"/>
          <w:color w:val="auto"/>
          <w:sz w:val="24"/>
          <w:lang w:val="en-US" w:eastAsia="zh-CN"/>
        </w:rPr>
        <w:t>Claudin,</w:t>
      </w:r>
      <w:r>
        <w:rPr>
          <w:rFonts w:hint="default" w:ascii="Times New Roman" w:hAnsi="Times New Roman" w:cs="Times New Roman"/>
          <w:color w:val="auto"/>
          <w:sz w:val="24"/>
        </w:rPr>
        <w:t xml:space="preserve"> and </w:t>
      </w:r>
      <w:r>
        <w:rPr>
          <w:rFonts w:hint="default" w:ascii="Times New Roman" w:hAnsi="Times New Roman" w:cs="Times New Roman"/>
          <w:color w:val="auto"/>
          <w:sz w:val="24"/>
          <w:lang w:val="en-US" w:eastAsia="zh-CN"/>
        </w:rPr>
        <w:t xml:space="preserve">ZO-1 </w:t>
      </w:r>
      <w:r>
        <w:rPr>
          <w:rFonts w:hint="default" w:ascii="Times New Roman" w:hAnsi="Times New Roman" w:cs="Times New Roman"/>
          <w:color w:val="auto"/>
          <w:sz w:val="24"/>
        </w:rPr>
        <w:t>(</w:t>
      </w:r>
      <w:r>
        <w:rPr>
          <w:rFonts w:hint="default" w:ascii="Times New Roman" w:hAnsi="Times New Roman" w:cs="Times New Roman"/>
          <w:i/>
          <w:iCs/>
          <w:color w:val="auto"/>
          <w:sz w:val="24"/>
        </w:rPr>
        <w:t>n</w:t>
      </w:r>
      <w:r>
        <w:rPr>
          <w:rFonts w:hint="default" w:ascii="Times New Roman" w:hAnsi="Times New Roman" w:cs="Times New Roman"/>
          <w:color w:val="auto"/>
          <w:sz w:val="24"/>
        </w:rPr>
        <w:t xml:space="preserve"> = </w:t>
      </w:r>
      <w:r>
        <w:rPr>
          <w:rFonts w:hint="default" w:ascii="Times New Roman" w:hAnsi="Times New Roman" w:cs="Times New Roman"/>
          <w:color w:val="auto"/>
          <w:sz w:val="24"/>
          <w:lang w:val="en-US" w:eastAsia="zh-CN"/>
        </w:rPr>
        <w:t xml:space="preserve">3 </w:t>
      </w:r>
      <w:r>
        <w:rPr>
          <w:rFonts w:hint="default" w:ascii="Times New Roman" w:hAnsi="Times New Roman" w:cs="Times New Roman"/>
          <w:color w:val="auto"/>
          <w:sz w:val="24"/>
        </w:rPr>
        <w:t>independent experiments). β-actin was used as an internal control.</w:t>
      </w: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 xml:space="preserve">Data are presented as mean ± SEM from each group.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 xml:space="preserve">P </w:t>
      </w:r>
      <w:r>
        <w:rPr>
          <w:rFonts w:hint="default" w:ascii="Times New Roman" w:hAnsi="Times New Roman" w:cs="Times New Roman"/>
          <w:color w:val="auto"/>
          <w:sz w:val="24"/>
        </w:rPr>
        <w:t xml:space="preserve">&lt; 0.05 and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0.01 vs the Ctrl group;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0.05 and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0.01 vs the D-gal-treated group. </w:t>
      </w:r>
    </w:p>
    <w:p w14:paraId="131095DB">
      <w:pPr>
        <w:autoSpaceDE w:val="0"/>
        <w:autoSpaceDN w:val="0"/>
        <w:adjustRightInd w:val="0"/>
        <w:spacing w:line="360" w:lineRule="auto"/>
        <w:rPr>
          <w:rFonts w:hint="eastAsia" w:ascii="Times New Roman" w:hAnsi="Times New Roman" w:cs="Times New Roman" w:eastAsiaTheme="minorEastAsia"/>
          <w:color w:val="auto"/>
          <w:sz w:val="24"/>
          <w:lang w:eastAsia="zh-CN"/>
        </w:rPr>
      </w:pPr>
      <w:r>
        <w:rPr>
          <w:rFonts w:hint="eastAsia" w:ascii="Times New Roman" w:hAnsi="Times New Roman" w:cs="Times New Roman" w:eastAsiaTheme="minorEastAsia"/>
          <w:color w:val="auto"/>
          <w:sz w:val="24"/>
          <w:lang w:eastAsia="zh-CN"/>
        </w:rPr>
        <w:drawing>
          <wp:inline distT="0" distB="0" distL="114300" distR="114300">
            <wp:extent cx="5257800" cy="7095490"/>
            <wp:effectExtent l="0" t="0" r="0" b="6350"/>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8"/>
                    <a:stretch>
                      <a:fillRect/>
                    </a:stretch>
                  </pic:blipFill>
                  <pic:spPr>
                    <a:xfrm>
                      <a:off x="0" y="0"/>
                      <a:ext cx="5257800" cy="7095490"/>
                    </a:xfrm>
                    <a:prstGeom prst="rect">
                      <a:avLst/>
                    </a:prstGeom>
                  </pic:spPr>
                </pic:pic>
              </a:graphicData>
            </a:graphic>
          </wp:inline>
        </w:drawing>
      </w:r>
    </w:p>
    <w:p w14:paraId="34E2339B">
      <w:pPr>
        <w:spacing w:line="360" w:lineRule="auto"/>
        <w:rPr>
          <w:rFonts w:hint="default" w:ascii="Times New Roman" w:hAnsi="Times New Roman" w:eastAsia="宋体" w:cs="Times New Roman"/>
          <w:sz w:val="24"/>
          <w:szCs w:val="24"/>
        </w:rPr>
      </w:pPr>
      <w:r>
        <w:rPr>
          <w:rFonts w:hint="eastAsia" w:ascii="Times New Roman" w:hAnsi="Times New Roman" w:cs="Times New Roman"/>
          <w:b/>
          <w:bCs/>
          <w:color w:val="000000"/>
          <w:sz w:val="24"/>
          <w:lang w:val="en-US" w:eastAsia="zh-CN"/>
        </w:rPr>
        <w:t xml:space="preserve">Figure S5. </w:t>
      </w:r>
      <w:r>
        <w:rPr>
          <w:rFonts w:hint="default" w:ascii="Times New Roman" w:hAnsi="Times New Roman" w:cs="Times New Roman"/>
          <w:b/>
          <w:bCs w:val="0"/>
          <w:sz w:val="24"/>
        </w:rPr>
        <w:t xml:space="preserve">CORG protective effects against D-gal-induced </w:t>
      </w:r>
      <w:r>
        <w:rPr>
          <w:rFonts w:hint="eastAsia" w:ascii="Times New Roman" w:hAnsi="Times New Roman" w:cs="Times New Roman"/>
          <w:b/>
          <w:bCs w:val="0"/>
          <w:sz w:val="24"/>
          <w:lang w:val="en-US" w:eastAsia="zh-CN"/>
        </w:rPr>
        <w:t>h</w:t>
      </w:r>
      <w:r>
        <w:rPr>
          <w:rFonts w:hint="default" w:ascii="Times New Roman" w:hAnsi="Times New Roman" w:cs="Times New Roman"/>
          <w:b/>
          <w:bCs w:val="0"/>
          <w:sz w:val="24"/>
        </w:rPr>
        <w:t>ippocampal pathological damage</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szCs w:val="24"/>
        </w:rPr>
        <w:t xml:space="preserve">Representative H&amp;E (A) and Nissl (B) staining of the hippocampal CA1, CA2, CA3, and DG regions. Red arrows indicate neuronal pathological alterations, including disordered cell arrangement, nuclear shrinkage, neuronal loss, and reduced Nissl bodies. </w:t>
      </w:r>
    </w:p>
    <w:p w14:paraId="1F51A2DE">
      <w:pPr>
        <w:spacing w:line="360" w:lineRule="auto"/>
        <w:rPr>
          <w:rFonts w:hint="default" w:ascii="Times New Roman" w:hAnsi="Times New Roman" w:eastAsia="宋体" w:cs="Times New Roman"/>
          <w:sz w:val="24"/>
          <w:szCs w:val="24"/>
        </w:rPr>
      </w:pPr>
    </w:p>
    <w:p w14:paraId="4636B7C7">
      <w:pPr>
        <w:spacing w:line="360" w:lineRule="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59070" cy="6120765"/>
            <wp:effectExtent l="0" t="0" r="13970" b="5715"/>
            <wp:docPr id="6" name="图片 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
                    <pic:cNvPicPr>
                      <a:picLocks noChangeAspect="1"/>
                    </pic:cNvPicPr>
                  </pic:nvPicPr>
                  <pic:blipFill>
                    <a:blip r:embed="rId9"/>
                    <a:stretch>
                      <a:fillRect/>
                    </a:stretch>
                  </pic:blipFill>
                  <pic:spPr>
                    <a:xfrm>
                      <a:off x="0" y="0"/>
                      <a:ext cx="5259070" cy="6120765"/>
                    </a:xfrm>
                    <a:prstGeom prst="rect">
                      <a:avLst/>
                    </a:prstGeom>
                  </pic:spPr>
                </pic:pic>
              </a:graphicData>
            </a:graphic>
          </wp:inline>
        </w:drawing>
      </w:r>
    </w:p>
    <w:p w14:paraId="08FE0395">
      <w:pPr>
        <w:autoSpaceDE w:val="0"/>
        <w:autoSpaceDN w:val="0"/>
        <w:adjustRightInd w:val="0"/>
        <w:spacing w:line="360" w:lineRule="auto"/>
        <w:rPr>
          <w:rFonts w:hint="default" w:ascii="Times New Roman" w:hAnsi="Times New Roman" w:cs="Times New Roman"/>
          <w:color w:val="000000"/>
          <w:sz w:val="24"/>
        </w:rPr>
      </w:pPr>
      <w:r>
        <w:rPr>
          <w:rFonts w:hint="eastAsia" w:ascii="Times New Roman" w:hAnsi="Times New Roman" w:cs="Times New Roman"/>
          <w:b/>
          <w:bCs/>
          <w:sz w:val="24"/>
          <w:lang w:val="en-US" w:eastAsia="zh-CN"/>
        </w:rPr>
        <w:t xml:space="preserve">Figure S6. </w:t>
      </w:r>
      <w:r>
        <w:rPr>
          <w:rFonts w:hint="default" w:ascii="Times New Roman" w:hAnsi="Times New Roman" w:cs="Times New Roman"/>
          <w:b/>
          <w:bCs/>
          <w:sz w:val="24"/>
        </w:rPr>
        <w:t>CORG prevents D-gal-induced impairment of LTP</w:t>
      </w:r>
      <w:r>
        <w:rPr>
          <w:rFonts w:hint="eastAsia" w:ascii="Times New Roman" w:hAnsi="Times New Roman" w:cs="Times New Roman"/>
          <w:b/>
          <w:bCs/>
          <w:sz w:val="24"/>
          <w:lang w:val="en-US" w:eastAsia="zh-CN"/>
        </w:rPr>
        <w:t xml:space="preserve"> and abnormal expression of synapse-associated proteins</w:t>
      </w:r>
      <w:r>
        <w:rPr>
          <w:rFonts w:hint="default" w:ascii="Times New Roman" w:hAnsi="Times New Roman" w:cs="Times New Roman"/>
          <w:sz w:val="24"/>
        </w:rPr>
        <w:t>. (A) Schematic of electrophysiological recordings. (B) fEPSP slope input-output patterns in acute slices of the hippocampus. (C) LTP measured in hippocampal acute slices. Quantification of fEPSP slope at 25–30 min (D) and 55–60 min (E) relative to baseline.</w:t>
      </w:r>
      <w:r>
        <w:rPr>
          <w:rFonts w:hint="default" w:ascii="Times New Roman" w:hAnsi="Times New Roman" w:eastAsia="宋体" w:cs="Times New Roman"/>
          <w:sz w:val="24"/>
          <w:szCs w:val="24"/>
        </w:rPr>
        <w:t xml:space="preserve"> (D) Representative </w:t>
      </w:r>
      <w:r>
        <w:rPr>
          <w:rFonts w:hint="eastAsia" w:ascii="Times New Roman" w:hAnsi="Times New Roman" w:eastAsia="宋体" w:cs="Times New Roman"/>
          <w:sz w:val="24"/>
          <w:szCs w:val="24"/>
          <w:lang w:val="en-US" w:eastAsia="zh-CN"/>
        </w:rPr>
        <w:t>i</w:t>
      </w:r>
      <w:r>
        <w:rPr>
          <w:rFonts w:hint="default" w:ascii="Times New Roman" w:hAnsi="Times New Roman" w:eastAsia="宋体" w:cs="Times New Roman"/>
          <w:sz w:val="24"/>
          <w:szCs w:val="24"/>
        </w:rPr>
        <w:t xml:space="preserve">mmunofluorescence‌ images of PSD95 and Synapsin I in the hippocampus. (E, F) Quantification of PSD95 and Synapsin I fluorescence intensity (n = 5). (G, H) </w:t>
      </w:r>
      <w:r>
        <w:rPr>
          <w:rFonts w:hint="default" w:ascii="Times New Roman" w:hAnsi="Times New Roman" w:cs="Times New Roman"/>
          <w:sz w:val="24"/>
        </w:rPr>
        <w:t>Western blots and densitometric analysis for</w:t>
      </w:r>
      <w:r>
        <w:rPr>
          <w:rFonts w:hint="default" w:ascii="Times New Roman" w:hAnsi="Times New Roman" w:eastAsia="宋体" w:cs="Times New Roman"/>
          <w:sz w:val="24"/>
          <w:szCs w:val="24"/>
        </w:rPr>
        <w:t xml:space="preserve"> of PSD95, Synapsin I, and BDNF (n = 3). </w:t>
      </w:r>
      <w:r>
        <w:rPr>
          <w:rFonts w:hint="default" w:ascii="Times New Roman" w:hAnsi="Times New Roman" w:cs="Times New Roman"/>
          <w:sz w:val="24"/>
        </w:rPr>
        <w:t xml:space="preserve">β-actin was used as an internal control. </w:t>
      </w:r>
      <w:r>
        <w:rPr>
          <w:rFonts w:hint="default" w:ascii="Times New Roman" w:hAnsi="Times New Roman" w:cs="Times New Roman"/>
          <w:color w:val="000000"/>
          <w:sz w:val="24"/>
        </w:rPr>
        <w:t xml:space="preserve">Data are presented as mean ± SEM from each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 xml:space="preserve">P </w:t>
      </w:r>
      <w:r>
        <w:rPr>
          <w:rFonts w:hint="default" w:ascii="Times New Roman" w:hAnsi="Times New Roman" w:cs="Times New Roman"/>
          <w:color w:val="000000"/>
          <w:sz w:val="24"/>
        </w:rPr>
        <w:t xml:space="preserve">&lt;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untreated Ctrl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D-gal-treated group. </w:t>
      </w:r>
    </w:p>
    <w:p w14:paraId="7B66E564">
      <w:pPr>
        <w:autoSpaceDE w:val="0"/>
        <w:autoSpaceDN w:val="0"/>
        <w:adjustRightInd w:val="0"/>
        <w:spacing w:line="360" w:lineRule="auto"/>
        <w:rPr>
          <w:rFonts w:hint="default" w:ascii="Times New Roman" w:hAnsi="Times New Roman" w:cs="Times New Roman"/>
          <w:color w:val="000000"/>
          <w:sz w:val="24"/>
        </w:rPr>
      </w:pPr>
    </w:p>
    <w:p w14:paraId="58F821EB">
      <w:pPr>
        <w:autoSpaceDE w:val="0"/>
        <w:autoSpaceDN w:val="0"/>
        <w:adjustRightInd w:val="0"/>
        <w:spacing w:line="360" w:lineRule="auto"/>
        <w:rPr>
          <w:rFonts w:hint="eastAsia" w:ascii="Times New Roman" w:hAnsi="Times New Roman" w:cs="Times New Roman" w:eastAsiaTheme="minorEastAsia"/>
          <w:color w:val="000000"/>
          <w:sz w:val="24"/>
          <w:lang w:val="en-US" w:eastAsia="zh-CN"/>
        </w:rPr>
      </w:pPr>
      <w:r>
        <w:rPr>
          <w:rFonts w:hint="eastAsia" w:ascii="Times New Roman" w:hAnsi="Times New Roman" w:cs="Times New Roman" w:eastAsiaTheme="minorEastAsia"/>
          <w:color w:val="000000"/>
          <w:sz w:val="24"/>
          <w:lang w:val="en-US" w:eastAsia="zh-CN"/>
        </w:rPr>
        <w:drawing>
          <wp:inline distT="0" distB="0" distL="114300" distR="114300">
            <wp:extent cx="5256530" cy="6336030"/>
            <wp:effectExtent l="0" t="0" r="1270" b="3810"/>
            <wp:docPr id="7" name="图片 7"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7"/>
                    <pic:cNvPicPr>
                      <a:picLocks noChangeAspect="1"/>
                    </pic:cNvPicPr>
                  </pic:nvPicPr>
                  <pic:blipFill>
                    <a:blip r:embed="rId10"/>
                    <a:stretch>
                      <a:fillRect/>
                    </a:stretch>
                  </pic:blipFill>
                  <pic:spPr>
                    <a:xfrm>
                      <a:off x="0" y="0"/>
                      <a:ext cx="5256530" cy="6336030"/>
                    </a:xfrm>
                    <a:prstGeom prst="rect">
                      <a:avLst/>
                    </a:prstGeom>
                  </pic:spPr>
                </pic:pic>
              </a:graphicData>
            </a:graphic>
          </wp:inline>
        </w:drawing>
      </w:r>
    </w:p>
    <w:p w14:paraId="55EFC13B">
      <w:pPr>
        <w:autoSpaceDE w:val="0"/>
        <w:autoSpaceDN w:val="0"/>
        <w:adjustRightInd w:val="0"/>
        <w:spacing w:line="360" w:lineRule="auto"/>
        <w:rPr>
          <w:rFonts w:hint="default" w:ascii="Times New Roman" w:hAnsi="Times New Roman" w:cs="Times New Roman"/>
          <w:color w:val="auto"/>
          <w:sz w:val="24"/>
        </w:rPr>
      </w:pPr>
      <w:r>
        <w:rPr>
          <w:rFonts w:hint="eastAsia" w:ascii="Times New Roman" w:hAnsi="Times New Roman" w:cs="Times New Roman"/>
          <w:b/>
          <w:bCs/>
          <w:color w:val="000000"/>
          <w:sz w:val="24"/>
          <w:lang w:val="en-US" w:eastAsia="zh-CN"/>
        </w:rPr>
        <w:t xml:space="preserve">Figure S7. </w:t>
      </w:r>
      <w:r>
        <w:rPr>
          <w:rFonts w:hint="default" w:ascii="Times New Roman" w:hAnsi="Times New Roman" w:cs="Times New Roman"/>
          <w:b/>
          <w:bCs/>
          <w:color w:val="auto"/>
          <w:sz w:val="24"/>
        </w:rPr>
        <w:t>CORG attenuates D-gal-induced oxidative stress and SASP factors in the brains of D-gal-induced aging mice</w:t>
      </w:r>
      <w:r>
        <w:rPr>
          <w:rFonts w:hint="default" w:ascii="Times New Roman" w:hAnsi="Times New Roman" w:cs="Times New Roman"/>
          <w:color w:val="auto"/>
          <w:sz w:val="24"/>
        </w:rPr>
        <w:t xml:space="preserve">. </w:t>
      </w:r>
      <w:r>
        <w:rPr>
          <w:rFonts w:hint="eastAsia" w:ascii="Times New Roman" w:hAnsi="Times New Roman" w:cs="Times New Roman"/>
          <w:color w:val="auto"/>
          <w:sz w:val="24"/>
          <w:lang w:val="en-US" w:eastAsia="zh-CN"/>
        </w:rPr>
        <w:t>(A) SA-</w:t>
      </w:r>
      <w:r>
        <w:rPr>
          <w:rFonts w:hint="default" w:ascii="Times New Roman" w:hAnsi="Times New Roman" w:cs="Times New Roman"/>
          <w:color w:val="auto"/>
          <w:sz w:val="24"/>
          <w:lang w:val="en-US" w:eastAsia="zh-CN"/>
        </w:rPr>
        <w:t>β</w:t>
      </w:r>
      <w:r>
        <w:rPr>
          <w:rFonts w:hint="eastAsia" w:ascii="Times New Roman" w:hAnsi="Times New Roman" w:cs="Times New Roman"/>
          <w:color w:val="auto"/>
          <w:sz w:val="24"/>
          <w:lang w:val="en-US" w:eastAsia="zh-CN"/>
        </w:rPr>
        <w:t xml:space="preserve">-gal staining in hippocampus. (B) </w:t>
      </w:r>
      <w:r>
        <w:rPr>
          <w:rFonts w:hint="default" w:ascii="Times New Roman" w:hAnsi="Times New Roman" w:eastAsia="宋体" w:cs="Times New Roman"/>
          <w:color w:val="auto"/>
          <w:sz w:val="24"/>
          <w:szCs w:val="24"/>
        </w:rPr>
        <w:t xml:space="preserve">Quantification of </w:t>
      </w:r>
      <w:r>
        <w:rPr>
          <w:rFonts w:hint="eastAsia" w:ascii="Times New Roman" w:hAnsi="Times New Roman" w:cs="Times New Roman"/>
          <w:color w:val="auto"/>
          <w:sz w:val="24"/>
          <w:lang w:val="en-US" w:eastAsia="zh-CN"/>
        </w:rPr>
        <w:t>SA-</w:t>
      </w:r>
      <w:r>
        <w:rPr>
          <w:rFonts w:hint="default" w:ascii="Times New Roman" w:hAnsi="Times New Roman" w:cs="Times New Roman"/>
          <w:color w:val="auto"/>
          <w:sz w:val="24"/>
          <w:lang w:val="en-US" w:eastAsia="zh-CN"/>
        </w:rPr>
        <w:t>β</w:t>
      </w:r>
      <w:r>
        <w:rPr>
          <w:rFonts w:hint="eastAsia" w:ascii="Times New Roman" w:hAnsi="Times New Roman" w:cs="Times New Roman"/>
          <w:color w:val="auto"/>
          <w:sz w:val="24"/>
          <w:lang w:val="en-US" w:eastAsia="zh-CN"/>
        </w:rPr>
        <w:t>-gal</w:t>
      </w:r>
      <w:r>
        <w:rPr>
          <w:rFonts w:hint="eastAsia" w:ascii="Times New Roman" w:hAnsi="Times New Roman" w:cs="Times New Roman"/>
          <w:color w:val="auto"/>
          <w:sz w:val="24"/>
          <w:vertAlign w:val="superscript"/>
          <w:lang w:val="en-US" w:eastAsia="zh-CN"/>
        </w:rPr>
        <w:t>+</w:t>
      </w:r>
      <w:r>
        <w:rPr>
          <w:rFonts w:hint="default" w:ascii="Times New Roman" w:hAnsi="Times New Roman" w:eastAsia="宋体" w:cs="Times New Roman"/>
          <w:color w:val="auto"/>
          <w:sz w:val="24"/>
          <w:szCs w:val="24"/>
        </w:rPr>
        <w:t xml:space="preserve"> cells. (</w:t>
      </w:r>
      <w:r>
        <w:rPr>
          <w:rFonts w:hint="default" w:ascii="Times New Roman" w:hAnsi="Times New Roman" w:eastAsia="宋体" w:cs="Times New Roman"/>
          <w:sz w:val="24"/>
          <w:szCs w:val="24"/>
        </w:rPr>
        <w:t>C–F) Levels of ICAM-1, PAI-1, MMP-9, and MMP-3. (G) Representative DHE fluorescence images showing intracellular ROS production. Nuclei were stained with DAPI, and boxed areas are shown at higher magnification. (H) Quantification of DHE fluorescence intensity. (I–L) CAT activity, SOD activity</w:t>
      </w:r>
      <w:r>
        <w:rPr>
          <w:rFonts w:hint="default" w:ascii="Times New Roman" w:hAnsi="Times New Roman" w:eastAsia="宋体" w:cs="Times New Roman"/>
          <w:color w:val="auto"/>
          <w:sz w:val="24"/>
          <w:szCs w:val="24"/>
        </w:rPr>
        <w:t>, GSH-Px activity, and MDA level.</w:t>
      </w:r>
      <w:r>
        <w:rPr>
          <w:rFonts w:hint="default" w:ascii="Times New Roman" w:hAnsi="Times New Roman" w:cs="Times New Roman"/>
          <w:color w:val="auto"/>
          <w:sz w:val="24"/>
        </w:rPr>
        <w:t xml:space="preserve"> Data are presented as mean ± SEM from each group.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 xml:space="preserve">P </w:t>
      </w:r>
      <w:r>
        <w:rPr>
          <w:rFonts w:hint="default" w:ascii="Times New Roman" w:hAnsi="Times New Roman" w:cs="Times New Roman"/>
          <w:color w:val="auto"/>
          <w:sz w:val="24"/>
        </w:rPr>
        <w:t xml:space="preserve">&lt; 0.05 and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0.01 vs the untreated Ctrl group;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0.05 and </w:t>
      </w:r>
      <w:r>
        <w:rPr>
          <w:rFonts w:hint="default" w:ascii="Times New Roman" w:hAnsi="Times New Roman" w:cs="Times New Roman"/>
          <w:color w:val="auto"/>
          <w:sz w:val="24"/>
          <w:vertAlign w:val="superscript"/>
        </w:rPr>
        <w:t>**</w:t>
      </w:r>
      <w:r>
        <w:rPr>
          <w:rFonts w:hint="default" w:ascii="Times New Roman" w:hAnsi="Times New Roman" w:cs="Times New Roman"/>
          <w:i/>
          <w:iCs/>
          <w:color w:val="auto"/>
          <w:sz w:val="24"/>
        </w:rPr>
        <w:t>P</w:t>
      </w:r>
      <w:r>
        <w:rPr>
          <w:rFonts w:hint="default" w:ascii="Times New Roman" w:hAnsi="Times New Roman" w:cs="Times New Roman"/>
          <w:color w:val="auto"/>
          <w:sz w:val="24"/>
        </w:rPr>
        <w:t xml:space="preserve"> &lt; 0.01 vs the D-gal-treated group. </w:t>
      </w:r>
    </w:p>
    <w:p w14:paraId="7C025864">
      <w:pPr>
        <w:autoSpaceDE w:val="0"/>
        <w:autoSpaceDN w:val="0"/>
        <w:adjustRightInd w:val="0"/>
        <w:spacing w:line="360" w:lineRule="auto"/>
        <w:rPr>
          <w:rFonts w:hint="default" w:ascii="Times New Roman" w:hAnsi="Times New Roman" w:cs="Times New Roman"/>
          <w:color w:val="auto"/>
          <w:sz w:val="24"/>
        </w:rPr>
      </w:pPr>
    </w:p>
    <w:p w14:paraId="25E68A39">
      <w:pPr>
        <w:autoSpaceDE w:val="0"/>
        <w:autoSpaceDN w:val="0"/>
        <w:adjustRightInd w:val="0"/>
        <w:spacing w:line="360" w:lineRule="auto"/>
        <w:rPr>
          <w:rFonts w:hint="eastAsia" w:ascii="Times New Roman" w:hAnsi="Times New Roman" w:cs="Times New Roman" w:eastAsiaTheme="minorEastAsia"/>
          <w:color w:val="auto"/>
          <w:sz w:val="24"/>
          <w:lang w:val="en-US" w:eastAsia="zh-CN"/>
        </w:rPr>
      </w:pPr>
      <w:r>
        <w:rPr>
          <w:rFonts w:hint="eastAsia" w:ascii="Times New Roman" w:hAnsi="Times New Roman" w:cs="Times New Roman" w:eastAsiaTheme="minorEastAsia"/>
          <w:color w:val="auto"/>
          <w:sz w:val="24"/>
          <w:lang w:val="en-US" w:eastAsia="zh-CN"/>
        </w:rPr>
        <w:drawing>
          <wp:inline distT="0" distB="0" distL="114300" distR="114300">
            <wp:extent cx="5267960" cy="2492375"/>
            <wp:effectExtent l="0" t="0" r="5080" b="6985"/>
            <wp:docPr id="8" name="图片 8"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8"/>
                    <pic:cNvPicPr>
                      <a:picLocks noChangeAspect="1"/>
                    </pic:cNvPicPr>
                  </pic:nvPicPr>
                  <pic:blipFill>
                    <a:blip r:embed="rId11"/>
                    <a:stretch>
                      <a:fillRect/>
                    </a:stretch>
                  </pic:blipFill>
                  <pic:spPr>
                    <a:xfrm>
                      <a:off x="0" y="0"/>
                      <a:ext cx="5267960" cy="2492375"/>
                    </a:xfrm>
                    <a:prstGeom prst="rect">
                      <a:avLst/>
                    </a:prstGeom>
                  </pic:spPr>
                </pic:pic>
              </a:graphicData>
            </a:graphic>
          </wp:inline>
        </w:drawing>
      </w:r>
    </w:p>
    <w:p w14:paraId="767F64F7">
      <w:pPr>
        <w:autoSpaceDE w:val="0"/>
        <w:autoSpaceDN w:val="0"/>
        <w:adjustRightInd w:val="0"/>
        <w:spacing w:line="360" w:lineRule="auto"/>
        <w:rPr>
          <w:rFonts w:hint="default" w:ascii="Times New Roman" w:hAnsi="Times New Roman" w:cs="Times New Roman"/>
          <w:color w:val="000000"/>
          <w:sz w:val="24"/>
        </w:rPr>
      </w:pPr>
      <w:r>
        <w:rPr>
          <w:rFonts w:hint="eastAsia" w:ascii="Times New Roman" w:hAnsi="Times New Roman" w:cs="Times New Roman"/>
          <w:b/>
          <w:bCs/>
          <w:color w:val="000000"/>
          <w:sz w:val="24"/>
          <w:lang w:val="en-US" w:eastAsia="zh-CN"/>
        </w:rPr>
        <w:t xml:space="preserve">Figure S8. </w:t>
      </w:r>
      <w:r>
        <w:rPr>
          <w:rFonts w:hint="default" w:ascii="Times New Roman" w:hAnsi="Times New Roman" w:cs="Times New Roman"/>
          <w:b/>
          <w:bCs/>
          <w:color w:val="000000"/>
          <w:sz w:val="24"/>
        </w:rPr>
        <w:t xml:space="preserve">CORG </w:t>
      </w:r>
      <w:r>
        <w:rPr>
          <w:rFonts w:hint="eastAsia" w:ascii="Times New Roman" w:hAnsi="Times New Roman" w:cs="Times New Roman"/>
          <w:b/>
          <w:bCs/>
          <w:color w:val="000000"/>
          <w:sz w:val="24"/>
          <w:lang w:val="en-US" w:eastAsia="zh-CN"/>
        </w:rPr>
        <w:t>rescues</w:t>
      </w:r>
      <w:r>
        <w:rPr>
          <w:rFonts w:hint="default" w:ascii="Times New Roman" w:hAnsi="Times New Roman" w:cs="Times New Roman"/>
          <w:b/>
          <w:bCs/>
          <w:color w:val="000000"/>
          <w:sz w:val="24"/>
        </w:rPr>
        <w:t xml:space="preserve"> microglia activation and morphological plasticity </w:t>
      </w:r>
      <w:r>
        <w:rPr>
          <w:rFonts w:hint="default" w:ascii="Times New Roman" w:hAnsi="Times New Roman" w:cs="Times New Roman"/>
          <w:b/>
          <w:bCs/>
          <w:i/>
          <w:iCs/>
          <w:color w:val="000000"/>
          <w:sz w:val="24"/>
        </w:rPr>
        <w:t>in vivo</w:t>
      </w:r>
      <w:r>
        <w:rPr>
          <w:rFonts w:hint="default" w:ascii="Times New Roman" w:hAnsi="Times New Roman" w:cs="Times New Roman"/>
          <w:color w:val="000000"/>
          <w:sz w:val="24"/>
        </w:rPr>
        <w:t>.  Statistical results for the number of intersections (</w:t>
      </w:r>
      <w:r>
        <w:rPr>
          <w:rFonts w:hint="eastAsia" w:ascii="Times New Roman" w:hAnsi="Times New Roman" w:cs="Times New Roman"/>
          <w:color w:val="000000"/>
          <w:sz w:val="24"/>
          <w:lang w:val="en-US" w:eastAsia="zh-CN"/>
        </w:rPr>
        <w:t>A</w:t>
      </w:r>
      <w:r>
        <w:rPr>
          <w:rFonts w:hint="default" w:ascii="Times New Roman" w:hAnsi="Times New Roman" w:cs="Times New Roman"/>
          <w:color w:val="000000"/>
          <w:sz w:val="24"/>
        </w:rPr>
        <w:t>)</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the number of terminal points (</w:t>
      </w:r>
      <w:r>
        <w:rPr>
          <w:rFonts w:hint="eastAsia" w:ascii="Times New Roman" w:hAnsi="Times New Roman" w:cs="Times New Roman"/>
          <w:color w:val="000000"/>
          <w:sz w:val="24"/>
          <w:lang w:val="en-US" w:eastAsia="zh-CN"/>
        </w:rPr>
        <w:t>B</w:t>
      </w:r>
      <w:r>
        <w:rPr>
          <w:rFonts w:hint="default" w:ascii="Times New Roman" w:hAnsi="Times New Roman" w:cs="Times New Roman"/>
          <w:color w:val="000000"/>
          <w:sz w:val="24"/>
        </w:rPr>
        <w:t>)</w:t>
      </w:r>
      <w:r>
        <w:rPr>
          <w:rFonts w:hint="default" w:ascii="Times New Roman" w:hAnsi="Times New Roman" w:cs="Times New Roman"/>
          <w:color w:val="000000"/>
          <w:sz w:val="24"/>
          <w:lang w:val="en-US" w:eastAsia="zh-CN"/>
        </w:rPr>
        <w:t>, r</w:t>
      </w:r>
      <w:r>
        <w:rPr>
          <w:rFonts w:hint="default" w:ascii="Times New Roman" w:hAnsi="Times New Roman" w:cs="Times New Roman"/>
          <w:color w:val="000000"/>
          <w:sz w:val="24"/>
        </w:rPr>
        <w:t>elative process length of single microglia</w:t>
      </w:r>
      <w:r>
        <w:rPr>
          <w:rFonts w:hint="default" w:ascii="Times New Roman" w:hAnsi="Times New Roman" w:cs="Times New Roman"/>
          <w:color w:val="000000"/>
          <w:sz w:val="24"/>
          <w:lang w:val="en-US" w:eastAsia="zh-CN"/>
        </w:rPr>
        <w:t xml:space="preserve"> (</w:t>
      </w:r>
      <w:r>
        <w:rPr>
          <w:rFonts w:hint="eastAsia" w:ascii="Times New Roman" w:hAnsi="Times New Roman" w:cs="Times New Roman"/>
          <w:color w:val="000000"/>
          <w:sz w:val="24"/>
          <w:lang w:val="en-US" w:eastAsia="zh-CN"/>
        </w:rPr>
        <w:t>C</w:t>
      </w:r>
      <w:r>
        <w:rPr>
          <w:rFonts w:hint="default" w:ascii="Times New Roman" w:hAnsi="Times New Roman" w:cs="Times New Roman"/>
          <w:color w:val="000000"/>
          <w:sz w:val="24"/>
          <w:lang w:val="en-US" w:eastAsia="zh-CN"/>
        </w:rPr>
        <w:t>), and relative surveillance territory (</w:t>
      </w:r>
      <w:r>
        <w:rPr>
          <w:rFonts w:hint="eastAsia" w:ascii="Times New Roman" w:hAnsi="Times New Roman" w:cs="Times New Roman"/>
          <w:color w:val="000000"/>
          <w:sz w:val="24"/>
          <w:lang w:val="en-US" w:eastAsia="zh-CN"/>
        </w:rPr>
        <w:t>D</w:t>
      </w:r>
      <w:r>
        <w:rPr>
          <w:rFonts w:hint="default" w:ascii="Times New Roman" w:hAnsi="Times New Roman" w:cs="Times New Roman"/>
          <w:color w:val="000000"/>
          <w:sz w:val="24"/>
          <w:lang w:val="en-US" w:eastAsia="zh-CN"/>
        </w:rPr>
        <w:t>)</w:t>
      </w:r>
      <w:r>
        <w:rPr>
          <w:rFonts w:hint="default" w:ascii="Times New Roman" w:hAnsi="Times New Roman" w:cs="Times New Roman"/>
          <w:color w:val="000000"/>
          <w:sz w:val="24"/>
        </w:rPr>
        <w:t xml:space="preserve"> in each group</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sz w:val="24"/>
        </w:rPr>
        <w:t>(</w:t>
      </w:r>
      <w:r>
        <w:rPr>
          <w:rFonts w:hint="default" w:ascii="Times New Roman" w:hAnsi="Times New Roman" w:cs="Times New Roman"/>
          <w:i/>
          <w:iCs/>
          <w:sz w:val="24"/>
        </w:rPr>
        <w:t>n</w:t>
      </w:r>
      <w:r>
        <w:rPr>
          <w:rFonts w:hint="default" w:ascii="Times New Roman" w:hAnsi="Times New Roman" w:cs="Times New Roman"/>
          <w:sz w:val="24"/>
        </w:rPr>
        <w:t xml:space="preserve"> = </w:t>
      </w:r>
      <w:r>
        <w:rPr>
          <w:rFonts w:hint="default" w:ascii="Times New Roman" w:hAnsi="Times New Roman" w:cs="Times New Roman"/>
          <w:sz w:val="24"/>
          <w:lang w:val="en-US" w:eastAsia="zh-CN"/>
        </w:rPr>
        <w:t>5</w:t>
      </w:r>
      <w:r>
        <w:rPr>
          <w:rFonts w:hint="default" w:ascii="Times New Roman" w:hAnsi="Times New Roman" w:cs="Times New Roman"/>
          <w:sz w:val="24"/>
        </w:rPr>
        <w:t xml:space="preserve"> independent experiments)</w:t>
      </w:r>
      <w:r>
        <w:rPr>
          <w:rFonts w:hint="default" w:ascii="Times New Roman" w:hAnsi="Times New Roman" w:cs="Times New Roman"/>
          <w:color w:val="000000"/>
          <w:sz w:val="24"/>
        </w:rPr>
        <w:t>. (</w:t>
      </w:r>
      <w:r>
        <w:rPr>
          <w:rFonts w:hint="eastAsia" w:ascii="Times New Roman" w:hAnsi="Times New Roman" w:cs="Times New Roman"/>
          <w:color w:val="000000"/>
          <w:sz w:val="24"/>
          <w:lang w:val="en-US" w:eastAsia="zh-CN"/>
        </w:rPr>
        <w:t>E, F</w:t>
      </w:r>
      <w:r>
        <w:rPr>
          <w:rFonts w:hint="default" w:ascii="Times New Roman" w:hAnsi="Times New Roman" w:cs="Times New Roman"/>
          <w:color w:val="000000"/>
          <w:sz w:val="24"/>
        </w:rPr>
        <w:t xml:space="preserve">) </w:t>
      </w:r>
      <w:r>
        <w:rPr>
          <w:rFonts w:hint="default" w:ascii="Times New Roman" w:hAnsi="Times New Roman" w:cs="Times New Roman"/>
          <w:sz w:val="24"/>
        </w:rPr>
        <w:t>Western blots and densitometric analysis for CD68 and IBA1</w:t>
      </w:r>
      <w:r>
        <w:rPr>
          <w:rFonts w:hint="default" w:ascii="Times New Roman" w:hAnsi="Times New Roman" w:cs="Times New Roman"/>
          <w:sz w:val="24"/>
          <w:lang w:val="en-US" w:eastAsia="zh-CN"/>
        </w:rPr>
        <w:t xml:space="preserve"> </w:t>
      </w:r>
      <w:r>
        <w:rPr>
          <w:rFonts w:hint="default" w:ascii="Times New Roman" w:hAnsi="Times New Roman" w:cs="Times New Roman"/>
          <w:color w:val="000000"/>
          <w:sz w:val="24"/>
        </w:rPr>
        <w:t>(</w:t>
      </w:r>
      <w:r>
        <w:rPr>
          <w:rFonts w:hint="default" w:ascii="Times New Roman" w:hAnsi="Times New Roman" w:cs="Times New Roman"/>
          <w:i/>
          <w:iCs/>
          <w:color w:val="000000"/>
          <w:sz w:val="24"/>
        </w:rPr>
        <w:t>n</w:t>
      </w:r>
      <w:r>
        <w:rPr>
          <w:rFonts w:hint="default" w:ascii="Times New Roman" w:hAnsi="Times New Roman" w:cs="Times New Roman"/>
          <w:color w:val="000000"/>
          <w:sz w:val="24"/>
        </w:rPr>
        <w:t xml:space="preserve"> = 3 independent experiments)</w:t>
      </w:r>
      <w:r>
        <w:rPr>
          <w:rFonts w:hint="default" w:ascii="Times New Roman" w:hAnsi="Times New Roman" w:cs="Times New Roman"/>
          <w:sz w:val="24"/>
        </w:rPr>
        <w:t xml:space="preserve">. β-actin was used as an internal control. </w:t>
      </w:r>
      <w:r>
        <w:rPr>
          <w:rFonts w:hint="default" w:ascii="Times New Roman" w:hAnsi="Times New Roman" w:cs="Times New Roman"/>
          <w:color w:val="000000"/>
          <w:sz w:val="24"/>
        </w:rPr>
        <w:t xml:space="preserve">Data are presented as mean ± SEM from each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 xml:space="preserve">P </w:t>
      </w:r>
      <w:r>
        <w:rPr>
          <w:rFonts w:hint="default" w:ascii="Times New Roman" w:hAnsi="Times New Roman" w:cs="Times New Roman"/>
          <w:color w:val="000000"/>
          <w:sz w:val="24"/>
        </w:rPr>
        <w:t xml:space="preserve">&lt;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untreated Ctrl group;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0.05 and </w:t>
      </w:r>
      <w:r>
        <w:rPr>
          <w:rFonts w:hint="default" w:ascii="Times New Roman" w:hAnsi="Times New Roman" w:cs="Times New Roman"/>
          <w:color w:val="000000"/>
          <w:sz w:val="24"/>
          <w:vertAlign w:val="superscript"/>
        </w:rPr>
        <w:t>**</w:t>
      </w:r>
      <w:r>
        <w:rPr>
          <w:rFonts w:hint="default" w:ascii="Times New Roman" w:hAnsi="Times New Roman" w:cs="Times New Roman"/>
          <w:i/>
          <w:iCs/>
          <w:color w:val="000000"/>
          <w:sz w:val="24"/>
        </w:rPr>
        <w:t>P</w:t>
      </w:r>
      <w:r>
        <w:rPr>
          <w:rFonts w:hint="default" w:ascii="Times New Roman" w:hAnsi="Times New Roman" w:cs="Times New Roman"/>
          <w:color w:val="000000"/>
          <w:sz w:val="24"/>
        </w:rPr>
        <w:t xml:space="preserve"> &lt; 0.01 vs the D-gal-treated group. </w:t>
      </w:r>
    </w:p>
    <w:p w14:paraId="309BF8A6">
      <w:pPr>
        <w:autoSpaceDE w:val="0"/>
        <w:autoSpaceDN w:val="0"/>
        <w:adjustRightInd w:val="0"/>
        <w:spacing w:line="360" w:lineRule="auto"/>
        <w:rPr>
          <w:rFonts w:hint="eastAsia" w:ascii="Times New Roman" w:hAnsi="Times New Roman" w:cs="Times New Roman" w:eastAsiaTheme="minorEastAsia"/>
          <w:color w:val="000000"/>
          <w:sz w:val="24"/>
          <w:lang w:eastAsia="zh-CN"/>
        </w:rPr>
      </w:pPr>
      <w:r>
        <w:rPr>
          <w:rFonts w:hint="eastAsia" w:ascii="Times New Roman" w:hAnsi="Times New Roman" w:cs="Times New Roman" w:eastAsiaTheme="minorEastAsia"/>
          <w:color w:val="000000"/>
          <w:sz w:val="24"/>
          <w:lang w:eastAsia="zh-CN"/>
        </w:rPr>
        <w:drawing>
          <wp:inline distT="0" distB="0" distL="114300" distR="114300">
            <wp:extent cx="5228590" cy="3533140"/>
            <wp:effectExtent l="0" t="0" r="13970" b="2540"/>
            <wp:docPr id="9" name="图片 9"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9"/>
                    <pic:cNvPicPr>
                      <a:picLocks noChangeAspect="1"/>
                    </pic:cNvPicPr>
                  </pic:nvPicPr>
                  <pic:blipFill>
                    <a:blip r:embed="rId12"/>
                    <a:stretch>
                      <a:fillRect/>
                    </a:stretch>
                  </pic:blipFill>
                  <pic:spPr>
                    <a:xfrm>
                      <a:off x="0" y="0"/>
                      <a:ext cx="5228590" cy="3533140"/>
                    </a:xfrm>
                    <a:prstGeom prst="rect">
                      <a:avLst/>
                    </a:prstGeom>
                  </pic:spPr>
                </pic:pic>
              </a:graphicData>
            </a:graphic>
          </wp:inline>
        </w:drawing>
      </w:r>
    </w:p>
    <w:p w14:paraId="5F7A2F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b w:val="0"/>
          <w:bCs/>
          <w:sz w:val="24"/>
          <w:szCs w:val="24"/>
        </w:rPr>
      </w:pPr>
      <w:r>
        <w:rPr>
          <w:rFonts w:hint="eastAsia" w:ascii="Times New Roman" w:hAnsi="Times New Roman" w:cs="Times New Roman"/>
          <w:b/>
          <w:bCs/>
          <w:color w:val="000000"/>
          <w:sz w:val="24"/>
          <w:lang w:val="en-US" w:eastAsia="zh-CN"/>
        </w:rPr>
        <w:t xml:space="preserve">Figure S9. </w:t>
      </w:r>
      <w:r>
        <w:rPr>
          <w:rFonts w:ascii="Times New Roman" w:hAnsi="Times New Roman" w:eastAsia="宋体" w:cs="Times New Roman"/>
          <w:b/>
          <w:bCs/>
          <w:sz w:val="24"/>
        </w:rPr>
        <w:t xml:space="preserve">Identifying potential mechanisms of action for </w:t>
      </w:r>
      <w:r>
        <w:rPr>
          <w:rFonts w:hint="eastAsia" w:ascii="Times New Roman" w:hAnsi="Times New Roman" w:eastAsia="宋体" w:cs="Times New Roman"/>
          <w:b/>
          <w:bCs/>
          <w:sz w:val="24"/>
          <w:lang w:val="en-US" w:eastAsia="zh-CN"/>
        </w:rPr>
        <w:t xml:space="preserve">CORG </w:t>
      </w:r>
      <w:r>
        <w:rPr>
          <w:rFonts w:ascii="Times New Roman" w:hAnsi="Times New Roman" w:eastAsia="宋体" w:cs="Times New Roman"/>
          <w:b/>
          <w:bCs/>
          <w:sz w:val="24"/>
        </w:rPr>
        <w:t>through network pharmacology screening</w:t>
      </w:r>
      <w:r>
        <w:rPr>
          <w:rFonts w:hint="eastAsia" w:ascii="Times New Roman" w:hAnsi="Times New Roman" w:eastAsia="宋体" w:cs="Times New Roman"/>
          <w:b/>
          <w:bCs/>
          <w:sz w:val="24"/>
          <w:lang w:val="en-US" w:eastAsia="zh-CN"/>
        </w:rPr>
        <w:t xml:space="preserve">. </w:t>
      </w:r>
      <w:r>
        <w:rPr>
          <w:rStyle w:val="5"/>
          <w:rFonts w:hint="default" w:ascii="Times New Roman" w:hAnsi="Times New Roman" w:eastAsia="宋体" w:cs="Times New Roman"/>
          <w:b w:val="0"/>
          <w:bCs/>
          <w:sz w:val="24"/>
          <w:szCs w:val="24"/>
        </w:rPr>
        <w:t>(A) Venn diagram showing the overlapping targets between CORG-related targets and AD-associated targets. (B) CORG–target interaction network. (C) GO-BP enrichment analysis of the overlapping targets. Bubble size represents the gene count, and bubble color represents the FDR value. (D) PPI network of the candidate targets.</w:t>
      </w:r>
    </w:p>
    <w:p w14:paraId="0DBD95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eastAsiaTheme="minorEastAsia"/>
          <w:sz w:val="24"/>
          <w:szCs w:val="24"/>
          <w:lang w:eastAsia="zh-CN"/>
        </w:rPr>
        <w:drawing>
          <wp:inline distT="0" distB="0" distL="114300" distR="114300">
            <wp:extent cx="5255895" cy="6830060"/>
            <wp:effectExtent l="0" t="0" r="1905" b="12700"/>
            <wp:docPr id="10" name="图片 10"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10"/>
                    <pic:cNvPicPr>
                      <a:picLocks noChangeAspect="1"/>
                    </pic:cNvPicPr>
                  </pic:nvPicPr>
                  <pic:blipFill>
                    <a:blip r:embed="rId13"/>
                    <a:stretch>
                      <a:fillRect/>
                    </a:stretch>
                  </pic:blipFill>
                  <pic:spPr>
                    <a:xfrm>
                      <a:off x="0" y="0"/>
                      <a:ext cx="5255895" cy="6830060"/>
                    </a:xfrm>
                    <a:prstGeom prst="rect">
                      <a:avLst/>
                    </a:prstGeom>
                  </pic:spPr>
                </pic:pic>
              </a:graphicData>
            </a:graphic>
          </wp:inline>
        </w:drawing>
      </w:r>
      <w:r>
        <w:rPr>
          <w:rFonts w:hint="default" w:ascii="Times New Roman" w:hAnsi="Times New Roman" w:cs="Times New Roman" w:eastAsiaTheme="minorEastAsia"/>
          <w:sz w:val="24"/>
          <w:szCs w:val="24"/>
          <w:lang w:eastAsia="zh-CN"/>
        </w:rPr>
        <w:br w:type="textWrapping"/>
      </w:r>
      <w:r>
        <w:rPr>
          <w:rStyle w:val="5"/>
          <w:rFonts w:hint="default" w:ascii="Times New Roman" w:hAnsi="Times New Roman" w:cs="Times New Roman"/>
          <w:sz w:val="24"/>
          <w:szCs w:val="24"/>
        </w:rPr>
        <w:t xml:space="preserve">Figure </w:t>
      </w:r>
      <w:r>
        <w:rPr>
          <w:rStyle w:val="5"/>
          <w:rFonts w:hint="eastAsia" w:ascii="Times New Roman" w:hAnsi="Times New Roman" w:cs="Times New Roman"/>
          <w:sz w:val="24"/>
          <w:szCs w:val="24"/>
          <w:lang w:val="en-US" w:eastAsia="zh-CN"/>
        </w:rPr>
        <w:t xml:space="preserve">S10. </w:t>
      </w:r>
      <w:r>
        <w:rPr>
          <w:rFonts w:ascii="Times New Roman" w:hAnsi="Times New Roman" w:eastAsia="宋体" w:cs="Times New Roman"/>
          <w:b/>
          <w:bCs/>
          <w:sz w:val="24"/>
        </w:rPr>
        <w:t xml:space="preserve">Effects of </w:t>
      </w:r>
      <w:r>
        <w:rPr>
          <w:rFonts w:hint="eastAsia" w:ascii="Times New Roman" w:hAnsi="Times New Roman" w:eastAsia="宋体" w:cs="Times New Roman"/>
          <w:b/>
          <w:bCs/>
          <w:sz w:val="24"/>
          <w:lang w:val="en-US" w:eastAsia="zh-CN"/>
        </w:rPr>
        <w:t>CORG</w:t>
      </w:r>
      <w:r>
        <w:rPr>
          <w:rFonts w:ascii="Times New Roman" w:hAnsi="Times New Roman" w:eastAsia="宋体" w:cs="Times New Roman"/>
          <w:b/>
          <w:bCs/>
          <w:sz w:val="24"/>
        </w:rPr>
        <w:t xml:space="preserve"> on D</w:t>
      </w:r>
      <w:r>
        <w:rPr>
          <w:rFonts w:hint="eastAsia" w:ascii="Times New Roman" w:hAnsi="Times New Roman" w:eastAsia="宋体" w:cs="Times New Roman"/>
          <w:b/>
          <w:bCs/>
          <w:sz w:val="24"/>
          <w:lang w:val="en-US" w:eastAsia="zh-CN"/>
        </w:rPr>
        <w:t>gal</w:t>
      </w:r>
      <w:r>
        <w:rPr>
          <w:rFonts w:ascii="Times New Roman" w:hAnsi="Times New Roman" w:eastAsia="宋体" w:cs="Times New Roman"/>
          <w:b/>
          <w:bCs/>
          <w:sz w:val="24"/>
        </w:rPr>
        <w:t xml:space="preserve">-induced behavioral abnormalities and microglial inflammatory activation in mice are abolished by </w:t>
      </w:r>
      <w:r>
        <w:rPr>
          <w:rFonts w:hint="default" w:ascii="Times New Roman" w:hAnsi="Times New Roman" w:cs="Times New Roman"/>
          <w:b/>
          <w:bCs/>
          <w:sz w:val="24"/>
          <w:szCs w:val="24"/>
        </w:rPr>
        <w:t>V-ATPase B2</w:t>
      </w:r>
      <w:r>
        <w:rPr>
          <w:rFonts w:ascii="Times New Roman" w:hAnsi="Times New Roman" w:eastAsia="宋体" w:cs="Times New Roman"/>
          <w:b/>
          <w:bCs/>
          <w:sz w:val="24"/>
        </w:rPr>
        <w:t xml:space="preserve"> knockout</w:t>
      </w:r>
      <w:r>
        <w:rPr>
          <w:rFonts w:hint="eastAsia" w:ascii="Times New Roman" w:hAnsi="Times New Roman" w:eastAsia="宋体" w:cs="Times New Roman"/>
          <w:b/>
          <w:bCs/>
          <w:sz w:val="24"/>
          <w:lang w:val="en-US" w:eastAsia="zh-CN"/>
        </w:rPr>
        <w:t>.</w:t>
      </w:r>
      <w:r>
        <w:rPr>
          <w:rStyle w:val="5"/>
          <w:rFonts w:hint="default" w:ascii="Times New Roman" w:hAnsi="Times New Roman" w:cs="Times New Roman"/>
          <w:sz w:val="24"/>
          <w:szCs w:val="24"/>
        </w:rPr>
        <w:t xml:space="preserve"> </w:t>
      </w:r>
      <w:r>
        <w:rPr>
          <w:rFonts w:hint="default" w:ascii="Times New Roman" w:hAnsi="Times New Roman" w:cs="Times New Roman"/>
          <w:sz w:val="24"/>
          <w:szCs w:val="24"/>
        </w:rPr>
        <w:t>(A) Representative OFT movement trajectories of WT and V-ATPase B2⁻/⁻ mice. (B–E) Total distance, active time, resting time, and number of entries into the central area (n = 12). (F) Representative H&amp;E staining of the hippocampus in WT and V-ATPase B2⁻/⁻ mice. (G) Representative IBA1 IF images and morphological reconstruction of hippocampal microglia. Nuclei were stained with DAPI, and boxed areas are shown at higher magnification. (H–J) Average branch length, branch number, and maximum branch length of microglia (n = 5). Scale bars, 50 μm. Data are presented as mean ± SD. *</w:t>
      </w:r>
      <w:r>
        <w:rPr>
          <w:rFonts w:hint="eastAsia" w:ascii="Times New Roman" w:hAnsi="Times New Roman" w:cs="Times New Roman"/>
          <w:i/>
          <w:sz w:val="24"/>
          <w:szCs w:val="24"/>
          <w:lang w:eastAsia="zh-CN"/>
        </w:rPr>
        <w:t>P &lt;</w:t>
      </w:r>
      <w:r>
        <w:rPr>
          <w:rFonts w:hint="default" w:ascii="Times New Roman" w:hAnsi="Times New Roman" w:cs="Times New Roman"/>
          <w:sz w:val="24"/>
          <w:szCs w:val="24"/>
        </w:rPr>
        <w:t xml:space="preserve"> 0.05 and **</w:t>
      </w:r>
      <w:r>
        <w:rPr>
          <w:rFonts w:hint="eastAsia" w:ascii="Times New Roman" w:hAnsi="Times New Roman" w:cs="Times New Roman"/>
          <w:i/>
          <w:sz w:val="24"/>
          <w:szCs w:val="24"/>
          <w:lang w:eastAsia="zh-CN"/>
        </w:rPr>
        <w:t>P &lt;</w:t>
      </w:r>
      <w:r>
        <w:rPr>
          <w:rFonts w:hint="default" w:ascii="Times New Roman" w:hAnsi="Times New Roman" w:cs="Times New Roman"/>
          <w:sz w:val="24"/>
          <w:szCs w:val="24"/>
        </w:rPr>
        <w:t xml:space="preserve"> 0.01 for the indicated comparisons; ns, not significant.</w:t>
      </w:r>
    </w:p>
    <w:p w14:paraId="72C2E2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4785" cy="7215505"/>
            <wp:effectExtent l="0" t="0" r="8255" b="8255"/>
            <wp:docPr id="11" name="图片 11" descr="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11"/>
                    <pic:cNvPicPr>
                      <a:picLocks noChangeAspect="1"/>
                    </pic:cNvPicPr>
                  </pic:nvPicPr>
                  <pic:blipFill>
                    <a:blip r:embed="rId14"/>
                    <a:stretch>
                      <a:fillRect/>
                    </a:stretch>
                  </pic:blipFill>
                  <pic:spPr>
                    <a:xfrm>
                      <a:off x="0" y="0"/>
                      <a:ext cx="5264785" cy="7215505"/>
                    </a:xfrm>
                    <a:prstGeom prst="rect">
                      <a:avLst/>
                    </a:prstGeom>
                  </pic:spPr>
                </pic:pic>
              </a:graphicData>
            </a:graphic>
          </wp:inline>
        </w:drawing>
      </w:r>
    </w:p>
    <w:p w14:paraId="3A4BE7A9">
      <w:pPr>
        <w:spacing w:line="360" w:lineRule="auto"/>
        <w:rPr>
          <w:sz w:val="24"/>
          <w:szCs w:val="24"/>
        </w:rPr>
      </w:pPr>
      <w:r>
        <w:rPr>
          <w:rStyle w:val="5"/>
          <w:rFonts w:hint="default" w:ascii="Times New Roman" w:hAnsi="Times New Roman" w:eastAsia="宋体" w:cs="Times New Roman"/>
          <w:sz w:val="24"/>
          <w:szCs w:val="24"/>
        </w:rPr>
        <w:t xml:space="preserve">Figure </w:t>
      </w:r>
      <w:r>
        <w:rPr>
          <w:rStyle w:val="5"/>
          <w:rFonts w:hint="eastAsia" w:ascii="Times New Roman" w:hAnsi="Times New Roman" w:eastAsia="宋体" w:cs="Times New Roman"/>
          <w:sz w:val="24"/>
          <w:szCs w:val="24"/>
          <w:lang w:val="en-US" w:eastAsia="zh-CN"/>
        </w:rPr>
        <w:t>S</w:t>
      </w:r>
      <w:r>
        <w:rPr>
          <w:rStyle w:val="5"/>
          <w:rFonts w:hint="default" w:ascii="Times New Roman" w:hAnsi="Times New Roman" w:eastAsia="宋体" w:cs="Times New Roman"/>
          <w:sz w:val="24"/>
          <w:szCs w:val="24"/>
        </w:rPr>
        <w:t>11</w:t>
      </w:r>
      <w:r>
        <w:rPr>
          <w:rStyle w:val="5"/>
          <w:rFonts w:hint="eastAsia" w:ascii="Times New Roman" w:hAnsi="Times New Roman" w:eastAsia="宋体" w:cs="Times New Roman"/>
          <w:sz w:val="24"/>
          <w:szCs w:val="24"/>
          <w:lang w:val="en-US" w:eastAsia="zh-CN"/>
        </w:rPr>
        <w:t xml:space="preserve">. </w:t>
      </w:r>
      <w:r>
        <w:rPr>
          <w:rFonts w:hint="default" w:ascii="Times New Roman" w:hAnsi="Times New Roman" w:cs="Times New Roman"/>
          <w:b w:val="0"/>
          <w:bCs w:val="0"/>
          <w:sz w:val="24"/>
          <w:szCs w:val="24"/>
          <w:highlight w:val="none"/>
          <w:lang w:val="en-US" w:eastAsia="zh-CN"/>
        </w:rPr>
        <w:t xml:space="preserve">Sequences for </w:t>
      </w:r>
      <w:r>
        <w:rPr>
          <w:rFonts w:hint="default" w:ascii="Times New Roman" w:hAnsi="Times New Roman" w:eastAsia="宋体" w:cs="Times New Roman"/>
          <w:sz w:val="24"/>
          <w:szCs w:val="24"/>
        </w:rPr>
        <w:t>V-ATPase B2, TRPML1, CaMKK2, and AMPK</w:t>
      </w:r>
      <w:r>
        <w:rPr>
          <w:rFonts w:hint="default" w:ascii="Times New Roman" w:hAnsi="Times New Roman" w:cs="Times New Roman"/>
          <w:b w:val="0"/>
          <w:bCs w:val="0"/>
          <w:sz w:val="24"/>
          <w:szCs w:val="24"/>
          <w:highlight w:val="none"/>
          <w:lang w:val="en-US" w:eastAsia="zh-CN"/>
        </w:rPr>
        <w:t xml:space="preserve"> primers and </w:t>
      </w:r>
      <w:r>
        <w:rPr>
          <w:rFonts w:hint="eastAsia" w:ascii="Times New Roman" w:hAnsi="Times New Roman" w:cs="Times New Roman"/>
          <w:b w:val="0"/>
          <w:bCs w:val="0"/>
          <w:sz w:val="24"/>
          <w:szCs w:val="24"/>
          <w:highlight w:val="none"/>
          <w:lang w:val="en-US" w:eastAsia="zh-CN"/>
        </w:rPr>
        <w:t>d</w:t>
      </w:r>
      <w:r>
        <w:rPr>
          <w:rFonts w:hint="default" w:ascii="Times New Roman" w:hAnsi="Times New Roman" w:cs="Times New Roman"/>
          <w:b w:val="0"/>
          <w:bCs w:val="0"/>
          <w:sz w:val="24"/>
          <w:szCs w:val="24"/>
          <w:highlight w:val="none"/>
          <w:lang w:val="en-US" w:eastAsia="zh-CN"/>
        </w:rPr>
        <w:t>etection of transfection efficiency for the th</w:t>
      </w:r>
      <w:r>
        <w:rPr>
          <w:rFonts w:hint="eastAsia" w:ascii="Times New Roman" w:hAnsi="Times New Roman" w:cs="Times New Roman"/>
          <w:b w:val="0"/>
          <w:bCs w:val="0"/>
          <w:sz w:val="24"/>
          <w:szCs w:val="24"/>
          <w:highlight w:val="none"/>
          <w:lang w:val="en-US" w:eastAsia="zh-CN"/>
        </w:rPr>
        <w:t>ese</w:t>
      </w:r>
      <w:r>
        <w:rPr>
          <w:rFonts w:hint="default" w:ascii="Times New Roman" w:hAnsi="Times New Roman" w:cs="Times New Roman"/>
          <w:b w:val="0"/>
          <w:bCs w:val="0"/>
          <w:sz w:val="24"/>
          <w:szCs w:val="24"/>
          <w:highlight w:val="none"/>
          <w:lang w:val="en-US" w:eastAsia="zh-CN"/>
        </w:rPr>
        <w:t xml:space="preserve"> sequences. </w:t>
      </w:r>
      <w:r>
        <w:rPr>
          <w:rFonts w:hint="default" w:ascii="Times New Roman" w:hAnsi="Times New Roman" w:eastAsia="宋体" w:cs="Times New Roman"/>
          <w:sz w:val="24"/>
          <w:szCs w:val="24"/>
        </w:rPr>
        <w:t xml:space="preserve">(A, C, E, G) siRNA and qPCR primer sequences for V-ATPase B2, TRPML1, CaMKK2, and AMPK. (B, D, F, H) Relative mRNA expression of V-ATPase B2, TRPML1, CaMKK2, and AMPK following transfection with three candidate siRNAs. Blank represents untransfected cells, and NC represents cells transfected with NC-siRNA. </w:t>
      </w:r>
      <w:r>
        <w:rPr>
          <w:rFonts w:hint="default" w:ascii="Times New Roman" w:hAnsi="Times New Roman" w:cs="Times New Roman"/>
          <w:color w:val="auto"/>
          <w:sz w:val="24"/>
        </w:rPr>
        <w:t xml:space="preserve">Data are presented as mean ± SEM from each group. </w:t>
      </w:r>
      <w:r>
        <w:rPr>
          <w:rFonts w:hint="default" w:ascii="Times New Roman" w:hAnsi="Times New Roman" w:cs="Times New Roman"/>
          <w:color w:val="auto"/>
          <w:sz w:val="24"/>
          <w:vertAlign w:val="superscript"/>
        </w:rPr>
        <w:t>#</w:t>
      </w:r>
      <w:r>
        <w:rPr>
          <w:rFonts w:hint="eastAsia" w:ascii="Times New Roman" w:hAnsi="Times New Roman" w:cs="Times New Roman"/>
          <w:i/>
          <w:iCs/>
          <w:color w:val="000000"/>
          <w:sz w:val="24"/>
          <w:lang w:val="en-US" w:eastAsia="zh-CN"/>
        </w:rPr>
        <w:t>p</w:t>
      </w:r>
      <w:r>
        <w:rPr>
          <w:rFonts w:hint="default" w:ascii="Times New Roman" w:hAnsi="Times New Roman" w:cs="Times New Roman"/>
          <w:i/>
          <w:iCs/>
          <w:color w:val="auto"/>
          <w:sz w:val="24"/>
        </w:rPr>
        <w:t xml:space="preserve"> </w:t>
      </w:r>
      <w:r>
        <w:rPr>
          <w:rFonts w:hint="default" w:ascii="Times New Roman" w:hAnsi="Times New Roman" w:cs="Times New Roman"/>
          <w:color w:val="auto"/>
          <w:sz w:val="24"/>
        </w:rPr>
        <w:t>&lt; 0.05</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rPr>
        <w:t xml:space="preserve"> </w:t>
      </w:r>
      <w:r>
        <w:rPr>
          <w:rFonts w:hint="default" w:ascii="Times New Roman" w:hAnsi="Times New Roman" w:cs="Times New Roman"/>
          <w:color w:val="auto"/>
          <w:sz w:val="24"/>
          <w:vertAlign w:val="superscript"/>
        </w:rPr>
        <w:t>##</w:t>
      </w:r>
      <w:r>
        <w:rPr>
          <w:rFonts w:hint="eastAsia" w:ascii="Times New Roman" w:hAnsi="Times New Roman" w:cs="Times New Roman"/>
          <w:i/>
          <w:iCs/>
          <w:color w:val="000000"/>
          <w:sz w:val="24"/>
          <w:lang w:val="en-US" w:eastAsia="zh-CN"/>
        </w:rPr>
        <w:t>p</w:t>
      </w:r>
      <w:r>
        <w:rPr>
          <w:rFonts w:hint="default" w:ascii="Times New Roman" w:hAnsi="Times New Roman" w:cs="Times New Roman"/>
          <w:color w:val="auto"/>
          <w:sz w:val="24"/>
        </w:rPr>
        <w:t xml:space="preserve"> &lt; 0.01</w:t>
      </w:r>
      <w:r>
        <w:rPr>
          <w:rFonts w:hint="eastAsia" w:ascii="Times New Roman" w:hAnsi="Times New Roman" w:cs="Times New Roman"/>
          <w:color w:val="auto"/>
          <w:sz w:val="24"/>
          <w:lang w:val="en-US" w:eastAsia="zh-CN"/>
        </w:rPr>
        <w:t xml:space="preserve"> </w:t>
      </w:r>
      <w:r>
        <w:rPr>
          <w:rFonts w:hint="default" w:ascii="Times New Roman" w:hAnsi="Times New Roman" w:cs="Times New Roman"/>
          <w:color w:val="auto"/>
          <w:sz w:val="24"/>
        </w:rPr>
        <w:t xml:space="preserve">and </w:t>
      </w:r>
      <w:r>
        <w:rPr>
          <w:rFonts w:hint="default" w:ascii="Times New Roman" w:hAnsi="Times New Roman" w:cs="Times New Roman"/>
          <w:color w:val="auto"/>
          <w:sz w:val="24"/>
          <w:vertAlign w:val="superscript"/>
        </w:rPr>
        <w:t>*</w:t>
      </w:r>
      <w:r>
        <w:rPr>
          <w:rFonts w:hint="eastAsia" w:ascii="Times New Roman" w:hAnsi="Times New Roman" w:cs="Times New Roman"/>
          <w:i/>
          <w:iCs/>
          <w:color w:val="000000"/>
          <w:sz w:val="24"/>
          <w:lang w:val="en-US" w:eastAsia="zh-CN"/>
        </w:rPr>
        <w:t>p</w:t>
      </w:r>
      <w:r>
        <w:rPr>
          <w:rFonts w:hint="default" w:ascii="Times New Roman" w:hAnsi="Times New Roman" w:cs="Times New Roman"/>
          <w:color w:val="auto"/>
          <w:sz w:val="24"/>
        </w:rPr>
        <w:t xml:space="preserve"> &lt; 0.05</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rPr>
        <w:t xml:space="preserve"> </w:t>
      </w:r>
      <w:r>
        <w:rPr>
          <w:rFonts w:hint="default" w:ascii="Times New Roman" w:hAnsi="Times New Roman" w:cs="Times New Roman"/>
          <w:color w:val="auto"/>
          <w:sz w:val="24"/>
          <w:vertAlign w:val="superscript"/>
        </w:rPr>
        <w:t>**</w:t>
      </w:r>
      <w:r>
        <w:rPr>
          <w:rFonts w:hint="eastAsia" w:ascii="Times New Roman" w:hAnsi="Times New Roman" w:cs="Times New Roman"/>
          <w:i/>
          <w:iCs/>
          <w:color w:val="000000"/>
          <w:sz w:val="24"/>
          <w:lang w:val="en-US" w:eastAsia="zh-CN"/>
        </w:rPr>
        <w:t>p</w:t>
      </w:r>
      <w:r>
        <w:rPr>
          <w:rFonts w:hint="default" w:ascii="Times New Roman" w:hAnsi="Times New Roman" w:cs="Times New Roman"/>
          <w:color w:val="auto"/>
          <w:sz w:val="24"/>
        </w:rPr>
        <w:t xml:space="preserve"> &lt; 0.01 for comparisons indicated by lines above the bars. </w:t>
      </w:r>
      <w:r>
        <w:rPr>
          <w:rFonts w:hint="eastAsia" w:ascii="Times New Roman" w:hAnsi="Times New Roman" w:cs="Times New Roman"/>
          <w:bCs/>
          <w:sz w:val="24"/>
          <w:lang w:val="en-US" w:eastAsia="zh-CN"/>
        </w:rPr>
        <w:t xml:space="preserve"> </w:t>
      </w:r>
      <w:r>
        <w:rPr>
          <w:rFonts w:hint="eastAsia" w:ascii="Times New Roman" w:hAnsi="Times New Roman" w:cs="Times New Roman"/>
          <w:sz w:val="24"/>
          <w:lang w:val="en-US" w:eastAsia="zh-CN"/>
        </w:rPr>
        <w:t xml:space="preserve"> </w:t>
      </w:r>
    </w:p>
    <w:p w14:paraId="068C3A05">
      <w:pPr>
        <w:spacing w:line="360" w:lineRule="auto"/>
        <w:rPr>
          <w:rFonts w:hint="default" w:ascii="Times New Roman" w:hAnsi="Times New Roman" w:cs="Times New Roman" w:eastAsiaTheme="minorEastAsia"/>
          <w:sz w:val="24"/>
          <w:szCs w:val="24"/>
          <w:lang w:val="en-US" w:eastAsia="zh-CN"/>
        </w:rPr>
      </w:pPr>
    </w:p>
    <w:p w14:paraId="1CDED0A1">
      <w:pPr>
        <w:autoSpaceDE w:val="0"/>
        <w:autoSpaceDN w:val="0"/>
        <w:adjustRightInd w:val="0"/>
        <w:spacing w:line="360" w:lineRule="auto"/>
        <w:rPr>
          <w:rFonts w:hint="default" w:ascii="Times New Roman" w:hAnsi="Times New Roman" w:eastAsia="宋体" w:cs="Times New Roman"/>
          <w:b/>
          <w:bCs/>
          <w:color w:val="000000"/>
          <w:sz w:val="24"/>
          <w:lang w:val="en-US" w:eastAsia="zh-CN"/>
        </w:rPr>
      </w:pPr>
    </w:p>
    <w:p w14:paraId="6666E46F">
      <w:pPr>
        <w:spacing w:line="360" w:lineRule="auto"/>
        <w:rPr>
          <w:rFonts w:hint="default" w:ascii="Times New Roman" w:hAnsi="Times New Roman" w:cs="Times New Roman" w:eastAsiaTheme="minorEastAsia"/>
          <w:sz w:val="24"/>
          <w:szCs w:val="24"/>
          <w:lang w:val="en-US" w:eastAsia="zh-CN"/>
        </w:rPr>
      </w:pPr>
    </w:p>
    <w:p w14:paraId="65BD9CE3">
      <w:pPr>
        <w:spacing w:line="360" w:lineRule="auto"/>
        <w:rPr>
          <w:rFonts w:hint="default" w:ascii="Times New Roman" w:hAnsi="Times New Roman" w:cs="Times New Roman" w:eastAsiaTheme="minorEastAsia"/>
          <w:sz w:val="24"/>
          <w:szCs w:val="24"/>
          <w:lang w:val="en-US" w:eastAsia="zh-CN"/>
        </w:rPr>
      </w:pPr>
    </w:p>
    <w:p w14:paraId="5DBA51E4">
      <w:pPr>
        <w:spacing w:line="360" w:lineRule="auto"/>
        <w:rPr>
          <w:rFonts w:hint="default" w:ascii="Times New Roman" w:hAnsi="Times New Roman" w:cs="Times New Roman" w:eastAsiaTheme="minorEastAsia"/>
          <w:sz w:val="24"/>
          <w:szCs w:val="24"/>
          <w:lang w:val="en-US" w:eastAsia="zh-CN"/>
        </w:rPr>
      </w:pPr>
    </w:p>
    <w:p w14:paraId="6415AFBB">
      <w:pPr>
        <w:spacing w:line="360" w:lineRule="auto"/>
        <w:rPr>
          <w:rFonts w:hint="default" w:ascii="Times New Roman" w:hAnsi="Times New Roman" w:cs="Times New Roman" w:eastAsiaTheme="minorEastAsia"/>
          <w:sz w:val="24"/>
          <w:szCs w:val="24"/>
          <w:lang w:val="en-US" w:eastAsia="zh-CN"/>
        </w:rPr>
      </w:pPr>
    </w:p>
    <w:p w14:paraId="2E0530E1">
      <w:pPr>
        <w:spacing w:line="360" w:lineRule="auto"/>
        <w:rPr>
          <w:rFonts w:hint="default" w:ascii="Times New Roman" w:hAnsi="Times New Roman" w:cs="Times New Roman" w:eastAsiaTheme="minorEastAsia"/>
          <w:sz w:val="24"/>
          <w:szCs w:val="24"/>
          <w:lang w:val="en-US" w:eastAsia="zh-CN"/>
        </w:rPr>
      </w:pPr>
    </w:p>
    <w:p w14:paraId="68DC42E3">
      <w:pPr>
        <w:spacing w:line="360" w:lineRule="auto"/>
        <w:rPr>
          <w:rFonts w:hint="default" w:ascii="Times New Roman" w:hAnsi="Times New Roman" w:cs="Times New Roman" w:eastAsiaTheme="minorEastAsia"/>
          <w:sz w:val="24"/>
          <w:szCs w:val="24"/>
          <w:lang w:val="en-US" w:eastAsia="zh-CN"/>
        </w:rPr>
      </w:pPr>
    </w:p>
    <w:p w14:paraId="7B84F87D">
      <w:pPr>
        <w:spacing w:line="360" w:lineRule="auto"/>
        <w:rPr>
          <w:rFonts w:hint="default" w:ascii="Times New Roman" w:hAnsi="Times New Roman" w:cs="Times New Roman" w:eastAsiaTheme="minorEastAsia"/>
          <w:sz w:val="24"/>
          <w:szCs w:val="24"/>
          <w:lang w:val="en-US" w:eastAsia="zh-CN"/>
        </w:rPr>
      </w:pPr>
    </w:p>
    <w:p w14:paraId="513E567C">
      <w:pPr>
        <w:spacing w:line="360" w:lineRule="auto"/>
        <w:rPr>
          <w:rFonts w:hint="default" w:ascii="Times New Roman" w:hAnsi="Times New Roman" w:cs="Times New Roman" w:eastAsiaTheme="minorEastAsia"/>
          <w:sz w:val="24"/>
          <w:szCs w:val="24"/>
          <w:lang w:val="en-US" w:eastAsia="zh-CN"/>
        </w:rPr>
      </w:pPr>
    </w:p>
    <w:p w14:paraId="252E73F6">
      <w:pPr>
        <w:spacing w:line="360" w:lineRule="auto"/>
        <w:rPr>
          <w:rFonts w:hint="default" w:ascii="Times New Roman" w:hAnsi="Times New Roman" w:cs="Times New Roman" w:eastAsiaTheme="minorEastAsia"/>
          <w:sz w:val="24"/>
          <w:szCs w:val="24"/>
          <w:lang w:val="en-US" w:eastAsia="zh-CN"/>
        </w:rPr>
      </w:pPr>
    </w:p>
    <w:p w14:paraId="1425E630">
      <w:pPr>
        <w:spacing w:line="360" w:lineRule="auto"/>
        <w:rPr>
          <w:rFonts w:hint="default" w:ascii="Times New Roman" w:hAnsi="Times New Roman" w:cs="Times New Roman" w:eastAsiaTheme="minorEastAsia"/>
          <w:sz w:val="24"/>
          <w:szCs w:val="24"/>
          <w:lang w:val="en-US" w:eastAsia="zh-CN"/>
        </w:rPr>
      </w:pPr>
    </w:p>
    <w:p w14:paraId="4C4D6CC0">
      <w:pPr>
        <w:spacing w:line="360" w:lineRule="auto"/>
        <w:rPr>
          <w:rFonts w:hint="default" w:ascii="Times New Roman" w:hAnsi="Times New Roman" w:cs="Times New Roman" w:eastAsiaTheme="minorEastAsia"/>
          <w:sz w:val="24"/>
          <w:szCs w:val="24"/>
          <w:lang w:val="en-US" w:eastAsia="zh-CN"/>
        </w:rPr>
      </w:pPr>
    </w:p>
    <w:p w14:paraId="2EDB0F26">
      <w:pPr>
        <w:spacing w:line="360" w:lineRule="auto"/>
        <w:rPr>
          <w:rFonts w:hint="default" w:ascii="Times New Roman" w:hAnsi="Times New Roman" w:cs="Times New Roman" w:eastAsiaTheme="minorEastAsia"/>
          <w:sz w:val="24"/>
          <w:szCs w:val="24"/>
          <w:lang w:val="en-US" w:eastAsia="zh-CN"/>
        </w:rPr>
      </w:pPr>
    </w:p>
    <w:p w14:paraId="242EE9CB">
      <w:pPr>
        <w:spacing w:line="360" w:lineRule="auto"/>
        <w:rPr>
          <w:rFonts w:hint="default" w:ascii="Times New Roman" w:hAnsi="Times New Roman" w:cs="Times New Roman" w:eastAsiaTheme="minorEastAsia"/>
          <w:sz w:val="24"/>
          <w:szCs w:val="24"/>
          <w:lang w:val="en-US" w:eastAsia="zh-CN"/>
        </w:rPr>
      </w:pPr>
    </w:p>
    <w:p w14:paraId="79280826">
      <w:pPr>
        <w:spacing w:line="360" w:lineRule="auto"/>
        <w:rPr>
          <w:rFonts w:hint="default" w:ascii="Times New Roman" w:hAnsi="Times New Roman" w:cs="Times New Roman" w:eastAsiaTheme="minorEastAsia"/>
          <w:sz w:val="24"/>
          <w:szCs w:val="24"/>
          <w:lang w:val="en-US" w:eastAsia="zh-CN"/>
        </w:rPr>
      </w:pPr>
    </w:p>
    <w:p w14:paraId="15142117">
      <w:pPr>
        <w:spacing w:line="360" w:lineRule="auto"/>
        <w:rPr>
          <w:rFonts w:hint="default" w:ascii="Times New Roman" w:hAnsi="Times New Roman" w:cs="Times New Roman" w:eastAsiaTheme="minorEastAsia"/>
          <w:sz w:val="24"/>
          <w:szCs w:val="24"/>
          <w:lang w:val="en-US" w:eastAsia="zh-CN"/>
        </w:rPr>
      </w:pPr>
    </w:p>
    <w:p w14:paraId="511CDFE7">
      <w:pPr>
        <w:spacing w:line="360" w:lineRule="auto"/>
        <w:rPr>
          <w:rFonts w:hint="default" w:ascii="Times New Roman" w:hAnsi="Times New Roman" w:cs="Times New Roman" w:eastAsiaTheme="minorEastAsia"/>
          <w:sz w:val="24"/>
          <w:szCs w:val="24"/>
          <w:lang w:val="en-US" w:eastAsia="zh-CN"/>
        </w:rPr>
      </w:pPr>
    </w:p>
    <w:p w14:paraId="12FBA576">
      <w:pPr>
        <w:spacing w:line="360" w:lineRule="auto"/>
        <w:rPr>
          <w:rFonts w:hint="default" w:ascii="Times New Roman" w:hAnsi="Times New Roman" w:cs="Times New Roman" w:eastAsiaTheme="minorEastAsia"/>
          <w:sz w:val="24"/>
          <w:szCs w:val="24"/>
          <w:lang w:val="en-US" w:eastAsia="zh-CN"/>
        </w:rPr>
      </w:pPr>
    </w:p>
    <w:p w14:paraId="6F31A740">
      <w:pPr>
        <w:spacing w:line="360" w:lineRule="auto"/>
        <w:rPr>
          <w:rFonts w:hint="default" w:ascii="Times New Roman" w:hAnsi="Times New Roman" w:cs="Times New Roman" w:eastAsiaTheme="minorEastAsia"/>
          <w:sz w:val="24"/>
          <w:szCs w:val="24"/>
          <w:lang w:val="en-US" w:eastAsia="zh-CN"/>
        </w:rPr>
      </w:pPr>
    </w:p>
    <w:p w14:paraId="15CCFBA4">
      <w:pPr>
        <w:spacing w:line="360" w:lineRule="auto"/>
        <w:rPr>
          <w:rFonts w:hint="default" w:ascii="Times New Roman" w:hAnsi="Times New Roman" w:cs="Times New Roman" w:eastAsiaTheme="minorEastAsia"/>
          <w:sz w:val="24"/>
          <w:szCs w:val="24"/>
          <w:lang w:val="en-US" w:eastAsia="zh-CN"/>
        </w:rPr>
      </w:pPr>
    </w:p>
    <w:p w14:paraId="10A5D452">
      <w:pPr>
        <w:spacing w:line="360" w:lineRule="auto"/>
        <w:rPr>
          <w:rFonts w:hint="default" w:ascii="Times New Roman" w:hAnsi="Times New Roman" w:cs="Times New Roman" w:eastAsiaTheme="minorEastAsia"/>
          <w:sz w:val="24"/>
          <w:szCs w:val="24"/>
          <w:lang w:val="en-US" w:eastAsia="zh-CN"/>
        </w:rPr>
      </w:pPr>
    </w:p>
    <w:p w14:paraId="4EBE5BA9">
      <w:pPr>
        <w:spacing w:line="360" w:lineRule="auto"/>
        <w:rPr>
          <w:rFonts w:ascii="Times New Roman" w:hAnsi="Times New Roman" w:eastAsia="TimesNewRomanPS-BoldMT" w:cs="Times New Roman"/>
          <w:b/>
          <w:bCs/>
          <w:sz w:val="24"/>
          <w:lang w:bidi="ar"/>
        </w:rPr>
      </w:pPr>
      <w:r>
        <w:rPr>
          <w:rFonts w:hint="eastAsia" w:ascii="Times New Roman" w:hAnsi="Times New Roman" w:eastAsia="宋体" w:cs="Times New Roman"/>
          <w:b/>
          <w:bCs/>
          <w:sz w:val="24"/>
          <w:lang w:val="en-US" w:eastAsia="zh-CN" w:bidi="ar"/>
        </w:rPr>
        <w:t>WB r</w:t>
      </w:r>
      <w:r>
        <w:rPr>
          <w:rFonts w:ascii="Times New Roman" w:hAnsi="Times New Roman" w:eastAsia="TimesNewRomanPS-BoldMT" w:cs="Times New Roman"/>
          <w:b/>
          <w:bCs/>
          <w:sz w:val="24"/>
          <w:lang w:bidi="ar"/>
        </w:rPr>
        <w:t>aw data:</w:t>
      </w:r>
    </w:p>
    <w:p w14:paraId="7A478088">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73675" cy="6191250"/>
            <wp:effectExtent l="0" t="0" r="14605" b="11430"/>
            <wp:docPr id="12" name="图片 1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1"/>
                    <pic:cNvPicPr>
                      <a:picLocks noChangeAspect="1"/>
                    </pic:cNvPicPr>
                  </pic:nvPicPr>
                  <pic:blipFill>
                    <a:blip r:embed="rId15"/>
                    <a:stretch>
                      <a:fillRect/>
                    </a:stretch>
                  </pic:blipFill>
                  <pic:spPr>
                    <a:xfrm>
                      <a:off x="0" y="0"/>
                      <a:ext cx="5273675" cy="6191250"/>
                    </a:xfrm>
                    <a:prstGeom prst="rect">
                      <a:avLst/>
                    </a:prstGeom>
                  </pic:spPr>
                </pic:pic>
              </a:graphicData>
            </a:graphic>
          </wp:inline>
        </w:drawing>
      </w:r>
    </w:p>
    <w:p w14:paraId="4CD2545D">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1</w:t>
      </w:r>
    </w:p>
    <w:p w14:paraId="6BE52ACF">
      <w:pPr>
        <w:spacing w:line="360" w:lineRule="auto"/>
        <w:rPr>
          <w:rFonts w:hint="default" w:ascii="Times New Roman" w:hAnsi="Times New Roman" w:cs="Times New Roman" w:eastAsiaTheme="minorEastAsia"/>
          <w:sz w:val="24"/>
          <w:szCs w:val="24"/>
          <w:lang w:val="en-US" w:eastAsia="zh-CN"/>
        </w:rPr>
      </w:pPr>
    </w:p>
    <w:p w14:paraId="20749570">
      <w:pPr>
        <w:spacing w:line="360" w:lineRule="auto"/>
        <w:rPr>
          <w:rFonts w:hint="default" w:ascii="Times New Roman" w:hAnsi="Times New Roman" w:cs="Times New Roman" w:eastAsiaTheme="minorEastAsia"/>
          <w:sz w:val="24"/>
          <w:szCs w:val="24"/>
          <w:lang w:val="en-US" w:eastAsia="zh-CN"/>
        </w:rPr>
      </w:pPr>
    </w:p>
    <w:p w14:paraId="15577CAE">
      <w:pPr>
        <w:spacing w:line="360" w:lineRule="auto"/>
        <w:rPr>
          <w:rFonts w:hint="default" w:ascii="Times New Roman" w:hAnsi="Times New Roman" w:cs="Times New Roman" w:eastAsiaTheme="minorEastAsia"/>
          <w:sz w:val="24"/>
          <w:szCs w:val="24"/>
          <w:lang w:val="en-US" w:eastAsia="zh-CN"/>
        </w:rPr>
      </w:pPr>
    </w:p>
    <w:p w14:paraId="1B1F85BD">
      <w:pPr>
        <w:spacing w:line="360" w:lineRule="auto"/>
        <w:rPr>
          <w:rFonts w:hint="default" w:ascii="Times New Roman" w:hAnsi="Times New Roman" w:cs="Times New Roman" w:eastAsiaTheme="minorEastAsia"/>
          <w:sz w:val="24"/>
          <w:szCs w:val="24"/>
          <w:lang w:val="en-US" w:eastAsia="zh-CN"/>
        </w:rPr>
      </w:pPr>
    </w:p>
    <w:p w14:paraId="6FFBD6C2">
      <w:pPr>
        <w:spacing w:line="360" w:lineRule="auto"/>
        <w:rPr>
          <w:rFonts w:hint="default" w:ascii="Times New Roman" w:hAnsi="Times New Roman" w:cs="Times New Roman" w:eastAsiaTheme="minorEastAsia"/>
          <w:sz w:val="24"/>
          <w:szCs w:val="24"/>
          <w:lang w:val="en-US" w:eastAsia="zh-CN"/>
        </w:rPr>
      </w:pPr>
    </w:p>
    <w:p w14:paraId="21A80BA4">
      <w:pPr>
        <w:spacing w:line="360" w:lineRule="auto"/>
        <w:rPr>
          <w:rFonts w:hint="default" w:ascii="Times New Roman" w:hAnsi="Times New Roman" w:cs="Times New Roman" w:eastAsiaTheme="minorEastAsia"/>
          <w:sz w:val="24"/>
          <w:szCs w:val="24"/>
          <w:lang w:val="en-US" w:eastAsia="zh-CN"/>
        </w:rPr>
      </w:pPr>
    </w:p>
    <w:p w14:paraId="43F3A782">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73675" cy="2903220"/>
            <wp:effectExtent l="0" t="0" r="14605" b="7620"/>
            <wp:docPr id="13" name="图片 1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2"/>
                    <pic:cNvPicPr>
                      <a:picLocks noChangeAspect="1"/>
                    </pic:cNvPicPr>
                  </pic:nvPicPr>
                  <pic:blipFill>
                    <a:blip r:embed="rId16"/>
                    <a:stretch>
                      <a:fillRect/>
                    </a:stretch>
                  </pic:blipFill>
                  <pic:spPr>
                    <a:xfrm>
                      <a:off x="0" y="0"/>
                      <a:ext cx="5273675" cy="2903220"/>
                    </a:xfrm>
                    <a:prstGeom prst="rect">
                      <a:avLst/>
                    </a:prstGeom>
                  </pic:spPr>
                </pic:pic>
              </a:graphicData>
            </a:graphic>
          </wp:inline>
        </w:drawing>
      </w:r>
    </w:p>
    <w:p w14:paraId="1FD01F87">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2</w:t>
      </w:r>
    </w:p>
    <w:p w14:paraId="3769986D">
      <w:pPr>
        <w:spacing w:line="360" w:lineRule="auto"/>
        <w:rPr>
          <w:rFonts w:hint="default" w:ascii="Times New Roman" w:hAnsi="Times New Roman" w:cs="Times New Roman" w:eastAsiaTheme="minorEastAsia"/>
          <w:sz w:val="24"/>
          <w:szCs w:val="24"/>
          <w:lang w:val="en-US" w:eastAsia="zh-CN"/>
        </w:rPr>
      </w:pPr>
    </w:p>
    <w:p w14:paraId="363E8331">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9865" cy="1543685"/>
            <wp:effectExtent l="0" t="0" r="3175" b="10795"/>
            <wp:docPr id="14" name="图片 14"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5"/>
                    <pic:cNvPicPr>
                      <a:picLocks noChangeAspect="1"/>
                    </pic:cNvPicPr>
                  </pic:nvPicPr>
                  <pic:blipFill>
                    <a:blip r:embed="rId17"/>
                    <a:stretch>
                      <a:fillRect/>
                    </a:stretch>
                  </pic:blipFill>
                  <pic:spPr>
                    <a:xfrm>
                      <a:off x="0" y="0"/>
                      <a:ext cx="5269865" cy="1543685"/>
                    </a:xfrm>
                    <a:prstGeom prst="rect">
                      <a:avLst/>
                    </a:prstGeom>
                  </pic:spPr>
                </pic:pic>
              </a:graphicData>
            </a:graphic>
          </wp:inline>
        </w:drawing>
      </w:r>
    </w:p>
    <w:p w14:paraId="6DB2F1D1">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5</w:t>
      </w:r>
    </w:p>
    <w:p w14:paraId="782A7545">
      <w:pPr>
        <w:spacing w:line="360" w:lineRule="auto"/>
        <w:rPr>
          <w:rFonts w:hint="default" w:ascii="Times New Roman" w:hAnsi="Times New Roman" w:cs="Times New Roman" w:eastAsiaTheme="minorEastAsia"/>
          <w:sz w:val="24"/>
          <w:szCs w:val="24"/>
          <w:lang w:val="en-US" w:eastAsia="zh-CN"/>
        </w:rPr>
      </w:pPr>
    </w:p>
    <w:p w14:paraId="521577A0">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55260" cy="3523615"/>
            <wp:effectExtent l="0" t="0" r="2540" b="12065"/>
            <wp:docPr id="15" name="图片 15"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6"/>
                    <pic:cNvPicPr>
                      <a:picLocks noChangeAspect="1"/>
                    </pic:cNvPicPr>
                  </pic:nvPicPr>
                  <pic:blipFill>
                    <a:blip r:embed="rId18"/>
                    <a:stretch>
                      <a:fillRect/>
                    </a:stretch>
                  </pic:blipFill>
                  <pic:spPr>
                    <a:xfrm>
                      <a:off x="0" y="0"/>
                      <a:ext cx="5255260" cy="3523615"/>
                    </a:xfrm>
                    <a:prstGeom prst="rect">
                      <a:avLst/>
                    </a:prstGeom>
                  </pic:spPr>
                </pic:pic>
              </a:graphicData>
            </a:graphic>
          </wp:inline>
        </w:drawing>
      </w:r>
    </w:p>
    <w:p w14:paraId="4E3ECC5C">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6</w:t>
      </w:r>
    </w:p>
    <w:p w14:paraId="0A899EDF">
      <w:pPr>
        <w:spacing w:line="360" w:lineRule="auto"/>
        <w:rPr>
          <w:rFonts w:hint="default" w:ascii="Times New Roman" w:hAnsi="Times New Roman" w:cs="Times New Roman" w:eastAsiaTheme="minorEastAsia"/>
          <w:sz w:val="24"/>
          <w:szCs w:val="24"/>
          <w:lang w:val="en-US" w:eastAsia="zh-CN"/>
        </w:rPr>
      </w:pPr>
    </w:p>
    <w:p w14:paraId="1B7D3762">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5420" cy="3567430"/>
            <wp:effectExtent l="0" t="0" r="7620" b="13970"/>
            <wp:docPr id="16" name="图片 16"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7"/>
                    <pic:cNvPicPr>
                      <a:picLocks noChangeAspect="1"/>
                    </pic:cNvPicPr>
                  </pic:nvPicPr>
                  <pic:blipFill>
                    <a:blip r:embed="rId19"/>
                    <a:stretch>
                      <a:fillRect/>
                    </a:stretch>
                  </pic:blipFill>
                  <pic:spPr>
                    <a:xfrm>
                      <a:off x="0" y="0"/>
                      <a:ext cx="5265420" cy="3567430"/>
                    </a:xfrm>
                    <a:prstGeom prst="rect">
                      <a:avLst/>
                    </a:prstGeom>
                  </pic:spPr>
                </pic:pic>
              </a:graphicData>
            </a:graphic>
          </wp:inline>
        </w:drawing>
      </w:r>
    </w:p>
    <w:p w14:paraId="33B2C0CC">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7</w:t>
      </w:r>
    </w:p>
    <w:p w14:paraId="5DF80824">
      <w:pPr>
        <w:spacing w:line="360" w:lineRule="auto"/>
        <w:rPr>
          <w:rFonts w:hint="default" w:ascii="Times New Roman" w:hAnsi="Times New Roman" w:cs="Times New Roman" w:eastAsiaTheme="minorEastAsia"/>
          <w:sz w:val="24"/>
          <w:szCs w:val="24"/>
          <w:lang w:val="en-US" w:eastAsia="zh-CN"/>
        </w:rPr>
      </w:pPr>
    </w:p>
    <w:p w14:paraId="1FF2EA06">
      <w:pPr>
        <w:spacing w:line="360" w:lineRule="auto"/>
        <w:rPr>
          <w:rFonts w:hint="default" w:ascii="Times New Roman" w:hAnsi="Times New Roman" w:cs="Times New Roman" w:eastAsiaTheme="minorEastAsia"/>
          <w:sz w:val="24"/>
          <w:szCs w:val="24"/>
          <w:lang w:val="en-US" w:eastAsia="zh-CN"/>
        </w:rPr>
      </w:pPr>
    </w:p>
    <w:p w14:paraId="2E427F28">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5420" cy="2926080"/>
            <wp:effectExtent l="0" t="0" r="7620" b="0"/>
            <wp:docPr id="17" name="图片 17"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8"/>
                    <pic:cNvPicPr>
                      <a:picLocks noChangeAspect="1"/>
                    </pic:cNvPicPr>
                  </pic:nvPicPr>
                  <pic:blipFill>
                    <a:blip r:embed="rId20"/>
                    <a:stretch>
                      <a:fillRect/>
                    </a:stretch>
                  </pic:blipFill>
                  <pic:spPr>
                    <a:xfrm>
                      <a:off x="0" y="0"/>
                      <a:ext cx="5265420" cy="2926080"/>
                    </a:xfrm>
                    <a:prstGeom prst="rect">
                      <a:avLst/>
                    </a:prstGeom>
                  </pic:spPr>
                </pic:pic>
              </a:graphicData>
            </a:graphic>
          </wp:inline>
        </w:drawing>
      </w:r>
    </w:p>
    <w:p w14:paraId="3DC13AED">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8</w:t>
      </w:r>
    </w:p>
    <w:p w14:paraId="11B728CD">
      <w:pPr>
        <w:spacing w:line="360" w:lineRule="auto"/>
        <w:rPr>
          <w:rFonts w:hint="default" w:ascii="Times New Roman" w:hAnsi="Times New Roman" w:cs="Times New Roman" w:eastAsiaTheme="minorEastAsia"/>
          <w:sz w:val="24"/>
          <w:szCs w:val="24"/>
          <w:lang w:val="en-US" w:eastAsia="zh-CN"/>
        </w:rPr>
      </w:pPr>
    </w:p>
    <w:p w14:paraId="3094DD64">
      <w:pPr>
        <w:spacing w:line="360" w:lineRule="auto"/>
        <w:rPr>
          <w:rFonts w:hint="default" w:ascii="Times New Roman" w:hAnsi="Times New Roman" w:cs="Times New Roman" w:eastAsiaTheme="minorEastAsia"/>
          <w:sz w:val="24"/>
          <w:szCs w:val="24"/>
          <w:lang w:val="en-US" w:eastAsia="zh-CN"/>
        </w:rPr>
      </w:pPr>
    </w:p>
    <w:p w14:paraId="7C31A7C0">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7960" cy="1895475"/>
            <wp:effectExtent l="0" t="0" r="5080" b="9525"/>
            <wp:docPr id="18" name="图片 18"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9"/>
                    <pic:cNvPicPr>
                      <a:picLocks noChangeAspect="1"/>
                    </pic:cNvPicPr>
                  </pic:nvPicPr>
                  <pic:blipFill>
                    <a:blip r:embed="rId21"/>
                    <a:stretch>
                      <a:fillRect/>
                    </a:stretch>
                  </pic:blipFill>
                  <pic:spPr>
                    <a:xfrm>
                      <a:off x="0" y="0"/>
                      <a:ext cx="5267960" cy="1895475"/>
                    </a:xfrm>
                    <a:prstGeom prst="rect">
                      <a:avLst/>
                    </a:prstGeom>
                  </pic:spPr>
                </pic:pic>
              </a:graphicData>
            </a:graphic>
          </wp:inline>
        </w:drawing>
      </w:r>
    </w:p>
    <w:p w14:paraId="64C5B38B">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b/>
          <w:bCs/>
          <w:sz w:val="24"/>
          <w:szCs w:val="24"/>
          <w:lang w:val="en-US" w:eastAsia="zh-CN"/>
        </w:rPr>
        <w:t>Figure 9</w:t>
      </w:r>
    </w:p>
    <w:p w14:paraId="4618FD84">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73675" cy="4240530"/>
            <wp:effectExtent l="0" t="0" r="14605" b="11430"/>
            <wp:docPr id="19" name="图片 19"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ure 10"/>
                    <pic:cNvPicPr>
                      <a:picLocks noChangeAspect="1"/>
                    </pic:cNvPicPr>
                  </pic:nvPicPr>
                  <pic:blipFill>
                    <a:blip r:embed="rId22"/>
                    <a:stretch>
                      <a:fillRect/>
                    </a:stretch>
                  </pic:blipFill>
                  <pic:spPr>
                    <a:xfrm>
                      <a:off x="0" y="0"/>
                      <a:ext cx="5273675" cy="4240530"/>
                    </a:xfrm>
                    <a:prstGeom prst="rect">
                      <a:avLst/>
                    </a:prstGeom>
                  </pic:spPr>
                </pic:pic>
              </a:graphicData>
            </a:graphic>
          </wp:inline>
        </w:drawing>
      </w:r>
    </w:p>
    <w:p w14:paraId="404C9650">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10</w:t>
      </w:r>
    </w:p>
    <w:p w14:paraId="26EA1A2F">
      <w:pPr>
        <w:spacing w:line="360" w:lineRule="auto"/>
        <w:rPr>
          <w:rFonts w:hint="default" w:ascii="Times New Roman" w:hAnsi="Times New Roman" w:cs="Times New Roman" w:eastAsiaTheme="minorEastAsia"/>
          <w:sz w:val="24"/>
          <w:szCs w:val="24"/>
          <w:lang w:val="en-US" w:eastAsia="zh-CN"/>
        </w:rPr>
      </w:pPr>
    </w:p>
    <w:p w14:paraId="400D2C6C">
      <w:pPr>
        <w:spacing w:line="360" w:lineRule="auto"/>
        <w:rPr>
          <w:rFonts w:hint="default" w:ascii="Times New Roman" w:hAnsi="Times New Roman" w:cs="Times New Roman" w:eastAsiaTheme="minorEastAsia"/>
          <w:sz w:val="24"/>
          <w:szCs w:val="24"/>
          <w:lang w:val="en-US" w:eastAsia="zh-CN"/>
        </w:rPr>
      </w:pPr>
    </w:p>
    <w:p w14:paraId="1D304EE4">
      <w:pPr>
        <w:spacing w:line="360" w:lineRule="auto"/>
        <w:rPr>
          <w:rFonts w:hint="default" w:ascii="Times New Roman" w:hAnsi="Times New Roman" w:cs="Times New Roman" w:eastAsiaTheme="minorEastAsia"/>
          <w:sz w:val="24"/>
          <w:szCs w:val="24"/>
          <w:lang w:val="en-US" w:eastAsia="zh-CN"/>
        </w:rPr>
      </w:pPr>
    </w:p>
    <w:p w14:paraId="051B8D04">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2880" cy="4053840"/>
            <wp:effectExtent l="0" t="0" r="10160" b="0"/>
            <wp:docPr id="20" name="图片 20"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11"/>
                    <pic:cNvPicPr>
                      <a:picLocks noChangeAspect="1"/>
                    </pic:cNvPicPr>
                  </pic:nvPicPr>
                  <pic:blipFill>
                    <a:blip r:embed="rId23"/>
                    <a:stretch>
                      <a:fillRect/>
                    </a:stretch>
                  </pic:blipFill>
                  <pic:spPr>
                    <a:xfrm>
                      <a:off x="0" y="0"/>
                      <a:ext cx="5262880" cy="4053840"/>
                    </a:xfrm>
                    <a:prstGeom prst="rect">
                      <a:avLst/>
                    </a:prstGeom>
                  </pic:spPr>
                </pic:pic>
              </a:graphicData>
            </a:graphic>
          </wp:inline>
        </w:drawing>
      </w:r>
    </w:p>
    <w:p w14:paraId="4229B8E8">
      <w:pPr>
        <w:spacing w:line="36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Figure 11</w:t>
      </w:r>
    </w:p>
    <w:p w14:paraId="6904E7B9">
      <w:pPr>
        <w:spacing w:line="360" w:lineRule="auto"/>
        <w:rPr>
          <w:rFonts w:hint="default" w:ascii="Times New Roman" w:hAnsi="Times New Roman" w:cs="Times New Roman"/>
          <w:b/>
          <w:bCs/>
          <w:sz w:val="24"/>
          <w:szCs w:val="24"/>
          <w:lang w:val="en-US" w:eastAsia="zh-CN"/>
        </w:rPr>
      </w:pPr>
    </w:p>
    <w:p w14:paraId="631FF2AF">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72405" cy="1433830"/>
            <wp:effectExtent l="0" t="0" r="635" b="13970"/>
            <wp:docPr id="21" name="图片 2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2"/>
                    <pic:cNvPicPr>
                      <a:picLocks noChangeAspect="1"/>
                    </pic:cNvPicPr>
                  </pic:nvPicPr>
                  <pic:blipFill>
                    <a:blip r:embed="rId24"/>
                    <a:stretch>
                      <a:fillRect/>
                    </a:stretch>
                  </pic:blipFill>
                  <pic:spPr>
                    <a:xfrm>
                      <a:off x="0" y="0"/>
                      <a:ext cx="5272405" cy="1433830"/>
                    </a:xfrm>
                    <a:prstGeom prst="rect">
                      <a:avLst/>
                    </a:prstGeom>
                  </pic:spPr>
                </pic:pic>
              </a:graphicData>
            </a:graphic>
          </wp:inline>
        </w:drawing>
      </w:r>
    </w:p>
    <w:p w14:paraId="3564CD71">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S2</w:t>
      </w:r>
    </w:p>
    <w:p w14:paraId="2501035D">
      <w:pPr>
        <w:spacing w:line="360" w:lineRule="auto"/>
        <w:rPr>
          <w:rFonts w:hint="default" w:ascii="Times New Roman" w:hAnsi="Times New Roman" w:cs="Times New Roman" w:eastAsiaTheme="minorEastAsia"/>
          <w:sz w:val="24"/>
          <w:szCs w:val="24"/>
          <w:lang w:val="en-US" w:eastAsia="zh-CN"/>
        </w:rPr>
      </w:pPr>
    </w:p>
    <w:p w14:paraId="6086CB27">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66690" cy="1323340"/>
            <wp:effectExtent l="0" t="0" r="6350" b="2540"/>
            <wp:docPr id="22" name="图片 22"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S4"/>
                    <pic:cNvPicPr>
                      <a:picLocks noChangeAspect="1"/>
                    </pic:cNvPicPr>
                  </pic:nvPicPr>
                  <pic:blipFill>
                    <a:blip r:embed="rId25"/>
                    <a:stretch>
                      <a:fillRect/>
                    </a:stretch>
                  </pic:blipFill>
                  <pic:spPr>
                    <a:xfrm>
                      <a:off x="0" y="0"/>
                      <a:ext cx="5266690" cy="1323340"/>
                    </a:xfrm>
                    <a:prstGeom prst="rect">
                      <a:avLst/>
                    </a:prstGeom>
                  </pic:spPr>
                </pic:pic>
              </a:graphicData>
            </a:graphic>
          </wp:inline>
        </w:drawing>
      </w:r>
    </w:p>
    <w:p w14:paraId="33C8B209">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S4</w:t>
      </w:r>
    </w:p>
    <w:p w14:paraId="17F85848">
      <w:pPr>
        <w:spacing w:line="360" w:lineRule="auto"/>
        <w:rPr>
          <w:rFonts w:hint="default" w:ascii="Times New Roman" w:hAnsi="Times New Roman" w:cs="Times New Roman" w:eastAsiaTheme="minorEastAsia"/>
          <w:sz w:val="24"/>
          <w:szCs w:val="24"/>
          <w:lang w:val="en-US" w:eastAsia="zh-CN"/>
        </w:rPr>
      </w:pPr>
    </w:p>
    <w:p w14:paraId="0470CDA4">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57165" cy="868680"/>
            <wp:effectExtent l="0" t="0" r="635" b="0"/>
            <wp:docPr id="23" name="图片 23"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 S6"/>
                    <pic:cNvPicPr>
                      <a:picLocks noChangeAspect="1"/>
                    </pic:cNvPicPr>
                  </pic:nvPicPr>
                  <pic:blipFill>
                    <a:blip r:embed="rId26"/>
                    <a:stretch>
                      <a:fillRect/>
                    </a:stretch>
                  </pic:blipFill>
                  <pic:spPr>
                    <a:xfrm>
                      <a:off x="0" y="0"/>
                      <a:ext cx="5257165" cy="868680"/>
                    </a:xfrm>
                    <a:prstGeom prst="rect">
                      <a:avLst/>
                    </a:prstGeom>
                  </pic:spPr>
                </pic:pic>
              </a:graphicData>
            </a:graphic>
          </wp:inline>
        </w:drawing>
      </w:r>
    </w:p>
    <w:p w14:paraId="6F4B911C">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S6</w:t>
      </w:r>
    </w:p>
    <w:p w14:paraId="24FAC912">
      <w:pPr>
        <w:spacing w:line="360" w:lineRule="auto"/>
        <w:rPr>
          <w:rFonts w:hint="default" w:ascii="Times New Roman" w:hAnsi="Times New Roman" w:cs="Times New Roman" w:eastAsiaTheme="minorEastAsia"/>
          <w:sz w:val="24"/>
          <w:szCs w:val="24"/>
          <w:lang w:val="en-US" w:eastAsia="zh-CN"/>
        </w:rPr>
      </w:pPr>
    </w:p>
    <w:p w14:paraId="02D07A61">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drawing>
          <wp:inline distT="0" distB="0" distL="114300" distR="114300">
            <wp:extent cx="5224780" cy="1151890"/>
            <wp:effectExtent l="0" t="0" r="2540" b="6350"/>
            <wp:docPr id="24" name="图片 24"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 S9"/>
                    <pic:cNvPicPr>
                      <a:picLocks noChangeAspect="1"/>
                    </pic:cNvPicPr>
                  </pic:nvPicPr>
                  <pic:blipFill>
                    <a:blip r:embed="rId27"/>
                    <a:stretch>
                      <a:fillRect/>
                    </a:stretch>
                  </pic:blipFill>
                  <pic:spPr>
                    <a:xfrm>
                      <a:off x="0" y="0"/>
                      <a:ext cx="5224780" cy="1151890"/>
                    </a:xfrm>
                    <a:prstGeom prst="rect">
                      <a:avLst/>
                    </a:prstGeom>
                  </pic:spPr>
                </pic:pic>
              </a:graphicData>
            </a:graphic>
          </wp:inline>
        </w:drawing>
      </w:r>
    </w:p>
    <w:p w14:paraId="3C8CAC27">
      <w:pPr>
        <w:spacing w:line="360" w:lineRule="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Figure S9</w:t>
      </w:r>
      <w:bookmarkStart w:id="0" w:name="_GoBack"/>
      <w:bookmarkEnd w:id="0"/>
    </w:p>
    <w:p w14:paraId="2EA45908">
      <w:pPr>
        <w:spacing w:line="360" w:lineRule="auto"/>
        <w:rPr>
          <w:rFonts w:hint="default" w:ascii="Times New Roman" w:hAnsi="Times New Roman" w:cs="Times New Roman"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BoldMT">
    <w:altName w:val="PMingLiU-ExtB"/>
    <w:panose1 w:val="00000000000000000000"/>
    <w:charset w:val="00"/>
    <w:family w:val="auto"/>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BF76D"/>
    <w:multiLevelType w:val="singleLevel"/>
    <w:tmpl w:val="5A0BF76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3154E"/>
    <w:rsid w:val="02483192"/>
    <w:rsid w:val="037759DB"/>
    <w:rsid w:val="0AB35ECF"/>
    <w:rsid w:val="0E670081"/>
    <w:rsid w:val="19960F97"/>
    <w:rsid w:val="19A82017"/>
    <w:rsid w:val="1B53154E"/>
    <w:rsid w:val="1BFA27C7"/>
    <w:rsid w:val="1CA90E60"/>
    <w:rsid w:val="22A52EE6"/>
    <w:rsid w:val="26633E71"/>
    <w:rsid w:val="28D472A8"/>
    <w:rsid w:val="2B7A308E"/>
    <w:rsid w:val="2CCF6918"/>
    <w:rsid w:val="375646CD"/>
    <w:rsid w:val="3AB95757"/>
    <w:rsid w:val="437A6D15"/>
    <w:rsid w:val="440612A2"/>
    <w:rsid w:val="448156A1"/>
    <w:rsid w:val="4F351724"/>
    <w:rsid w:val="57B46714"/>
    <w:rsid w:val="5E4702E9"/>
    <w:rsid w:val="60576EB7"/>
    <w:rsid w:val="615C785F"/>
    <w:rsid w:val="63267997"/>
    <w:rsid w:val="71902C0D"/>
    <w:rsid w:val="737D3686"/>
    <w:rsid w:val="754315E2"/>
    <w:rsid w:val="7CE21BD1"/>
    <w:rsid w:val="7F1E7686"/>
    <w:rsid w:val="7FC5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customStyle="1" w:styleId="6">
    <w:name w:val="默认段落字体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1439</Words>
  <Characters>8113</Characters>
  <Lines>0</Lines>
  <Paragraphs>0</Paragraphs>
  <TotalTime>10</TotalTime>
  <ScaleCrop>false</ScaleCrop>
  <LinksUpToDate>false</LinksUpToDate>
  <CharactersWithSpaces>9538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2026-07-28T03:23:00Z</dcterms:created>
  <dc:creator>蕤翔</dc:creator>
  <cp:lastModifiedBy>陈 鹏</cp:lastModifiedBy>
  <dcterms:modified xsi:type="dcterms:W3CDTF">2026-07-31T00:50:27Z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0665C63F89444A1DB9683B32F5BD91F5_13</vt:lpwstr>
  </property>
  <property fmtid="{D5CDD505-2E9C-101B-9397-08002B2CF9AE}" pid="4" name="KSOTemplateDocerSaveRecord">
    <vt:lpwstr>eyJoZGlkIjoiMGNhOTFmODVmNWU4MjBjY2JjNzA0Y2NlYWNmMDNkODQiLCJ1c2VySWQiOiI0NzIzMjMwNTgifQ==</vt:lpwstr>
  </property>
</Properties>
</file>