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eastAsia="Times New Roman" w:cs="Times New Roman"/>
          <w:b/>
          <w:color w:val="000000"/>
          <w:sz w:val="32"/>
        </w:rPr>
        <w:t>CFPS Replication README and Variable Coding Documentation</w:t>
      </w:r>
    </w:p>
    <w:p>
      <w:pPr>
        <w:spacing w:after="240" w:line="276" w:lineRule="auto"/>
        <w:jc w:val="center"/>
      </w:pPr>
      <w:r>
        <w:rPr>
          <w:rFonts w:ascii="Times New Roman" w:hAnsi="Times New Roman" w:eastAsia="Times New Roman" w:cs="Times New Roman"/>
          <w:i/>
          <w:color w:val="000000"/>
          <w:sz w:val="24"/>
        </w:rPr>
        <w:t>Replication and Data Documentation</w:t>
      </w:r>
    </w:p>
    <w:p>
      <w:pPr>
        <w:pStyle w:val="Heading1"/>
      </w:pPr>
      <w:r>
        <w:t>1. Study Identification</w:t>
      </w:r>
    </w:p>
    <w:p>
      <w:pPr>
        <w:spacing w:after="80"/>
        <w:jc w:val="left"/>
      </w:pPr>
      <w:r>
        <w:rPr>
          <w:rFonts w:ascii="Times New Roman" w:hAnsi="Times New Roman" w:eastAsia="Times New Roman" w:cs="Times New Roman"/>
          <w:b/>
          <w:color w:val="000000"/>
          <w:sz w:val="24"/>
        </w:rPr>
        <w:t xml:space="preserve">Manuscript title: </w:t>
      </w:r>
      <w:r>
        <w:rPr>
          <w:rFonts w:ascii="Times New Roman" w:hAnsi="Times New Roman" w:eastAsia="Times New Roman" w:cs="Times New Roman"/>
          <w:color w:val="000000"/>
          <w:sz w:val="24"/>
        </w:rPr>
        <w:t>Exercise Frequency and Subjective Well-Being among Chinese Adolescents: Competing Indirect Associations through Depressive Symptoms and Sleep Duration</w:t>
      </w:r>
    </w:p>
    <w:p>
      <w:pPr>
        <w:spacing w:after="80"/>
        <w:jc w:val="left"/>
      </w:pPr>
      <w:r>
        <w:rPr>
          <w:rFonts w:ascii="Times New Roman" w:hAnsi="Times New Roman" w:eastAsia="Times New Roman" w:cs="Times New Roman"/>
          <w:b/>
          <w:color w:val="000000"/>
          <w:sz w:val="24"/>
        </w:rPr>
        <w:t xml:space="preserve">Journal: </w:t>
      </w:r>
      <w:r>
        <w:rPr>
          <w:rFonts w:ascii="Times New Roman" w:hAnsi="Times New Roman" w:eastAsia="Times New Roman" w:cs="Times New Roman"/>
          <w:color w:val="000000"/>
          <w:sz w:val="24"/>
        </w:rPr>
        <w:t>Humanities &amp; Social Sciences Communications</w:t>
      </w:r>
    </w:p>
    <w:p>
      <w:pPr>
        <w:spacing w:after="80"/>
        <w:jc w:val="left"/>
      </w:pPr>
      <w:r>
        <w:rPr>
          <w:rFonts w:ascii="Times New Roman" w:hAnsi="Times New Roman" w:eastAsia="Times New Roman" w:cs="Times New Roman"/>
          <w:b/>
          <w:color w:val="000000"/>
          <w:sz w:val="24"/>
        </w:rPr>
        <w:t xml:space="preserve">Submission ID: </w:t>
      </w:r>
      <w:r>
        <w:rPr>
          <w:rFonts w:ascii="Times New Roman" w:hAnsi="Times New Roman" w:eastAsia="Times New Roman" w:cs="Times New Roman"/>
          <w:color w:val="000000"/>
          <w:sz w:val="24"/>
        </w:rPr>
        <w:t>b2ecbc10-697b-4493-87f1-decf39e7909b</w:t>
      </w:r>
    </w:p>
    <w:p>
      <w:pPr>
        <w:spacing w:after="80"/>
        <w:jc w:val="left"/>
      </w:pPr>
      <w:r>
        <w:rPr>
          <w:rFonts w:ascii="Times New Roman" w:hAnsi="Times New Roman" w:eastAsia="Times New Roman" w:cs="Times New Roman"/>
          <w:b/>
          <w:color w:val="000000"/>
          <w:sz w:val="24"/>
        </w:rPr>
        <w:t xml:space="preserve">Dataset: </w:t>
      </w:r>
      <w:r>
        <w:rPr>
          <w:rFonts w:ascii="Times New Roman" w:hAnsi="Times New Roman" w:eastAsia="Times New Roman" w:cs="Times New Roman"/>
          <w:color w:val="000000"/>
          <w:sz w:val="24"/>
        </w:rPr>
        <w:t>China Family Panel Studies (CFPS) 2022</w:t>
      </w:r>
    </w:p>
    <w:p>
      <w:pPr>
        <w:pStyle w:val="Heading1"/>
      </w:pPr>
      <w:r>
        <w:t>2. Research Design</w:t>
      </w:r>
    </w:p>
    <w:p>
      <w:r>
        <w:t>This study is a secondary-data analysis of a single CFPS wave. It uses CFPS 2022 and constructs an adolescent sample aged 10–18 years. Although CFPS is a longitudinal panel survey, the manuscript does not analyze repeated observations, within-person change, or longitudinal panel models. The reported design is cross-sectional.</w:t>
      </w:r>
    </w:p>
    <w:p>
      <w:pPr>
        <w:pStyle w:val="Heading1"/>
      </w:pPr>
      <w:r>
        <w:t>3. Data Access</w:t>
      </w:r>
    </w:p>
    <w:p>
      <w:pPr>
        <w:spacing w:after="80"/>
        <w:jc w:val="left"/>
      </w:pPr>
      <w:r>
        <w:rPr>
          <w:rFonts w:ascii="Times New Roman" w:hAnsi="Times New Roman" w:eastAsia="Times New Roman" w:cs="Times New Roman"/>
          <w:b/>
          <w:color w:val="000000"/>
          <w:sz w:val="24"/>
        </w:rPr>
        <w:t xml:space="preserve">Data provider: </w:t>
      </w:r>
      <w:r>
        <w:rPr>
          <w:rFonts w:ascii="Times New Roman" w:hAnsi="Times New Roman" w:eastAsia="Times New Roman" w:cs="Times New Roman"/>
          <w:color w:val="000000"/>
          <w:sz w:val="24"/>
        </w:rPr>
        <w:t>Institute of Social Science Survey, Peking University</w:t>
      </w:r>
    </w:p>
    <w:p>
      <w:pPr>
        <w:spacing w:after="80"/>
        <w:jc w:val="left"/>
      </w:pPr>
      <w:r>
        <w:rPr>
          <w:rFonts w:ascii="Times New Roman" w:hAnsi="Times New Roman" w:eastAsia="Times New Roman" w:cs="Times New Roman"/>
          <w:b/>
          <w:color w:val="000000"/>
          <w:sz w:val="24"/>
        </w:rPr>
        <w:t xml:space="preserve">Dataset: </w:t>
      </w:r>
      <w:r>
        <w:rPr>
          <w:rFonts w:ascii="Times New Roman" w:hAnsi="Times New Roman" w:eastAsia="Times New Roman" w:cs="Times New Roman"/>
          <w:color w:val="000000"/>
          <w:sz w:val="24"/>
        </w:rPr>
        <w:t>China Family Panel Studies 2022</w:t>
      </w:r>
    </w:p>
    <w:p>
      <w:r>
        <w:t>Researchers must obtain authorized access through the official CFPS data-access channel and comply with the CFPS Data User Agreement. This document does not provide or direct readers to any third-party microdata download.</w:t>
      </w:r>
    </w:p>
    <w:p>
      <w:pPr>
        <w:pStyle w:val="Heading1"/>
      </w:pPr>
      <w:r>
        <w:t>4. Redistribution Restrictions</w:t>
      </w:r>
    </w:p>
    <w:p>
      <w:r>
        <w:t>The author cannot distribute the original CFPS microdata, respondent-level subset files, cleaned respondent-level datasets, or modified respondent-level microdata as journal supplementary material. Editors and reviewers must not be asked to bypass CFPS licensing conditions. Researchers with authorized CFPS 2022 access can use the documentation below to reconstruct the analytical sample.</w:t>
      </w:r>
    </w:p>
    <w:p>
      <w:pPr>
        <w:pStyle w:val="Heading1"/>
      </w:pPr>
      <w:r>
        <w:t>5. Sample Construction</w:t>
      </w:r>
    </w:p>
    <w:tbl>
      <w:tblPr>
        <w:tblStyle w:val="TableGrid"/>
        <w:tblW w:type="dxa" w:w="9360"/>
        <w:jc w:val="left"/>
        <w:tblLayout w:type="fixed"/>
        <w:tblLook w:firstColumn="1" w:firstRow="1" w:lastColumn="0" w:lastRow="0" w:noHBand="0" w:noVBand="1" w:val="04A0"/>
        <w:tblInd w:w="120" w:type="dxa"/>
      </w:tblPr>
      <w:tblGrid>
        <w:gridCol w:w="3600"/>
        <w:gridCol w:w="1200"/>
        <w:gridCol w:w="4560"/>
      </w:tblGrid>
      <w:tr>
        <w:trPr>
          <w:tblHeader w:val="true"/>
        </w:trPr>
        <w:tc>
          <w:tcPr>
            <w:tcW w:type="dxa" w:w="360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9"/>
              </w:rPr>
              <w:t>Construction stage</w:t>
            </w:r>
          </w:p>
        </w:tc>
        <w:tc>
          <w:tcPr>
            <w:tcW w:type="dxa" w:w="120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9"/>
              </w:rPr>
              <w:t>N</w:t>
            </w:r>
          </w:p>
        </w:tc>
        <w:tc>
          <w:tcPr>
            <w:tcW w:type="dxa" w:w="456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9"/>
              </w:rPr>
              <w:t>Analytic meaning</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CFPS 2022 person file</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27,001</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Starting person-level file</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Age 10–18</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2,985</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Age-eligible sample</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Valid subjective well-being</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2,867</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Valid 0–10 happiness item</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Valid well-being and exercise frequency</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2,864</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Base analytic sample</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Fully adjusted complete cases</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2,849</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Outcome, exposure, and all covariates valid</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Design-adjusted valid weights</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2,765</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Complete cases with valid cross-sectional weight</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Pathway-specific models</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2,846–2,849</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N varies with intermediate-indicator validity</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Tutoring variable available</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641</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Valid pt201 within the base sample</w:t>
            </w:r>
          </w:p>
        </w:tc>
      </w:tr>
      <w:tr>
        <w:tc>
          <w:tcPr>
            <w:tcW w:type="dxa" w:w="3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Tutoring interaction model</w:t>
            </w:r>
          </w:p>
        </w:tc>
        <w:tc>
          <w:tcPr>
            <w:tcW w:type="dxa" w:w="12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639</w:t>
            </w:r>
          </w:p>
        </w:tc>
        <w:tc>
          <w:tcPr>
            <w:tcW w:type="dxa" w:w="45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Valid pt201 plus model outcome/covariates</w:t>
            </w:r>
          </w:p>
        </w:tc>
      </w:tr>
    </w:tbl>
    <w:p>
      <w:r>
        <w:t>Complete-case analysis was used for each specification. No imputation was performed.</w:t>
      </w:r>
    </w:p>
    <w:p>
      <w:pPr>
        <w:pStyle w:val="Heading1"/>
      </w:pPr>
      <w:r>
        <w:t>6. Variable Crosswalk</w:t>
      </w:r>
    </w:p>
    <w:tbl>
      <w:tblPr>
        <w:tblStyle w:val="TableGrid"/>
        <w:tblW w:type="dxa" w:w="9360"/>
        <w:jc w:val="left"/>
        <w:tblLayout w:type="fixed"/>
        <w:tblLook w:firstColumn="1" w:firstRow="1" w:lastColumn="0" w:lastRow="0" w:noHBand="0" w:noVBand="1" w:val="04A0"/>
        <w:tblInd w:w="120" w:type="dxa"/>
      </w:tblPr>
      <w:tblGrid>
        <w:gridCol w:w="1900"/>
        <w:gridCol w:w="1900"/>
        <w:gridCol w:w="3960"/>
        <w:gridCol w:w="1600"/>
      </w:tblGrid>
      <w:tr>
        <w:trPr>
          <w:tblHeader w:val="true"/>
        </w:trPr>
        <w:tc>
          <w:tcPr>
            <w:tcW w:type="dxa" w:w="190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8"/>
              </w:rPr>
              <w:t>Construct</w:t>
            </w:r>
          </w:p>
        </w:tc>
        <w:tc>
          <w:tcPr>
            <w:tcW w:type="dxa" w:w="190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8"/>
              </w:rPr>
              <w:t>CFPS variable</w:t>
            </w:r>
          </w:p>
        </w:tc>
        <w:tc>
          <w:tcPr>
            <w:tcW w:type="dxa" w:w="396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8"/>
              </w:rPr>
              <w:t>Coding / transformation</w:t>
            </w:r>
          </w:p>
        </w:tc>
        <w:tc>
          <w:tcPr>
            <w:tcW w:type="dxa" w:w="160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8"/>
              </w:rPr>
              <w:t>Analysis role</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Subjective well-being</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qm2016</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0–10; higher values indicate greater happiness.</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Primary outcome</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Exercise frequency</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qp701n</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Code 8 recoded to 0 (never); codes 1–7 retained.</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Primary exposure</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Depressive symptoms</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qn406, qn407, qn411, qn412, qn414, qn416, qn418, qn420</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CESD-8; each item 1–4. The two positive items are scored as 5 − response. All eight items must be valid. Final range 8–32; reported α = .766.</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Primary indirect indicator</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Sleep duration</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qq4010</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Usual sleep hours/day excluding naps. Valid range 0.1–24 before sample-specific range reporting; observed range 0.5–15.0.</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Indirect indicator</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Loneliness</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qn414</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Scored as 5 − response; higher = less lonely. qn414 is also one item in CESD-8 and is reused separately only for the loneliness analysis.</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Additional indirect indicator</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Self-rated health</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qp201</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Scored as 6 − original response; higher = better perceived health.</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Additional indirect indicator</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Life satisfaction</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qn12012</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1–5; retained as reported.</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Sensitivity outcome</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Exercise-session duration</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qp702n</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1–300 minutes; available only for respondents reporting exercise.</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Sensitivity predictor</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School-course tutoring</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pt201</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Weekly hours during the most recent non-vacation month; continuous. Coding range reported in Table 1: 0.1–70; observed range: 0.3–70 hours.</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Exploratory moderator</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Survey weight</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rswt_natcs22n</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2022 individual cross-sectional weight.</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Weight</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Sampling strata</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subpopulation</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Six released sampling strata.</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Survey design</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Primary sampling unit</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psu</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Baseline primary sampling unit.</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Survey design</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Age</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Age variable in person file</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Mean-centered; age² calculated after centering.</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Covariate</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Gender</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Gender variable in person file</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Female = 1.</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Covariate</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Residence</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Person-level residence variable</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Urban = 1.</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Covariate</w:t>
            </w:r>
          </w:p>
        </w:tc>
      </w:tr>
      <w:tr>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Education</w:t>
            </w:r>
          </w:p>
        </w:tc>
        <w:tc>
          <w:tcPr>
            <w:tcW w:type="dxa" w:w="19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Completed education years</w:t>
            </w:r>
          </w:p>
        </w:tc>
        <w:tc>
          <w:tcPr>
            <w:tcW w:type="dxa" w:w="39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Years of completed education.</w:t>
            </w:r>
          </w:p>
        </w:tc>
        <w:tc>
          <w:tcPr>
            <w:tcW w:type="dxa" w:w="16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8"/>
              </w:rPr>
              <w:t>Covariate</w:t>
            </w:r>
          </w:p>
        </w:tc>
      </w:tr>
    </w:tbl>
    <w:p>
      <w:pPr>
        <w:pStyle w:val="Heading1"/>
      </w:pPr>
      <w:r>
        <w:t>7. Missing Data Rules</w:t>
      </w:r>
    </w:p>
    <w:p>
      <w:pPr>
        <w:pStyle w:val="ListBullet"/>
      </w:pPr>
      <w:r>
        <w:t>All negative CFPS special codes were treated as missing.</w:t>
      </w:r>
    </w:p>
    <w:p>
      <w:pPr>
        <w:pStyle w:val="ListBullet"/>
      </w:pPr>
      <w:r>
        <w:t>Complete cases were used separately for each model specification.</w:t>
      </w:r>
    </w:p>
    <w:p>
      <w:pPr>
        <w:pStyle w:val="ListBullet"/>
      </w:pPr>
      <w:r>
        <w:t>No multiple imputation was used.</w:t>
      </w:r>
    </w:p>
    <w:p>
      <w:pPr>
        <w:pStyle w:val="ListBullet"/>
      </w:pPr>
      <w:r>
        <w:t>The CESD-8 score requires all eight items to be valid; no alternative missing-item threshold was introduced.</w:t>
      </w:r>
    </w:p>
    <w:p>
      <w:pPr>
        <w:pStyle w:val="Heading1"/>
      </w:pPr>
      <w:r>
        <w:t>8. Analysis Workflow</w:t>
      </w:r>
    </w:p>
    <w:p>
      <w:pPr>
        <w:numPr>
          <w:ilvl w:val="0"/>
          <w:numId w:val="10"/>
        </w:numPr>
        <w:spacing w:before="0" w:after="80" w:line="360" w:lineRule="auto"/>
        <w:jc w:val="left"/>
      </w:pPr>
      <w:r>
        <w:rPr>
          <w:rFonts w:ascii="Times New Roman" w:hAnsi="Times New Roman" w:eastAsia="Times New Roman" w:cs="Times New Roman"/>
          <w:color w:val="000000"/>
          <w:sz w:val="24"/>
        </w:rPr>
        <w:t>Construct the CFPS 2022 adolescent sample aged 10–18 years.</w:t>
      </w:r>
    </w:p>
    <w:p>
      <w:pPr>
        <w:numPr>
          <w:ilvl w:val="0"/>
          <w:numId w:val="10"/>
        </w:numPr>
        <w:spacing w:before="0" w:after="80" w:line="360" w:lineRule="auto"/>
        <w:jc w:val="left"/>
      </w:pPr>
      <w:r>
        <w:rPr>
          <w:rFonts w:ascii="Times New Roman" w:hAnsi="Times New Roman" w:eastAsia="Times New Roman" w:cs="Times New Roman"/>
          <w:color w:val="000000"/>
          <w:sz w:val="24"/>
        </w:rPr>
        <w:t>Recode all negative CFPS special values as missing.</w:t>
      </w:r>
    </w:p>
    <w:p>
      <w:pPr>
        <w:numPr>
          <w:ilvl w:val="0"/>
          <w:numId w:val="10"/>
        </w:numPr>
        <w:spacing w:before="0" w:after="80" w:line="360" w:lineRule="auto"/>
        <w:jc w:val="left"/>
      </w:pPr>
      <w:r>
        <w:rPr>
          <w:rFonts w:ascii="Times New Roman" w:hAnsi="Times New Roman" w:eastAsia="Times New Roman" w:cs="Times New Roman"/>
          <w:color w:val="000000"/>
          <w:sz w:val="24"/>
        </w:rPr>
        <w:t>Construct the outcome, primary exposure, intermediate indicators, sensitivity variables, moderator, and covariates.</w:t>
      </w:r>
    </w:p>
    <w:p>
      <w:pPr>
        <w:numPr>
          <w:ilvl w:val="0"/>
          <w:numId w:val="10"/>
        </w:numPr>
        <w:spacing w:before="0" w:after="80" w:line="360" w:lineRule="auto"/>
        <w:jc w:val="left"/>
      </w:pPr>
      <w:r>
        <w:rPr>
          <w:rFonts w:ascii="Times New Roman" w:hAnsi="Times New Roman" w:eastAsia="Times New Roman" w:cs="Times New Roman"/>
          <w:color w:val="000000"/>
          <w:sz w:val="24"/>
        </w:rPr>
        <w:t>Estimate descriptive statistics with variable-specific sample sizes.</w:t>
      </w:r>
    </w:p>
    <w:p>
      <w:pPr>
        <w:numPr>
          <w:ilvl w:val="0"/>
          <w:numId w:val="10"/>
        </w:numPr>
        <w:spacing w:before="0" w:after="80" w:line="360" w:lineRule="auto"/>
        <w:jc w:val="left"/>
      </w:pPr>
      <w:r>
        <w:rPr>
          <w:rFonts w:ascii="Times New Roman" w:hAnsi="Times New Roman" w:eastAsia="Times New Roman" w:cs="Times New Roman"/>
          <w:color w:val="000000"/>
          <w:sz w:val="24"/>
        </w:rPr>
        <w:t>Estimate OLS models with HC1 standard errors.</w:t>
      </w:r>
    </w:p>
    <w:p>
      <w:pPr>
        <w:numPr>
          <w:ilvl w:val="0"/>
          <w:numId w:val="10"/>
        </w:numPr>
        <w:spacing w:before="0" w:after="80" w:line="360" w:lineRule="auto"/>
        <w:jc w:val="left"/>
      </w:pPr>
      <w:r>
        <w:rPr>
          <w:rFonts w:ascii="Times New Roman" w:hAnsi="Times New Roman" w:eastAsia="Times New Roman" w:cs="Times New Roman"/>
          <w:color w:val="000000"/>
          <w:sz w:val="24"/>
        </w:rPr>
        <w:t>Estimate the survey-weight sensitivity model.</w:t>
      </w:r>
    </w:p>
    <w:p>
      <w:pPr>
        <w:numPr>
          <w:ilvl w:val="0"/>
          <w:numId w:val="10"/>
        </w:numPr>
        <w:spacing w:before="0" w:after="80" w:line="360" w:lineRule="auto"/>
        <w:jc w:val="left"/>
      </w:pPr>
      <w:r>
        <w:rPr>
          <w:rFonts w:ascii="Times New Roman" w:hAnsi="Times New Roman" w:eastAsia="Times New Roman" w:cs="Times New Roman"/>
          <w:color w:val="000000"/>
          <w:sz w:val="24"/>
        </w:rPr>
        <w:t>Estimate the weight + strata + PSU design-adjusted model.</w:t>
      </w:r>
    </w:p>
    <w:p>
      <w:pPr>
        <w:numPr>
          <w:ilvl w:val="0"/>
          <w:numId w:val="10"/>
        </w:numPr>
        <w:spacing w:before="0" w:after="80" w:line="360" w:lineRule="auto"/>
        <w:jc w:val="left"/>
      </w:pPr>
      <w:r>
        <w:rPr>
          <w:rFonts w:ascii="Times New Roman" w:hAnsi="Times New Roman" w:eastAsia="Times New Roman" w:cs="Times New Roman"/>
          <w:color w:val="000000"/>
          <w:sz w:val="24"/>
        </w:rPr>
        <w:t>Estimate single and sequential coefficient-product statistical indirect associations.</w:t>
      </w:r>
    </w:p>
    <w:p>
      <w:pPr>
        <w:numPr>
          <w:ilvl w:val="0"/>
          <w:numId w:val="10"/>
        </w:numPr>
        <w:spacing w:before="0" w:after="80" w:line="360" w:lineRule="auto"/>
        <w:jc w:val="left"/>
      </w:pPr>
      <w:r>
        <w:rPr>
          <w:rFonts w:ascii="Times New Roman" w:hAnsi="Times New Roman" w:eastAsia="Times New Roman" w:cs="Times New Roman"/>
          <w:color w:val="000000"/>
          <w:sz w:val="24"/>
        </w:rPr>
        <w:t>Use 5,000 nonparametric percentile bootstrap resamples for indirect-association confidence intervals.</w:t>
      </w:r>
    </w:p>
    <w:p>
      <w:pPr>
        <w:numPr>
          <w:ilvl w:val="0"/>
          <w:numId w:val="10"/>
        </w:numPr>
        <w:spacing w:before="0" w:after="80" w:line="360" w:lineRule="auto"/>
        <w:jc w:val="left"/>
      </w:pPr>
      <w:r>
        <w:rPr>
          <w:rFonts w:ascii="Times New Roman" w:hAnsi="Times New Roman" w:eastAsia="Times New Roman" w:cs="Times New Roman"/>
          <w:color w:val="000000"/>
          <w:sz w:val="24"/>
        </w:rPr>
        <w:t>Estimate the continuous tutoring-time interaction.</w:t>
      </w:r>
    </w:p>
    <w:p>
      <w:pPr>
        <w:numPr>
          <w:ilvl w:val="0"/>
          <w:numId w:val="10"/>
        </w:numPr>
        <w:spacing w:before="0" w:after="80" w:line="360" w:lineRule="auto"/>
        <w:jc w:val="left"/>
      </w:pPr>
      <w:r>
        <w:rPr>
          <w:rFonts w:ascii="Times New Roman" w:hAnsi="Times New Roman" w:eastAsia="Times New Roman" w:cs="Times New Roman"/>
          <w:color w:val="000000"/>
          <w:sz w:val="24"/>
        </w:rPr>
        <w:t>Estimate formal gender interactions for well-being and depressive symptoms.</w:t>
      </w:r>
    </w:p>
    <w:p>
      <w:pPr>
        <w:numPr>
          <w:ilvl w:val="0"/>
          <w:numId w:val="10"/>
        </w:numPr>
        <w:spacing w:before="0" w:after="80" w:line="360" w:lineRule="auto"/>
        <w:jc w:val="left"/>
      </w:pPr>
      <w:r>
        <w:rPr>
          <w:rFonts w:ascii="Times New Roman" w:hAnsi="Times New Roman" w:eastAsia="Times New Roman" w:cs="Times New Roman"/>
          <w:color w:val="000000"/>
          <w:sz w:val="24"/>
        </w:rPr>
        <w:t>Use 2,000 bootstrap resamples to compare gender-specific depressive-symptom coefficient products.</w:t>
      </w:r>
    </w:p>
    <w:p>
      <w:pPr>
        <w:numPr>
          <w:ilvl w:val="0"/>
          <w:numId w:val="10"/>
        </w:numPr>
        <w:spacing w:before="0" w:after="80" w:line="360" w:lineRule="auto"/>
        <w:jc w:val="left"/>
      </w:pPr>
      <w:r>
        <w:rPr>
          <w:rFonts w:ascii="Times New Roman" w:hAnsi="Times New Roman" w:eastAsia="Times New Roman" w:cs="Times New Roman"/>
          <w:color w:val="000000"/>
          <w:sz w:val="24"/>
        </w:rPr>
        <w:t>Estimate ordered logit and ordered probit sensitivity models.</w:t>
      </w:r>
    </w:p>
    <w:p>
      <w:pPr>
        <w:numPr>
          <w:ilvl w:val="0"/>
          <w:numId w:val="10"/>
        </w:numPr>
        <w:spacing w:before="0" w:after="80" w:line="360" w:lineRule="auto"/>
        <w:jc w:val="left"/>
      </w:pPr>
      <w:r>
        <w:rPr>
          <w:rFonts w:ascii="Times New Roman" w:hAnsi="Times New Roman" w:eastAsia="Times New Roman" w:cs="Times New Roman"/>
          <w:color w:val="000000"/>
          <w:sz w:val="24"/>
        </w:rPr>
        <w:t>Estimate the logged exercise-session-duration sensitivity model.</w:t>
      </w:r>
    </w:p>
    <w:p>
      <w:pPr>
        <w:numPr>
          <w:ilvl w:val="0"/>
          <w:numId w:val="10"/>
        </w:numPr>
        <w:spacing w:before="0" w:after="80" w:line="360" w:lineRule="auto"/>
        <w:jc w:val="left"/>
      </w:pPr>
      <w:r>
        <w:rPr>
          <w:rFonts w:ascii="Times New Roman" w:hAnsi="Times New Roman" w:eastAsia="Times New Roman" w:cs="Times New Roman"/>
          <w:color w:val="000000"/>
          <w:sz w:val="24"/>
        </w:rPr>
        <w:t>Substitute life satisfaction as a sensitivity outcome.</w:t>
      </w:r>
    </w:p>
    <w:p>
      <w:pPr>
        <w:numPr>
          <w:ilvl w:val="0"/>
          <w:numId w:val="10"/>
        </w:numPr>
        <w:spacing w:before="0" w:after="80" w:line="360" w:lineRule="auto"/>
        <w:jc w:val="left"/>
      </w:pPr>
      <w:r>
        <w:rPr>
          <w:rFonts w:ascii="Times New Roman" w:hAnsi="Times New Roman" w:eastAsia="Times New Roman" w:cs="Times New Roman"/>
          <w:color w:val="000000"/>
          <w:sz w:val="24"/>
        </w:rPr>
        <w:t>Perform the specified propensity-score matching analysis.</w:t>
      </w:r>
    </w:p>
    <w:p>
      <w:pPr>
        <w:numPr>
          <w:ilvl w:val="0"/>
          <w:numId w:val="10"/>
        </w:numPr>
        <w:spacing w:before="0" w:after="80" w:line="360" w:lineRule="auto"/>
        <w:jc w:val="left"/>
      </w:pPr>
      <w:r>
        <w:rPr>
          <w:rFonts w:ascii="Times New Roman" w:hAnsi="Times New Roman" w:eastAsia="Times New Roman" w:cs="Times New Roman"/>
          <w:color w:val="000000"/>
          <w:sz w:val="24"/>
        </w:rPr>
        <w:t>Perform the two-stage least-squares sensitivity analyses.</w:t>
      </w:r>
    </w:p>
    <w:p>
      <w:pPr>
        <w:pStyle w:val="Heading1"/>
      </w:pPr>
      <w:r>
        <w:t>9. Propensity-Score Matching Documentation</w:t>
      </w:r>
    </w:p>
    <w:tbl>
      <w:tblPr>
        <w:tblStyle w:val="TableGrid"/>
        <w:tblW w:type="dxa" w:w="9360"/>
        <w:jc w:val="left"/>
        <w:tblLayout w:type="fixed"/>
        <w:tblLook w:firstColumn="1" w:firstRow="1" w:lastColumn="0" w:lastRow="0" w:noHBand="0" w:noVBand="1" w:val="04A0"/>
        <w:tblInd w:w="120" w:type="dxa"/>
      </w:tblPr>
      <w:tblGrid>
        <w:gridCol w:w="2700"/>
        <w:gridCol w:w="6660"/>
      </w:tblGrid>
      <w:tr>
        <w:trPr>
          <w:tblHeader w:val="true"/>
        </w:trPr>
        <w:tc>
          <w:tcPr>
            <w:tcW w:type="dxa" w:w="270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9"/>
              </w:rPr>
              <w:t>Item</w:t>
            </w:r>
          </w:p>
        </w:tc>
        <w:tc>
          <w:tcPr>
            <w:tcW w:type="dxa" w:w="666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9"/>
              </w:rPr>
              <w:t>Documented specification</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Treatment definition</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Exercise frequency score ≥ 3 (at least 1–2 times per week)</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Comparison definition</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Exercise frequency score &lt; 3</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Covariates</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Centered age, centered age², gender, residence, education</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Method</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1:1 nearest-neighbor matching without replacement</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Caliper rule</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0.20 SD of the logit propensity score</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Verified caliper</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0.093</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Support restriction</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Common support</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Matched pairs</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898</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Matched N</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1,796</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ATT</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0.139</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SE</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0.094</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95% CI</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[−0.045, 0.323]</w:t>
            </w:r>
          </w:p>
        </w:tc>
      </w:tr>
      <w:tr>
        <w:tc>
          <w:tcPr>
            <w:tcW w:type="dxa" w:w="27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p value</w:t>
            </w:r>
          </w:p>
        </w:tc>
        <w:tc>
          <w:tcPr>
            <w:tcW w:type="dxa" w:w="66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.138</w:t>
            </w:r>
          </w:p>
        </w:tc>
      </w:tr>
    </w:tbl>
    <w:p>
      <w:r>
        <w:t>The matched estimate is an associational sensitivity result, not a causal treatment effect. Matching cannot remove unmeasured confounding.</w:t>
      </w:r>
    </w:p>
    <w:p>
      <w:pPr>
        <w:pStyle w:val="Heading1"/>
      </w:pPr>
      <w:r>
        <w:t>10. Two-Stage Least-Squares Documentation</w:t>
      </w:r>
    </w:p>
    <w:tbl>
      <w:tblPr>
        <w:tblStyle w:val="TableGrid"/>
        <w:tblW w:type="dxa" w:w="9360"/>
        <w:jc w:val="left"/>
        <w:tblLayout w:type="fixed"/>
        <w:tblLook w:firstColumn="1" w:firstRow="1" w:lastColumn="0" w:lastRow="0" w:noHBand="0" w:noVBand="1" w:val="04A0"/>
        <w:tblInd w:w="120" w:type="dxa"/>
      </w:tblPr>
      <w:tblGrid>
        <w:gridCol w:w="3500"/>
        <w:gridCol w:w="5860"/>
      </w:tblGrid>
      <w:tr>
        <w:trPr>
          <w:tblHeader w:val="true"/>
        </w:trPr>
        <w:tc>
          <w:tcPr>
            <w:tcW w:type="dxa" w:w="350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9"/>
              </w:rPr>
              <w:t>Item</w:t>
            </w:r>
          </w:p>
        </w:tc>
        <w:tc>
          <w:tcPr>
            <w:tcW w:type="dxa" w:w="5860"/>
            <w:tcMar>
              <w:top w:w="80" w:type="dxa"/>
              <w:start w:w="120" w:type="dxa"/>
              <w:bottom w:w="80" w:type="dxa"/>
              <w:end w:w="120" w:type="dxa"/>
            </w:tcMar>
            <w:shd w:fill="E7E6E6"/>
            <w:vAlign w:val="center"/>
          </w:tcPr>
          <w:p>
            <w:pPr>
              <w:spacing w:before="0" w:after="40" w:line="240" w:lineRule="auto"/>
              <w:jc w:val="left"/>
            </w:pPr>
            <w:r>
              <w:rPr>
                <w:rFonts w:ascii="Times New Roman" w:hAnsi="Times New Roman" w:eastAsia="Times New Roman" w:cs="Times New Roman"/>
                <w:b/>
                <w:color w:val="000000"/>
                <w:sz w:val="19"/>
              </w:rPr>
              <w:t>Documented value</w:t>
            </w:r>
          </w:p>
        </w:tc>
      </w:tr>
      <w:tr>
        <w:tc>
          <w:tcPr>
            <w:tcW w:type="dxa" w:w="35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Instrument</w:t>
            </w:r>
          </w:p>
        </w:tc>
        <w:tc>
          <w:tcPr>
            <w:tcW w:type="dxa" w:w="58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Leave-one-out provincial mean exercise frequency</w:t>
            </w:r>
          </w:p>
        </w:tc>
      </w:tr>
      <w:tr>
        <w:tc>
          <w:tcPr>
            <w:tcW w:type="dxa" w:w="35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First-stage F, well-being model</w:t>
            </w:r>
          </w:p>
        </w:tc>
        <w:tc>
          <w:tcPr>
            <w:tcW w:type="dxa" w:w="58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23.03</w:t>
            </w:r>
          </w:p>
        </w:tc>
      </w:tr>
      <w:tr>
        <w:tc>
          <w:tcPr>
            <w:tcW w:type="dxa" w:w="35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First-stage F, depressive-symptoms model</w:t>
            </w:r>
          </w:p>
        </w:tc>
        <w:tc>
          <w:tcPr>
            <w:tcW w:type="dxa" w:w="58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22.73</w:t>
            </w:r>
          </w:p>
        </w:tc>
      </w:tr>
      <w:tr>
        <w:tc>
          <w:tcPr>
            <w:tcW w:type="dxa" w:w="35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2SLS well-being</w:t>
            </w:r>
          </w:p>
        </w:tc>
        <w:tc>
          <w:tcPr>
            <w:tcW w:type="dxa" w:w="58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b = −0.037; SE = 0.173; p = .831</w:t>
            </w:r>
          </w:p>
        </w:tc>
      </w:tr>
      <w:tr>
        <w:tc>
          <w:tcPr>
            <w:tcW w:type="dxa" w:w="350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2SLS depressive symptoms</w:t>
            </w:r>
          </w:p>
        </w:tc>
        <w:tc>
          <w:tcPr>
            <w:tcW w:type="dxa" w:w="5860"/>
            <w:tcMar>
              <w:top w:w="80" w:type="dxa"/>
              <w:start w:w="120" w:type="dxa"/>
              <w:bottom w:w="80" w:type="dxa"/>
              <w:end w:w="120" w:type="dxa"/>
            </w:tcMar>
            <w:vAlign w:val="center"/>
          </w:tcPr>
          <w:p>
            <w:pPr>
              <w:spacing w:before="0" w:after="40" w:line="240" w:lineRule="auto"/>
              <w:jc w:val="left"/>
            </w:pPr>
            <w:r>
              <w:rPr>
                <w:rFonts w:ascii="Times New Roman" w:hAnsi="Times New Roman" w:eastAsia="Times New Roman" w:cs="Times New Roman"/>
                <w:color w:val="000000"/>
                <w:sz w:val="19"/>
              </w:rPr>
              <w:t>b = −0.121; SE = 0.339; p = .721</w:t>
            </w:r>
          </w:p>
        </w:tc>
      </w:tr>
    </w:tbl>
    <w:p>
      <w:r>
        <w:t>The exclusion restriction cannot be empirically verified and the estimates are treated only as sensitivity analyses.</w:t>
      </w:r>
    </w:p>
    <w:p>
      <w:pPr>
        <w:pStyle w:val="Heading1"/>
      </w:pPr>
      <w:r>
        <w:t>11. Statistical Indirect Associations Documentation</w:t>
      </w:r>
    </w:p>
    <w:p>
      <w:r>
        <w:t>The manuscript reports model-based statistical indirect associations, not causal mediation effects. Each single product is calculated as a × b. The sequential product follows exercise frequency → sleep duration → depressive symptoms → subjective well-being. Percentile 95% confidence intervals use 5,000 nonparametric bootstrap resamples.</w:t>
      </w:r>
    </w:p>
    <w:p>
      <w:r>
        <w:t>A fixed reproducibility seed was used in the original analysis; the numeric seed should be supplied from the original analysis script if the executable code is archived.</w:t>
      </w:r>
    </w:p>
    <w:p>
      <w:pPr>
        <w:pStyle w:val="Heading1"/>
      </w:pPr>
      <w:r>
        <w:t>12. Reproducibility Status</w:t>
      </w:r>
    </w:p>
    <w:p>
      <w:pPr>
        <w:pStyle w:val="Heading2"/>
      </w:pPr>
      <w:r>
        <w:t>Documented from manuscript</w:t>
      </w:r>
    </w:p>
    <w:p>
      <w:pPr>
        <w:pStyle w:val="ListBullet"/>
      </w:pPr>
      <w:r>
        <w:t>Dataset wave, research design, target ages, sample-construction counts, and complete-case rule.</w:t>
      </w:r>
    </w:p>
    <w:p>
      <w:pPr>
        <w:pStyle w:val="ListBullet"/>
      </w:pPr>
      <w:r>
        <w:t>Variable identifiers and transformations listed in the crosswalk.</w:t>
      </w:r>
    </w:p>
    <w:p>
      <w:pPr>
        <w:pStyle w:val="ListBullet"/>
      </w:pPr>
      <w:r>
        <w:t>Model sequence, bootstrap resample counts, PSM specification and results, and 2SLS instrument and results.</w:t>
      </w:r>
    </w:p>
    <w:p>
      <w:pPr>
        <w:pStyle w:val="ListBullet"/>
      </w:pPr>
      <w:r>
        <w:t>Data-access and redistribution restrictions.</w:t>
      </w:r>
    </w:p>
    <w:p>
      <w:pPr>
        <w:pStyle w:val="Heading2"/>
      </w:pPr>
      <w:r>
        <w:t>Requires original analysis script</w:t>
      </w:r>
    </w:p>
    <w:p>
      <w:pPr>
        <w:pStyle w:val="ListBullet"/>
      </w:pPr>
      <w:r>
        <w:t>[REQUIRES ORIGINAL ANALYSIS FILE] Exact executable commands and script filename.</w:t>
      </w:r>
    </w:p>
    <w:p>
      <w:pPr>
        <w:pStyle w:val="ListBullet"/>
      </w:pPr>
      <w:r>
        <w:t>[REQUIRES ORIGINAL ANALYSIS FILE] Statistical software and software version.</w:t>
      </w:r>
    </w:p>
    <w:p>
      <w:pPr>
        <w:pStyle w:val="ListBullet"/>
      </w:pPr>
      <w:r>
        <w:t>[REQUIRES ORIGINAL ANALYSIS FILE] Package or module names and versions, if any.</w:t>
      </w:r>
    </w:p>
    <w:p>
      <w:pPr>
        <w:pStyle w:val="ListBullet"/>
      </w:pPr>
      <w:r>
        <w:t>[REQUIRES ORIGINAL ANALYSIS FILE] Numeric reproducibility seed.</w:t>
      </w:r>
    </w:p>
    <w:p>
      <w:r>
        <w:t>No executable .do, .R, .py, SAV syntax, or other statistical script was supplied with the source materials available for this documentation. No software, version, package, seed, exact command, or successful code execution is inferred or claimed.</w:t>
      </w:r>
    </w:p>
    <w:p>
      <w:pPr>
        <w:pStyle w:val="Heading1"/>
      </w:pPr>
      <w:r>
        <w:t>13. Recommended Files for Editorial Upload</w:t>
      </w:r>
    </w:p>
    <w:p>
      <w:pPr>
        <w:numPr>
          <w:ilvl w:val="0"/>
          <w:numId w:val="11"/>
        </w:numPr>
        <w:spacing w:before="0" w:after="80" w:line="360" w:lineRule="auto"/>
        <w:jc w:val="left"/>
      </w:pPr>
      <w:r>
        <w:rPr>
          <w:rFonts w:ascii="Times New Roman" w:hAnsi="Times New Roman" w:eastAsia="Times New Roman" w:cs="Times New Roman"/>
          <w:color w:val="000000"/>
          <w:sz w:val="24"/>
        </w:rPr>
        <w:t>Revised Manuscript</w:t>
      </w:r>
    </w:p>
    <w:p>
      <w:pPr>
        <w:numPr>
          <w:ilvl w:val="0"/>
          <w:numId w:val="11"/>
        </w:numPr>
        <w:spacing w:before="0" w:after="80" w:line="360" w:lineRule="auto"/>
        <w:jc w:val="left"/>
      </w:pPr>
      <w:r>
        <w:rPr>
          <w:rFonts w:ascii="Times New Roman" w:hAnsi="Times New Roman" w:eastAsia="Times New Roman" w:cs="Times New Roman"/>
          <w:color w:val="000000"/>
          <w:sz w:val="24"/>
        </w:rPr>
        <w:t>Response to Editor</w:t>
      </w:r>
    </w:p>
    <w:p>
      <w:pPr>
        <w:numPr>
          <w:ilvl w:val="0"/>
          <w:numId w:val="11"/>
        </w:numPr>
        <w:spacing w:before="0" w:after="80" w:line="360" w:lineRule="auto"/>
        <w:jc w:val="left"/>
      </w:pPr>
      <w:r>
        <w:rPr>
          <w:rFonts w:ascii="Times New Roman" w:hAnsi="Times New Roman" w:eastAsia="Times New Roman" w:cs="Times New Roman"/>
          <w:color w:val="000000"/>
          <w:sz w:val="24"/>
        </w:rPr>
        <w:t>Cover Letter</w:t>
      </w:r>
    </w:p>
    <w:p>
      <w:pPr>
        <w:numPr>
          <w:ilvl w:val="0"/>
          <w:numId w:val="11"/>
        </w:numPr>
        <w:spacing w:before="0" w:after="80" w:line="360" w:lineRule="auto"/>
        <w:jc w:val="left"/>
      </w:pPr>
      <w:r>
        <w:rPr>
          <w:rFonts w:ascii="Times New Roman" w:hAnsi="Times New Roman" w:eastAsia="Times New Roman" w:cs="Times New Roman"/>
          <w:color w:val="000000"/>
          <w:sz w:val="24"/>
        </w:rPr>
        <w:t>Replication README and Variable Coding Documentation</w:t>
      </w:r>
    </w:p>
    <w:p>
      <w:pPr>
        <w:numPr>
          <w:ilvl w:val="0"/>
          <w:numId w:val="11"/>
        </w:numPr>
        <w:spacing w:before="0" w:after="80" w:line="360" w:lineRule="auto"/>
        <w:jc w:val="left"/>
      </w:pPr>
      <w:r>
        <w:rPr>
          <w:rFonts w:ascii="Times New Roman" w:hAnsi="Times New Roman" w:eastAsia="Times New Roman" w:cs="Times New Roman"/>
          <w:color w:val="000000"/>
          <w:sz w:val="24"/>
        </w:rPr>
        <w:t>Original statistical analysis script — if available</w:t>
      </w:r>
    </w:p>
    <w:p>
      <w:pPr>
        <w:numPr>
          <w:ilvl w:val="0"/>
          <w:numId w:val="11"/>
        </w:numPr>
        <w:spacing w:before="0" w:after="80" w:line="360" w:lineRule="auto"/>
        <w:jc w:val="left"/>
      </w:pPr>
      <w:r>
        <w:rPr>
          <w:rFonts w:ascii="Times New Roman" w:hAnsi="Times New Roman" w:eastAsia="Times New Roman" w:cs="Times New Roman"/>
          <w:color w:val="000000"/>
          <w:sz w:val="24"/>
        </w:rPr>
        <w:t>Additional reproducibility output — if available</w:t>
      </w:r>
    </w:p>
    <w:p>
      <w:r>
        <w:rPr>
          <w:rFonts w:ascii="Times New Roman" w:hAnsi="Times New Roman" w:eastAsia="Times New Roman" w:cs="Times New Roman"/>
          <w:b/>
          <w:color w:val="000000"/>
          <w:sz w:val="24"/>
        </w:rPr>
        <w:t xml:space="preserve">CFPS microdata: </w:t>
      </w:r>
      <w:r>
        <w:rPr>
          <w:rFonts w:ascii="Times New Roman" w:hAnsi="Times New Roman" w:eastAsia="Times New Roman" w:cs="Times New Roman"/>
          <w:color w:val="000000"/>
          <w:sz w:val="24"/>
        </w:rPr>
        <w:t>Not redistributed due to the CFPS Data User Agreement.</w:t>
      </w:r>
    </w:p>
    <w:p>
      <w:pPr>
        <w:pStyle w:val="Heading1"/>
      </w:pPr>
      <w:r>
        <w:t>Text to Paste into Submission System — Data Availability</w:t>
      </w:r>
    </w:p>
    <w:p>
      <w:r>
        <w:t>The data used in this study are from the 2022 wave of the China Family Panel Studies (CFPS), administered by the Institute of Social Science Survey, Peking University. CFPS data are available to registered users through the official CFPS data-access platform, subject to the CFPS Data User Agreement. Under that agreement, users are not permitted to redistribute the CFPS microdata, either in their original or modified form, through journal websites or third-party platforms. Accordingly, the authors cannot upload or redistribute the respondent-level CFPS data as supplementary material.</w:t>
      </w:r>
    </w:p>
    <w:p>
      <w:r>
        <w:t>To facilitate verification and replication of the analyses, the supplementary materials accompanying this revision provide the variable definitions and coding scheme, sample-construction procedures, data-processing and analysis documentation, and information required to reproduce the reported analyses from the authorized CFPS 2022 data. Researchers with authorized access to CFPS 2022 can use these materials to reconstruct the analytical sample and reproduce the analyses reported in this article.</w:t>
      </w:r>
    </w:p>
    <w:sectPr>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right"/>
    </w:pPr>
    <w:r>
      <w:rPr>
        <w:rFonts w:ascii="Times New Roman" w:hAnsi="Times New Roman" w:eastAsia="Times New Roman" w:cs="Times New Roman"/>
        <w:color w:val="000000"/>
        <w:sz w:val="18"/>
      </w:rPr>
      <w:t xml:space="preserve">Page </w:t>
    </w:r>
    <w:r>
      <w:rPr>
        <w:rFonts w:ascii="Times New Roman" w:hAnsi="Times New Roman" w:eastAsia="Times New Roman" w:cs="Times New Roman"/>
        <w:sz w:val="18"/>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720"/>
        </w:tabs>
        <w:ind w:left="720" w:hanging="360"/>
      </w:pPr>
      <w:rPr>
        <w:rFonts w:ascii="Times New Roman" w:hAnsi="Times New Roman" w:eastAsia="Times New Roman" w:cs="Times New Roman"/>
      </w:rPr>
    </w:lvl>
  </w:abstractNum>
  <w:num w:numId="10">
    <w:abstractNumId w:val="9"/>
  </w:num>
  <w:abstractNum w:abstractNumId="10">
    <w:multiLevelType w:val="singleLevel"/>
    <w:lvl w:ilvl="0">
      <w:start w:val="1"/>
      <w:numFmt w:val="decimal"/>
      <w:lvlText w:val="%1."/>
      <w:suff w:val="tab"/>
      <w:pPr>
        <w:tabs>
          <w:tab w:val="num" w:pos="720"/>
        </w:tabs>
        <w:ind w:left="720" w:hanging="360"/>
      </w:pPr>
      <w:rPr>
        <w:rFonts w:ascii="Times New Roman" w:hAnsi="Times New Roman" w:eastAsia="Times New Roman" w:cs="Times New Roman"/>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60" w:lineRule="auto"/>
      <w:jc w:val="both"/>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76" w:lineRule="auto"/>
      <w:jc w:val="left"/>
      <w:outlineLvl w:val="0"/>
    </w:pPr>
    <w:rPr>
      <w:rFonts w:asciiTheme="majorHAnsi" w:eastAsiaTheme="majorEastAsia" w:hAnsiTheme="majorHAnsi" w:cstheme="majorBidi"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20" w:after="100" w:line="276" w:lineRule="auto"/>
      <w:jc w:val="left"/>
      <w:outlineLvl w:val="1"/>
    </w:pPr>
    <w:rPr>
      <w:rFonts w:asciiTheme="majorHAnsi" w:eastAsiaTheme="majorEastAsia" w:hAnsiTheme="majorHAnsi" w:cstheme="majorBidi" w:ascii="Times New Roman" w:hAnsi="Times New Roman" w:eastAsia="Times New Roman" w:cs="Times New Roman"/>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80" w:line="276" w:lineRule="auto"/>
      <w:jc w:val="left"/>
      <w:outlineLvl w:val="2"/>
    </w:pPr>
    <w:rPr>
      <w:rFonts w:asciiTheme="majorHAnsi" w:eastAsiaTheme="majorEastAsia" w:hAnsiTheme="majorHAnsi" w:cstheme="majorBidi" w:ascii="Times New Roman" w:hAnsi="Times New Roman" w:eastAsia="Times New Roman" w:cs="Times New Roman"/>
      <w:b/>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76" w:lineRule="auto" w:before="0"/>
      <w:contextualSpacing/>
      <w:jc w:val="center"/>
    </w:pPr>
    <w:rPr>
      <w:rFonts w:asciiTheme="majorHAnsi" w:eastAsiaTheme="majorEastAsia" w:hAnsiTheme="majorHAnsi" w:cstheme="majorBidi"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360" w:lineRule="auto"/>
      <w:ind w:left="720" w:hanging="360"/>
      <w:contextualSpacing/>
      <w:jc w:val="left"/>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360" w:lineRule="auto"/>
      <w:ind w:left="720" w:hanging="360"/>
      <w:contextualSpacing/>
      <w:jc w:val="left"/>
    </w:pPr>
    <w:rPr>
      <w:rFonts w:ascii="Times New Roman" w:hAnsi="Times New Roman" w:eastAsia="Times New Roman" w:cs="Times New Roman"/>
      <w:color w:val="000000"/>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before="160" w:after="60"/>
      <w:jc w:val="left"/>
    </w:pPr>
    <w:rPr>
      <w:rFonts w:ascii="Times New Roman" w:hAnsi="Times New Roman" w:eastAsia="Times New Roman" w:cs="Times New Roman"/>
      <w:b w:val="0"/>
      <w:bCs/>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CFPS Replication README and Variable Coding Documentation</dc:title>
  <dc:subject>Exercise Frequency and Subjective Well-Being among Chinese Adolescents: Competing Indirect Associations through Depressive Symptoms and Sleep Duration</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