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F7E7F7">
      <w:pPr>
        <w:pStyle w:val="10"/>
      </w:pPr>
      <w:r>
        <w:rPr>
          <w:szCs w:val="24"/>
        </w:rPr>
        <w:t>Appendix</w:t>
      </w:r>
      <w:r>
        <w:t xml:space="preserve"> A</w:t>
      </w:r>
    </w:p>
    <w:p w14:paraId="25F3CB45">
      <w:pPr>
        <w:pStyle w:val="11"/>
        <w:ind w:left="0" w:leftChars="0" w:firstLine="0" w:firstLineChars="0"/>
        <w:jc w:val="left"/>
      </w:pPr>
      <w:r>
        <w:rPr>
          <w:b/>
          <w:bCs/>
        </w:rPr>
        <w:t xml:space="preserve">Table A1. </w:t>
      </w:r>
      <w:r>
        <w:t>This is a table caption</w:t>
      </w:r>
    </w:p>
    <w:tbl>
      <w:tblPr>
        <w:tblStyle w:val="4"/>
        <w:tblpPr w:leftFromText="180" w:rightFromText="180" w:vertAnchor="text" w:horzAnchor="page" w:tblpX="1822" w:tblpY="395"/>
        <w:tblOverlap w:val="never"/>
        <w:tblW w:w="7857" w:type="dxa"/>
        <w:tblInd w:w="0" w:type="dxa"/>
        <w:tblBorders>
          <w:top w:val="single" w:color="auto" w:sz="8" w:space="0"/>
          <w:left w:val="none" w:color="auto" w:sz="0" w:space="0"/>
          <w:bottom w:val="single" w:color="auto" w:sz="8"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2619"/>
        <w:gridCol w:w="2619"/>
        <w:gridCol w:w="2619"/>
      </w:tblGrid>
      <w:tr w14:paraId="7B7D0CB7">
        <w:tblPrEx>
          <w:tblBorders>
            <w:top w:val="single" w:color="auto" w:sz="8" w:space="0"/>
            <w:left w:val="none" w:color="auto" w:sz="0" w:space="0"/>
            <w:bottom w:val="single" w:color="auto" w:sz="8" w:space="0"/>
            <w:right w:val="none" w:color="auto" w:sz="0" w:space="0"/>
            <w:insideH w:val="none" w:color="auto" w:sz="0" w:space="0"/>
            <w:insideV w:val="none" w:color="auto" w:sz="0" w:space="0"/>
          </w:tblBorders>
          <w:tblCellMar>
            <w:top w:w="0" w:type="dxa"/>
            <w:left w:w="0" w:type="dxa"/>
            <w:bottom w:w="0" w:type="dxa"/>
            <w:right w:w="0" w:type="dxa"/>
          </w:tblCellMar>
        </w:tblPrEx>
        <w:tc>
          <w:tcPr>
            <w:tcW w:w="2619" w:type="dxa"/>
            <w:tcBorders>
              <w:bottom w:val="single" w:color="auto" w:sz="4" w:space="0"/>
            </w:tcBorders>
            <w:vAlign w:val="center"/>
          </w:tcPr>
          <w:p w14:paraId="4CB7C65D">
            <w:pPr>
              <w:keepNext w:val="0"/>
              <w:keepLines w:val="0"/>
              <w:widowControl/>
              <w:suppressLineNumbers w:val="0"/>
              <w:snapToGrid w:val="0"/>
              <w:jc w:val="left"/>
              <w:textAlignment w:val="center"/>
              <w:rPr>
                <w:rFonts w:hint="default" w:ascii="Palatino Linotype" w:hAnsi="Palatino Linotype" w:cs="Palatino Linotype"/>
                <w:b/>
                <w:snapToGrid/>
                <w:sz w:val="18"/>
                <w:szCs w:val="18"/>
              </w:rPr>
            </w:pPr>
            <w:r>
              <w:rPr>
                <w:rFonts w:hint="default" w:ascii="Palatino Linotype" w:hAnsi="Palatino Linotype" w:eastAsia="宋体" w:cs="Palatino Linotype"/>
                <w:i w:val="0"/>
                <w:iCs w:val="0"/>
                <w:color w:val="000000"/>
                <w:kern w:val="0"/>
                <w:sz w:val="18"/>
                <w:szCs w:val="18"/>
                <w:u w:val="none"/>
                <w:lang w:val="en-US" w:eastAsia="zh-CN" w:bidi="ar"/>
              </w:rPr>
              <w:t>Assessment Tool</w:t>
            </w:r>
          </w:p>
        </w:tc>
        <w:tc>
          <w:tcPr>
            <w:tcW w:w="2619" w:type="dxa"/>
            <w:tcBorders>
              <w:bottom w:val="single" w:color="auto" w:sz="4" w:space="0"/>
            </w:tcBorders>
            <w:vAlign w:val="center"/>
          </w:tcPr>
          <w:p w14:paraId="07E0D20A">
            <w:pPr>
              <w:keepNext w:val="0"/>
              <w:keepLines w:val="0"/>
              <w:widowControl/>
              <w:suppressLineNumbers w:val="0"/>
              <w:snapToGrid w:val="0"/>
              <w:jc w:val="left"/>
              <w:textAlignment w:val="center"/>
              <w:rPr>
                <w:rFonts w:hint="default" w:ascii="Palatino Linotype" w:hAnsi="Palatino Linotype" w:cs="Palatino Linotype"/>
                <w:b/>
                <w:snapToGrid/>
                <w:sz w:val="18"/>
                <w:szCs w:val="18"/>
              </w:rPr>
            </w:pPr>
            <w:r>
              <w:rPr>
                <w:rFonts w:hint="default" w:ascii="Palatino Linotype" w:hAnsi="Palatino Linotype" w:eastAsia="宋体" w:cs="Palatino Linotype"/>
                <w:i w:val="0"/>
                <w:iCs w:val="0"/>
                <w:color w:val="000000"/>
                <w:kern w:val="0"/>
                <w:sz w:val="18"/>
                <w:szCs w:val="18"/>
                <w:u w:val="none"/>
                <w:lang w:val="en-US" w:eastAsia="zh-CN" w:bidi="ar"/>
              </w:rPr>
              <w:t>Weighted Kappa (κ)</w:t>
            </w:r>
          </w:p>
        </w:tc>
        <w:tc>
          <w:tcPr>
            <w:tcW w:w="2619" w:type="dxa"/>
            <w:tcBorders>
              <w:bottom w:val="single" w:color="auto" w:sz="4" w:space="0"/>
            </w:tcBorders>
            <w:vAlign w:val="center"/>
          </w:tcPr>
          <w:p w14:paraId="60059BFA">
            <w:pPr>
              <w:keepNext w:val="0"/>
              <w:keepLines w:val="0"/>
              <w:widowControl/>
              <w:suppressLineNumbers w:val="0"/>
              <w:snapToGrid w:val="0"/>
              <w:jc w:val="left"/>
              <w:textAlignment w:val="center"/>
              <w:rPr>
                <w:rFonts w:hint="default" w:ascii="Palatino Linotype" w:hAnsi="Palatino Linotype" w:cs="Palatino Linotype"/>
                <w:b/>
                <w:snapToGrid/>
                <w:sz w:val="18"/>
                <w:szCs w:val="18"/>
              </w:rPr>
            </w:pPr>
            <w:r>
              <w:rPr>
                <w:rFonts w:hint="default" w:ascii="Palatino Linotype" w:hAnsi="Palatino Linotype" w:eastAsia="宋体" w:cs="Palatino Linotype"/>
                <w:i w:val="0"/>
                <w:iCs w:val="0"/>
                <w:color w:val="000000"/>
                <w:kern w:val="0"/>
                <w:sz w:val="18"/>
                <w:szCs w:val="18"/>
                <w:u w:val="none"/>
                <w:lang w:val="en-US" w:eastAsia="zh-CN" w:bidi="ar"/>
              </w:rPr>
              <w:t>95% Confidence Interval</w:t>
            </w:r>
          </w:p>
        </w:tc>
      </w:tr>
      <w:tr w14:paraId="473531EB">
        <w:tblPrEx>
          <w:tblBorders>
            <w:top w:val="single" w:color="auto" w:sz="8" w:space="0"/>
            <w:left w:val="none" w:color="auto" w:sz="0" w:space="0"/>
            <w:bottom w:val="single" w:color="auto" w:sz="8" w:space="0"/>
            <w:right w:val="none" w:color="auto" w:sz="0" w:space="0"/>
            <w:insideH w:val="none" w:color="auto" w:sz="0" w:space="0"/>
            <w:insideV w:val="none" w:color="auto" w:sz="0" w:space="0"/>
          </w:tblBorders>
          <w:tblCellMar>
            <w:top w:w="0" w:type="dxa"/>
            <w:left w:w="0" w:type="dxa"/>
            <w:bottom w:w="0" w:type="dxa"/>
            <w:right w:w="0" w:type="dxa"/>
          </w:tblCellMar>
        </w:tblPrEx>
        <w:tc>
          <w:tcPr>
            <w:tcW w:w="2619" w:type="dxa"/>
            <w:vAlign w:val="center"/>
          </w:tcPr>
          <w:p w14:paraId="62B87F87">
            <w:pPr>
              <w:keepNext w:val="0"/>
              <w:keepLines w:val="0"/>
              <w:widowControl/>
              <w:suppressLineNumbers w:val="0"/>
              <w:snapToGrid w:val="0"/>
              <w:jc w:val="left"/>
              <w:textAlignment w:val="center"/>
              <w:rPr>
                <w:rFonts w:hint="default" w:ascii="Palatino Linotype" w:hAnsi="Palatino Linotype" w:cs="Palatino Linotype"/>
                <w:sz w:val="18"/>
                <w:szCs w:val="18"/>
              </w:rPr>
            </w:pPr>
            <w:r>
              <w:rPr>
                <w:rFonts w:hint="default" w:ascii="Palatino Linotype" w:hAnsi="Palatino Linotype" w:eastAsia="宋体" w:cs="Palatino Linotype"/>
                <w:i w:val="0"/>
                <w:iCs w:val="0"/>
                <w:color w:val="000000"/>
                <w:kern w:val="0"/>
                <w:sz w:val="18"/>
                <w:szCs w:val="18"/>
                <w:u w:val="none"/>
                <w:lang w:val="en-US" w:eastAsia="zh-CN" w:bidi="ar"/>
              </w:rPr>
              <w:t>GQS</w:t>
            </w:r>
          </w:p>
        </w:tc>
        <w:tc>
          <w:tcPr>
            <w:tcW w:w="2619" w:type="dxa"/>
            <w:vAlign w:val="center"/>
          </w:tcPr>
          <w:p w14:paraId="439B9852">
            <w:pPr>
              <w:keepNext w:val="0"/>
              <w:keepLines w:val="0"/>
              <w:widowControl/>
              <w:suppressLineNumbers w:val="0"/>
              <w:snapToGrid w:val="0"/>
              <w:jc w:val="left"/>
              <w:textAlignment w:val="center"/>
              <w:rPr>
                <w:rFonts w:hint="default" w:ascii="Palatino Linotype" w:hAnsi="Palatino Linotype" w:cs="Palatino Linotype"/>
                <w:sz w:val="18"/>
                <w:szCs w:val="18"/>
              </w:rPr>
            </w:pPr>
            <w:r>
              <w:rPr>
                <w:rFonts w:hint="default" w:ascii="Palatino Linotype" w:hAnsi="Palatino Linotype" w:eastAsia="宋体" w:cs="Palatino Linotype"/>
                <w:i w:val="0"/>
                <w:iCs w:val="0"/>
                <w:color w:val="000000"/>
                <w:kern w:val="0"/>
                <w:sz w:val="18"/>
                <w:szCs w:val="18"/>
                <w:u w:val="none"/>
                <w:lang w:val="en-US" w:eastAsia="zh-CN" w:bidi="ar"/>
              </w:rPr>
              <w:t>0.72</w:t>
            </w:r>
          </w:p>
        </w:tc>
        <w:tc>
          <w:tcPr>
            <w:tcW w:w="2619" w:type="dxa"/>
            <w:vAlign w:val="center"/>
          </w:tcPr>
          <w:p w14:paraId="3FB666FE">
            <w:pPr>
              <w:keepNext w:val="0"/>
              <w:keepLines w:val="0"/>
              <w:widowControl/>
              <w:suppressLineNumbers w:val="0"/>
              <w:snapToGrid w:val="0"/>
              <w:jc w:val="left"/>
              <w:textAlignment w:val="center"/>
              <w:rPr>
                <w:rFonts w:hint="default" w:ascii="Palatino Linotype" w:hAnsi="Palatino Linotype" w:cs="Palatino Linotype"/>
                <w:sz w:val="18"/>
                <w:szCs w:val="18"/>
              </w:rPr>
            </w:pPr>
            <w:r>
              <w:rPr>
                <w:rFonts w:hint="default" w:ascii="Palatino Linotype" w:hAnsi="Palatino Linotype" w:eastAsia="宋体" w:cs="Palatino Linotype"/>
                <w:i w:val="0"/>
                <w:iCs w:val="0"/>
                <w:color w:val="000000"/>
                <w:kern w:val="0"/>
                <w:sz w:val="18"/>
                <w:szCs w:val="18"/>
                <w:u w:val="none"/>
                <w:lang w:val="en-US" w:eastAsia="zh-CN" w:bidi="ar"/>
              </w:rPr>
              <w:t>0.61 – 0.83</w:t>
            </w:r>
          </w:p>
        </w:tc>
      </w:tr>
      <w:tr w14:paraId="2B2C88CA">
        <w:tblPrEx>
          <w:tblBorders>
            <w:top w:val="single" w:color="auto" w:sz="8" w:space="0"/>
            <w:left w:val="none" w:color="auto" w:sz="0" w:space="0"/>
            <w:bottom w:val="single" w:color="auto" w:sz="8" w:space="0"/>
            <w:right w:val="none" w:color="auto" w:sz="0" w:space="0"/>
            <w:insideH w:val="none" w:color="auto" w:sz="0" w:space="0"/>
            <w:insideV w:val="none" w:color="auto" w:sz="0" w:space="0"/>
          </w:tblBorders>
          <w:tblCellMar>
            <w:top w:w="0" w:type="dxa"/>
            <w:left w:w="0" w:type="dxa"/>
            <w:bottom w:w="0" w:type="dxa"/>
            <w:right w:w="0" w:type="dxa"/>
          </w:tblCellMar>
        </w:tblPrEx>
        <w:tc>
          <w:tcPr>
            <w:tcW w:w="2619" w:type="dxa"/>
            <w:vAlign w:val="center"/>
          </w:tcPr>
          <w:p w14:paraId="7C623234">
            <w:pPr>
              <w:keepNext w:val="0"/>
              <w:keepLines w:val="0"/>
              <w:widowControl/>
              <w:suppressLineNumbers w:val="0"/>
              <w:snapToGrid w:val="0"/>
              <w:jc w:val="left"/>
              <w:textAlignment w:val="center"/>
              <w:rPr>
                <w:rFonts w:hint="default" w:ascii="Palatino Linotype" w:hAnsi="Palatino Linotype" w:cs="Palatino Linotype"/>
                <w:sz w:val="18"/>
                <w:szCs w:val="18"/>
              </w:rPr>
            </w:pPr>
            <w:r>
              <w:rPr>
                <w:rFonts w:hint="default" w:ascii="Palatino Linotype" w:hAnsi="Palatino Linotype" w:eastAsia="宋体" w:cs="Palatino Linotype"/>
                <w:i w:val="0"/>
                <w:iCs w:val="0"/>
                <w:color w:val="000000"/>
                <w:kern w:val="0"/>
                <w:sz w:val="18"/>
                <w:szCs w:val="18"/>
                <w:u w:val="none"/>
                <w:lang w:val="en-US" w:eastAsia="zh-CN" w:bidi="ar"/>
              </w:rPr>
              <w:t>mDISCERN</w:t>
            </w:r>
          </w:p>
        </w:tc>
        <w:tc>
          <w:tcPr>
            <w:tcW w:w="2619" w:type="dxa"/>
            <w:vAlign w:val="center"/>
          </w:tcPr>
          <w:p w14:paraId="6126541B">
            <w:pPr>
              <w:keepNext w:val="0"/>
              <w:keepLines w:val="0"/>
              <w:widowControl/>
              <w:suppressLineNumbers w:val="0"/>
              <w:snapToGrid w:val="0"/>
              <w:jc w:val="left"/>
              <w:textAlignment w:val="center"/>
              <w:rPr>
                <w:rFonts w:hint="default" w:ascii="Palatino Linotype" w:hAnsi="Palatino Linotype" w:cs="Palatino Linotype"/>
                <w:sz w:val="18"/>
                <w:szCs w:val="18"/>
              </w:rPr>
            </w:pPr>
            <w:r>
              <w:rPr>
                <w:rFonts w:hint="default" w:ascii="Palatino Linotype" w:hAnsi="Palatino Linotype" w:eastAsia="宋体" w:cs="Palatino Linotype"/>
                <w:i w:val="0"/>
                <w:iCs w:val="0"/>
                <w:color w:val="000000"/>
                <w:kern w:val="0"/>
                <w:sz w:val="18"/>
                <w:szCs w:val="18"/>
                <w:u w:val="none"/>
                <w:lang w:val="en-US" w:eastAsia="zh-CN" w:bidi="ar"/>
              </w:rPr>
              <w:t>0.73</w:t>
            </w:r>
          </w:p>
        </w:tc>
        <w:tc>
          <w:tcPr>
            <w:tcW w:w="2619" w:type="dxa"/>
            <w:vAlign w:val="center"/>
          </w:tcPr>
          <w:p w14:paraId="2FE6C056">
            <w:pPr>
              <w:keepNext w:val="0"/>
              <w:keepLines w:val="0"/>
              <w:widowControl/>
              <w:suppressLineNumbers w:val="0"/>
              <w:snapToGrid w:val="0"/>
              <w:jc w:val="left"/>
              <w:textAlignment w:val="center"/>
              <w:rPr>
                <w:rFonts w:hint="default" w:ascii="Palatino Linotype" w:hAnsi="Palatino Linotype" w:cs="Palatino Linotype" w:eastAsiaTheme="minorEastAsia"/>
                <w:sz w:val="18"/>
                <w:szCs w:val="18"/>
                <w:lang w:eastAsia="zh-CN"/>
              </w:rPr>
            </w:pPr>
            <w:r>
              <w:rPr>
                <w:rFonts w:hint="default" w:ascii="Palatino Linotype" w:hAnsi="Palatino Linotype" w:eastAsia="宋体" w:cs="Palatino Linotype"/>
                <w:i w:val="0"/>
                <w:iCs w:val="0"/>
                <w:color w:val="000000"/>
                <w:kern w:val="0"/>
                <w:sz w:val="18"/>
                <w:szCs w:val="18"/>
                <w:u w:val="none"/>
                <w:lang w:val="en-US" w:eastAsia="zh-CN" w:bidi="ar"/>
              </w:rPr>
              <w:t>0.62 – 0.84</w:t>
            </w:r>
          </w:p>
        </w:tc>
      </w:tr>
      <w:tr w14:paraId="2B75B66C">
        <w:tblPrEx>
          <w:tblBorders>
            <w:top w:val="single" w:color="auto" w:sz="8" w:space="0"/>
            <w:left w:val="none" w:color="auto" w:sz="0" w:space="0"/>
            <w:bottom w:val="single" w:color="auto" w:sz="8" w:space="0"/>
            <w:right w:val="none" w:color="auto" w:sz="0" w:space="0"/>
            <w:insideH w:val="none" w:color="auto" w:sz="0" w:space="0"/>
            <w:insideV w:val="none" w:color="auto" w:sz="0" w:space="0"/>
          </w:tblBorders>
          <w:tblCellMar>
            <w:top w:w="0" w:type="dxa"/>
            <w:left w:w="0" w:type="dxa"/>
            <w:bottom w:w="0" w:type="dxa"/>
            <w:right w:w="0" w:type="dxa"/>
          </w:tblCellMar>
        </w:tblPrEx>
        <w:tc>
          <w:tcPr>
            <w:tcW w:w="2619" w:type="dxa"/>
            <w:vAlign w:val="center"/>
          </w:tcPr>
          <w:p w14:paraId="4A8EFCC1">
            <w:pPr>
              <w:keepNext w:val="0"/>
              <w:keepLines w:val="0"/>
              <w:widowControl/>
              <w:suppressLineNumbers w:val="0"/>
              <w:snapToGrid w:val="0"/>
              <w:jc w:val="left"/>
              <w:textAlignment w:val="center"/>
              <w:rPr>
                <w:rFonts w:hint="default" w:ascii="Palatino Linotype" w:hAnsi="Palatino Linotype" w:cs="Palatino Linotype"/>
                <w:sz w:val="18"/>
                <w:szCs w:val="18"/>
              </w:rPr>
            </w:pPr>
            <w:r>
              <w:rPr>
                <w:rFonts w:hint="default" w:ascii="Palatino Linotype" w:hAnsi="Palatino Linotype" w:eastAsia="宋体" w:cs="Palatino Linotype"/>
                <w:i w:val="0"/>
                <w:iCs w:val="0"/>
                <w:color w:val="000000"/>
                <w:kern w:val="0"/>
                <w:sz w:val="18"/>
                <w:szCs w:val="18"/>
                <w:u w:val="none"/>
                <w:lang w:val="en-US" w:eastAsia="zh-CN" w:bidi="ar"/>
              </w:rPr>
              <w:t>JAMA</w:t>
            </w:r>
          </w:p>
        </w:tc>
        <w:tc>
          <w:tcPr>
            <w:tcW w:w="2619" w:type="dxa"/>
            <w:vAlign w:val="center"/>
          </w:tcPr>
          <w:p w14:paraId="290F1759">
            <w:pPr>
              <w:keepNext w:val="0"/>
              <w:keepLines w:val="0"/>
              <w:widowControl/>
              <w:suppressLineNumbers w:val="0"/>
              <w:snapToGrid w:val="0"/>
              <w:jc w:val="left"/>
              <w:textAlignment w:val="center"/>
              <w:rPr>
                <w:rFonts w:hint="default" w:ascii="Palatino Linotype" w:hAnsi="Palatino Linotype" w:cs="Palatino Linotype"/>
                <w:sz w:val="18"/>
                <w:szCs w:val="18"/>
              </w:rPr>
            </w:pPr>
            <w:r>
              <w:rPr>
                <w:rFonts w:hint="default" w:ascii="Palatino Linotype" w:hAnsi="Palatino Linotype" w:eastAsia="宋体" w:cs="Palatino Linotype"/>
                <w:i w:val="0"/>
                <w:iCs w:val="0"/>
                <w:color w:val="000000"/>
                <w:kern w:val="0"/>
                <w:sz w:val="18"/>
                <w:szCs w:val="18"/>
                <w:u w:val="none"/>
                <w:lang w:val="en-US" w:eastAsia="zh-CN" w:bidi="ar"/>
              </w:rPr>
              <w:t>0.81</w:t>
            </w:r>
          </w:p>
        </w:tc>
        <w:tc>
          <w:tcPr>
            <w:tcW w:w="2619" w:type="dxa"/>
            <w:vAlign w:val="center"/>
          </w:tcPr>
          <w:p w14:paraId="3EDB61BB">
            <w:pPr>
              <w:keepNext w:val="0"/>
              <w:keepLines w:val="0"/>
              <w:widowControl/>
              <w:suppressLineNumbers w:val="0"/>
              <w:snapToGrid w:val="0"/>
              <w:jc w:val="left"/>
              <w:textAlignment w:val="center"/>
              <w:rPr>
                <w:rFonts w:hint="default" w:ascii="Palatino Linotype" w:hAnsi="Palatino Linotype" w:cs="Palatino Linotype"/>
                <w:sz w:val="18"/>
                <w:szCs w:val="18"/>
              </w:rPr>
            </w:pPr>
            <w:r>
              <w:rPr>
                <w:rFonts w:hint="default" w:ascii="Palatino Linotype" w:hAnsi="Palatino Linotype" w:eastAsia="宋体" w:cs="Palatino Linotype"/>
                <w:i w:val="0"/>
                <w:iCs w:val="0"/>
                <w:color w:val="000000"/>
                <w:kern w:val="0"/>
                <w:sz w:val="18"/>
                <w:szCs w:val="18"/>
                <w:u w:val="none"/>
                <w:lang w:val="en-US" w:eastAsia="zh-CN" w:bidi="ar"/>
              </w:rPr>
              <w:t>0.71 – 0.91</w:t>
            </w:r>
          </w:p>
        </w:tc>
      </w:tr>
    </w:tbl>
    <w:p w14:paraId="0B5C08E9">
      <w:pPr>
        <w:rPr>
          <w:rFonts w:hint="default" w:ascii="Palatino Linotype" w:hAnsi="Palatino Linotype" w:cs="Palatino Linotype"/>
          <w:sz w:val="18"/>
          <w:szCs w:val="18"/>
          <w:lang w:val="en-US" w:eastAsia="zh-CN"/>
        </w:rPr>
      </w:pPr>
    </w:p>
    <w:p w14:paraId="6B67661D">
      <w:pPr>
        <w:rPr>
          <w:rFonts w:hint="default" w:ascii="Palatino Linotype" w:hAnsi="Palatino Linotype" w:cs="Palatino Linotype"/>
          <w:sz w:val="18"/>
          <w:szCs w:val="18"/>
        </w:rPr>
      </w:pPr>
      <w:bookmarkStart w:id="0" w:name="_GoBack"/>
      <w:bookmarkEnd w:id="0"/>
      <w:r>
        <w:rPr>
          <w:rFonts w:hint="default" w:ascii="Palatino Linotype" w:hAnsi="Palatino Linotype" w:cs="Palatino Linotype"/>
          <w:sz w:val="18"/>
          <w:szCs w:val="18"/>
          <w:lang w:val="en-US" w:eastAsia="zh-CN"/>
        </w:rPr>
        <w:t>The inter-rater reliability was evaluated using the weighted Kappa statistic. Unlike the unweighted Cohen's Kappa, which treats any disagreement equally, the weighted Kappa is more appropriate for ordinal scales (such as the Likert-type scales used in GQS, mDISCERN, and JAMA scores) as it assigns partial credit to disagreements that are only one category apart, while giving less credit to larger discrepancies. This provides a more nuanced measure of agreement.</w:t>
      </w:r>
    </w:p>
    <w:p w14:paraId="3D1F1597">
      <w:pPr>
        <w:rPr>
          <w:rFonts w:hint="default" w:ascii="Palatino Linotype" w:hAnsi="Palatino Linotype" w:cs="Palatino Linotype"/>
          <w:sz w:val="18"/>
          <w:szCs w:val="18"/>
        </w:rPr>
      </w:pPr>
      <w:r>
        <w:rPr>
          <w:rFonts w:hint="default" w:ascii="Palatino Linotype" w:hAnsi="Palatino Linotype" w:cs="Palatino Linotype"/>
          <w:sz w:val="18"/>
          <w:szCs w:val="18"/>
        </w:rPr>
        <w:t>Weighting Scheme:We used linear weights. For example, a disagreement between scores of 3 and 4 is considered less severe than a disagreement between 3 and 5.</w:t>
      </w:r>
    </w:p>
    <w:p w14:paraId="26389530">
      <w:pPr>
        <w:rPr>
          <w:rFonts w:hint="default" w:ascii="Palatino Linotype" w:hAnsi="Palatino Linotype" w:eastAsia="宋体" w:cs="Palatino Linotype"/>
          <w:sz w:val="18"/>
          <w:szCs w:val="18"/>
          <w:lang w:val="en-US" w:eastAsia="zh-CN"/>
        </w:rPr>
      </w:pPr>
      <w:r>
        <w:rPr>
          <w:rFonts w:hint="default" w:ascii="Palatino Linotype" w:hAnsi="Palatino Linotype" w:cs="Palatino Linotype"/>
          <w:sz w:val="18"/>
          <w:szCs w:val="18"/>
        </w:rPr>
        <w:t>Interpretation of Kappa Values:</w:t>
      </w:r>
      <w:r>
        <w:rPr>
          <w:rFonts w:hint="default" w:ascii="Palatino Linotype" w:hAnsi="Palatino Linotype" w:eastAsia="宋体" w:cs="Palatino Linotype"/>
          <w:sz w:val="18"/>
          <w:szCs w:val="18"/>
          <w:lang w:val="en-US" w:eastAsia="zh-CN"/>
        </w:rPr>
        <w:t xml:space="preserve"> </w:t>
      </w:r>
      <w:r>
        <w:rPr>
          <w:rFonts w:hint="default" w:ascii="Palatino Linotype" w:hAnsi="Palatino Linotype" w:cs="Palatino Linotype"/>
          <w:sz w:val="18"/>
          <w:szCs w:val="18"/>
        </w:rPr>
        <w:t>The strength of agreement was interpreted using the benchmarks proposed by Landis and Koch (1977)</w:t>
      </w:r>
      <w:r>
        <w:rPr>
          <w:rFonts w:hint="default" w:ascii="Palatino Linotype" w:hAnsi="Palatino Linotype" w:eastAsia="宋体" w:cs="Palatino Linotype"/>
          <w:sz w:val="18"/>
          <w:szCs w:val="18"/>
          <w:lang w:val="en-US" w:eastAsia="zh-CN"/>
        </w:rPr>
        <w:t>: ≤ 0.00: Poor; 0.01-0.20: Slight; 0.21-0.40: Fair; 0.41-0.60: Moderate; 0.61-0.80: Good; 0.81-1.00: Very good to Excellent.</w:t>
      </w:r>
    </w:p>
    <w:p w14:paraId="68FF9EBC">
      <w:pPr>
        <w:rPr>
          <w:rFonts w:hint="eastAsia" w:eastAsia="宋体"/>
          <w:lang w:val="en-US" w:eastAsia="zh-CN"/>
        </w:rPr>
      </w:pPr>
    </w:p>
    <w:p w14:paraId="744FD782"/>
    <w:p w14:paraId="781A7DB6"/>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Palatino Linotype">
    <w:panose1 w:val="02040502050505030304"/>
    <w:charset w:val="00"/>
    <w:family w:val="roman"/>
    <w:pitch w:val="default"/>
    <w:sig w:usb0="E0000287" w:usb1="40000013" w:usb2="00000000" w:usb3="00000000" w:csb0="2000019F" w:csb1="00000000"/>
  </w:font>
  <w:font w:name="URWPalladioL-Ital">
    <w:altName w:val="Yu Gothic"/>
    <w:panose1 w:val="00000000000000000000"/>
    <w:charset w:val="80"/>
    <w:family w:val="auto"/>
    <w:pitch w:val="default"/>
    <w:sig w:usb0="00000000" w:usb1="00000000" w:usb2="00000010" w:usb3="00000000" w:csb0="00020000" w:csb1="00000000"/>
  </w:font>
  <w:font w:name="Yu Gothic">
    <w:panose1 w:val="020B0400000000000000"/>
    <w:charset w:val="80"/>
    <w:family w:val="auto"/>
    <w:pitch w:val="default"/>
    <w:sig w:usb0="E00002FF" w:usb1="2AC7FDFF" w:usb2="00000016" w:usb3="00000000" w:csb0="2002009F" w:csb1="00000000"/>
  </w:font>
  <w:font w:name="Cordia New">
    <w:altName w:val="Microsoft Sans Serif"/>
    <w:panose1 w:val="020B0304020202020204"/>
    <w:charset w:val="DE"/>
    <w:family w:val="swiss"/>
    <w:pitch w:val="default"/>
    <w:sig w:usb0="00000000" w:usb1="00000000" w:usb2="00000000" w:usb3="00000000" w:csb0="00010001" w:csb1="00000000"/>
  </w:font>
  <w:font w:name="Microsoft Sans Serif">
    <w:panose1 w:val="020B0604020202020204"/>
    <w:charset w:val="00"/>
    <w:family w:val="auto"/>
    <w:pitch w:val="default"/>
    <w:sig w:usb0="E5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8C76D9"/>
    <w:rsid w:val="050D65F7"/>
    <w:rsid w:val="06400C4E"/>
    <w:rsid w:val="064047AA"/>
    <w:rsid w:val="08423D21"/>
    <w:rsid w:val="1331710B"/>
    <w:rsid w:val="145345C5"/>
    <w:rsid w:val="16C15493"/>
    <w:rsid w:val="17F804F5"/>
    <w:rsid w:val="18550589"/>
    <w:rsid w:val="190932A4"/>
    <w:rsid w:val="1BCF0653"/>
    <w:rsid w:val="20D173E4"/>
    <w:rsid w:val="2D2B1461"/>
    <w:rsid w:val="34142C4F"/>
    <w:rsid w:val="36D52B69"/>
    <w:rsid w:val="379E73FF"/>
    <w:rsid w:val="39DA486D"/>
    <w:rsid w:val="3B7172BA"/>
    <w:rsid w:val="3C90341B"/>
    <w:rsid w:val="3FFA359F"/>
    <w:rsid w:val="4396542E"/>
    <w:rsid w:val="445B3A8A"/>
    <w:rsid w:val="4703568C"/>
    <w:rsid w:val="47C1727D"/>
    <w:rsid w:val="48E924A4"/>
    <w:rsid w:val="4D7C1024"/>
    <w:rsid w:val="4F424648"/>
    <w:rsid w:val="501A1195"/>
    <w:rsid w:val="551D59AF"/>
    <w:rsid w:val="5831384D"/>
    <w:rsid w:val="5A225816"/>
    <w:rsid w:val="5E3862BF"/>
    <w:rsid w:val="62ED6442"/>
    <w:rsid w:val="62F133AA"/>
    <w:rsid w:val="63520F1A"/>
    <w:rsid w:val="655A5E64"/>
    <w:rsid w:val="657D7DA4"/>
    <w:rsid w:val="659F41BF"/>
    <w:rsid w:val="720D1D7F"/>
    <w:rsid w:val="78BB0EB8"/>
    <w:rsid w:val="7E006E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120" w:after="240"/>
    </w:pPr>
    <w:rPr>
      <w:rFonts w:ascii="Times New Roman" w:hAnsi="Times New Roman" w:eastAsiaTheme="minorHAnsi" w:cstheme="minorBidi"/>
      <w:sz w:val="24"/>
      <w:szCs w:val="22"/>
      <w:lang w:val="en-US" w:eastAsia="en-US" w:bidi="ar-SA"/>
    </w:rPr>
  </w:style>
  <w:style w:type="paragraph" w:styleId="2">
    <w:name w:val="heading 2"/>
    <w:basedOn w:val="1"/>
    <w:next w:val="1"/>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table" w:styleId="5">
    <w:name w:val="Table Grid"/>
    <w:basedOn w:val="4"/>
    <w:qFormat/>
    <w:uiPriority w:val="59"/>
    <w:rPr>
      <w:rFonts w:asciiTheme="majorHAnsi" w:hAnsiTheme="majorHAns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
    <w:name w:val="Strong"/>
    <w:basedOn w:val="6"/>
    <w:qFormat/>
    <w:uiPriority w:val="0"/>
    <w:rPr>
      <w:b/>
    </w:rPr>
  </w:style>
  <w:style w:type="table" w:customStyle="1" w:styleId="8">
    <w:name w:val="网格型3"/>
    <w:basedOn w:val="4"/>
    <w:autoRedefine/>
    <w:qFormat/>
    <w:uiPriority w:val="3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
    <w:name w:val="MDPI_2.2_heading2"/>
    <w:qFormat/>
    <w:uiPriority w:val="0"/>
    <w:pPr>
      <w:adjustRightInd w:val="0"/>
      <w:snapToGrid w:val="0"/>
      <w:spacing w:before="60" w:after="60" w:line="280" w:lineRule="atLeast"/>
      <w:ind w:left="2608"/>
      <w:outlineLvl w:val="1"/>
    </w:pPr>
    <w:rPr>
      <w:rFonts w:ascii="Palatino Linotype" w:hAnsi="Palatino Linotype" w:eastAsia="Times New Roman" w:cs="Times New Roman"/>
      <w:i/>
      <w:snapToGrid w:val="0"/>
      <w:color w:val="000000"/>
      <w:szCs w:val="22"/>
      <w:lang w:val="en-US" w:eastAsia="de-DE" w:bidi="en-US"/>
    </w:rPr>
  </w:style>
  <w:style w:type="paragraph" w:customStyle="1" w:styleId="10">
    <w:name w:val="MDPI_2.1_heading1"/>
    <w:qFormat/>
    <w:uiPriority w:val="0"/>
    <w:pPr>
      <w:adjustRightInd w:val="0"/>
      <w:snapToGrid w:val="0"/>
      <w:spacing w:before="240" w:after="60" w:line="280" w:lineRule="atLeast"/>
      <w:ind w:left="2608"/>
      <w:outlineLvl w:val="0"/>
    </w:pPr>
    <w:rPr>
      <w:rFonts w:ascii="Palatino Linotype" w:hAnsi="Palatino Linotype" w:eastAsia="Times New Roman" w:cs="Times New Roman"/>
      <w:b/>
      <w:snapToGrid w:val="0"/>
      <w:color w:val="000000"/>
      <w:sz w:val="24"/>
      <w:szCs w:val="22"/>
      <w:lang w:val="en-US" w:eastAsia="de-DE" w:bidi="en-US"/>
    </w:rPr>
  </w:style>
  <w:style w:type="paragraph" w:customStyle="1" w:styleId="11">
    <w:name w:val="MDPI_4.1_table_caption"/>
    <w:qFormat/>
    <w:uiPriority w:val="0"/>
    <w:pPr>
      <w:adjustRightInd w:val="0"/>
      <w:snapToGrid w:val="0"/>
      <w:spacing w:before="240" w:after="120" w:line="280" w:lineRule="atLeast"/>
      <w:ind w:left="2608"/>
      <w:jc w:val="both"/>
    </w:pPr>
    <w:rPr>
      <w:rFonts w:ascii="Palatino Linotype" w:hAnsi="Palatino Linotype" w:eastAsia="Times New Roman" w:cs="Cordia New"/>
      <w:color w:val="000000"/>
      <w:sz w:val="18"/>
      <w:szCs w:val="22"/>
      <w:lang w:val="en-US" w:eastAsia="de-DE" w:bidi="en-US"/>
    </w:rPr>
  </w:style>
  <w:style w:type="paragraph" w:customStyle="1" w:styleId="12">
    <w:name w:val="MDPI_4.2_table_body"/>
    <w:qFormat/>
    <w:uiPriority w:val="0"/>
    <w:pPr>
      <w:adjustRightInd w:val="0"/>
      <w:snapToGrid w:val="0"/>
      <w:spacing w:line="260" w:lineRule="atLeast"/>
      <w:jc w:val="center"/>
    </w:pPr>
    <w:rPr>
      <w:rFonts w:ascii="Palatino Linotype" w:hAnsi="Palatino Linotype" w:eastAsia="Times New Roman" w:cs="Times New Roman"/>
      <w:snapToGrid w:val="0"/>
      <w:color w:val="000000"/>
      <w:lang w:val="en-US" w:eastAsia="de-DE" w:bidi="en-U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166</Words>
  <Characters>940</Characters>
  <Lines>0</Lines>
  <Paragraphs>0</Paragraphs>
  <TotalTime>0</TotalTime>
  <ScaleCrop>false</ScaleCrop>
  <LinksUpToDate>false</LinksUpToDate>
  <CharactersWithSpaces>1087</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2025-07-16T05:27:00Z</dcterms:created>
  <dc:creator>Administrator</dc:creator>
  <cp:lastModifiedBy>宋佳艺</cp:lastModifiedBy>
  <dcterms:modified xsi:type="dcterms:W3CDTF">2026-07-17T14:05:01Z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eyJoZGlkIjoiM2U5NzRmZWY2NmYyMTFjOWQyMmNhNWJkZTIwNDVmMmQiLCJ1c2VySWQiOiI2NzIyMTYwNDkifQ==</vt:lpwstr>
  </property>
  <property fmtid="{D5CDD505-2E9C-101B-9397-08002B2CF9AE}" pid="4" name="ICV">
    <vt:lpwstr>35629DC062E646738C0BBF90F0A926F5_13</vt:lpwstr>
  </property>
</Properties>
</file>