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FEA" w:rsidRDefault="00690C2D" w:rsidP="00C62FEA">
      <w:pPr>
        <w:ind w:right="-32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765BD" wp14:editId="1256C779">
                <wp:simplePos x="0" y="0"/>
                <wp:positionH relativeFrom="column">
                  <wp:posOffset>4548554</wp:posOffset>
                </wp:positionH>
                <wp:positionV relativeFrom="paragraph">
                  <wp:posOffset>-344073</wp:posOffset>
                </wp:positionV>
                <wp:extent cx="5298830" cy="668216"/>
                <wp:effectExtent l="0" t="0" r="1016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8830" cy="6682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90C2D" w:rsidRPr="006A1796" w:rsidRDefault="00690C2D" w:rsidP="00690C2D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</w:pPr>
                            <w:r w:rsidRPr="006A179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3"/>
                                <w:szCs w:val="10"/>
                                <w:lang w:val="en-GB"/>
                              </w:rPr>
                              <w:t>Relationship between Cognitive Vulnerability and Stress Response in Children and Adolescents: A Systematic Review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; European Child and Adolescent Psychiatry;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</w:rPr>
                              <w:t xml:space="preserve">Bäumler, Leonie, Frommelt, Tonya, Özbey, Ada, Koc, Eda, Schulte-Körne, Gerd, Platt, Belinda; </w:t>
                            </w:r>
                            <w:r w:rsidRPr="006A1796">
                              <w:rPr>
                                <w:rFonts w:ascii="Times New Roman" w:hAnsi="Times New Roman" w:cs="Times New Roman"/>
                                <w:bCs/>
                                <w:sz w:val="13"/>
                                <w:szCs w:val="10"/>
                                <w:lang w:val="en-GB"/>
                              </w:rPr>
                              <w:t xml:space="preserve">Department of Child and Adolescent Psychiatry, Psychosomatics and Psychotherapy, LMU University Hospital Munich, Germany; </w:t>
                            </w:r>
                            <w:hyperlink r:id="rId7" w:tooltip="mailto:leonie.baeumler@med.uni-muenchen.de" w:history="1">
                              <w:r w:rsidRPr="006A1796">
                                <w:rPr>
                                  <w:rStyle w:val="Hyperlink"/>
                                  <w:rFonts w:ascii="Times New Roman" w:hAnsi="Times New Roman" w:cs="Times New Roman"/>
                                  <w:bCs/>
                                  <w:sz w:val="13"/>
                                  <w:szCs w:val="10"/>
                                  <w:lang w:val="en-GB"/>
                                </w:rPr>
                                <w:t>leonie.baeumler@med.uni-muenchen.de</w:t>
                              </w:r>
                            </w:hyperlink>
                          </w:p>
                          <w:p w:rsidR="00690C2D" w:rsidRDefault="00690C2D" w:rsidP="00690C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765B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58.15pt;margin-top:-27.1pt;width:417.25pt;height:5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lGo8TQIAAKEEAAAOAAAAZHJzL2Uyb0RvYy54bWysVFFv2jAQfp+0/2D5fQRSYDQiVIyKaVLV&#13;&#10;VoKpz8axSTTH59mGhP36nZ1AabenaS/O2ff58913d5nftbUiR2FdBTqno8GQEqE5FJXe5/T7dv1p&#13;&#10;RonzTBdMgRY5PQlH7xYfP8wbk4kUSlCFsARJtMsak9PSe5MlieOlqJkbgBEanRJszTxu7T4pLGuQ&#13;&#10;vVZJOhxOkwZsYSxw4Rye3ndOuoj8Ugrun6R0whOVU4zNx9XGdRfWZDFn2d4yU1a8D4P9QxQ1qzQ+&#13;&#10;eqG6Z56Rg63+oKorbsGB9AMOdQJSVlzEHDCb0fBdNpuSGRFzQXGcucjk/h8tfzw+W1IVOU0p0azG&#13;&#10;Em1F66VQBUmDOo1xGYI2BmG+/QItVvl87vAwJN1KW4cvpkPQjzqfLtoiGeF4OElvZ7MbdHH0Taez&#13;&#10;dDQNNMnrbWOd/yqgJsHIqcXaRUnZ8cH5DnqGhMccqKpYV0rFTegXsVKWHBlWWvkYI5K/QSlNGnz8&#13;&#10;ZjKMxG98gfpyf6cY/9GHd4VCPqUx5qBJl3uwfLtre6F2UJxQJwtdnznD1xXyPjDnn5nFxsL8cVj8&#13;&#10;Ey5SAQYDvUVJCfbX384DHuuNXkoabNScup8HZgUl6pvGTrgdjcehs+NmPPmc4sZee3bXHn2oV4AK&#13;&#10;jXAsDY9mwHt1NqWF+gVnahleRRfTHN/OqT+bK9+ND84kF8tlBGEvG+Yf9MbwQB0qEvTcti/Mmr6e&#13;&#10;HjvhEc4tzbJ3Ze2w4aaG5cGDrGLNg8Cdqr3uOAexa/qZDYN2vY+o1z/L4jcAAAD//wMAUEsDBBQA&#13;&#10;BgAIAAAAIQB27Onz5AAAABABAAAPAAAAZHJzL2Rvd25yZXYueG1sTI/NTsMwEITvSLyDtUjcWjuF&#13;&#10;lJBmU/FTuHCiIM5u7NoWsR3Zbhrevu6pXFZa7czsfM16sj0ZZYjGO4RizoBI13lhnEL4/nqbVUBi&#13;&#10;4k7w3juJ8CcjrNvrq4bXwh/dpxy3SZEc4mLNEXRKQ01p7LS0PM79IF2+7X2wPOU1KCoCP+Zw29MF&#13;&#10;Y0tquXH5g+aDfNGy+90eLMLmWT2qruJBbyphzDj97D/UO+LtzfS6yuNpBSTJKV0ccGbI/aHNxXb+&#13;&#10;4EQkPcJDsbzLUoRZeb8AclaUJctIO4SyYEDbhv4HaU8AAAD//wMAUEsBAi0AFAAGAAgAAAAhALaD&#13;&#10;OJL+AAAA4QEAABMAAAAAAAAAAAAAAAAAAAAAAFtDb250ZW50X1R5cGVzXS54bWxQSwECLQAUAAYA&#13;&#10;CAAAACEAOP0h/9YAAACUAQAACwAAAAAAAAAAAAAAAAAvAQAAX3JlbHMvLnJlbHNQSwECLQAUAAYA&#13;&#10;CAAAACEAn5RqPE0CAAChBAAADgAAAAAAAAAAAAAAAAAuAgAAZHJzL2Uyb0RvYy54bWxQSwECLQAU&#13;&#10;AAYACAAAACEAduzp8+QAAAAQAQAADwAAAAAAAAAAAAAAAACnBAAAZHJzL2Rvd25yZXYueG1sUEsF&#13;&#10;BgAAAAAEAAQA8wAAALgFAAAAAA==&#13;&#10;" fillcolor="white [3201]" strokeweight=".5pt">
                <v:textbox>
                  <w:txbxContent>
                    <w:p w:rsidR="00690C2D" w:rsidRPr="006A1796" w:rsidRDefault="00690C2D" w:rsidP="00690C2D">
                      <w:pPr>
                        <w:spacing w:line="480" w:lineRule="auto"/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</w:pPr>
                      <w:r w:rsidRPr="006A1796">
                        <w:rPr>
                          <w:rFonts w:ascii="Times New Roman" w:hAnsi="Times New Roman" w:cs="Times New Roman"/>
                          <w:b/>
                          <w:bCs/>
                          <w:sz w:val="13"/>
                          <w:szCs w:val="10"/>
                          <w:lang w:val="en-GB"/>
                        </w:rPr>
                        <w:t>Relationship between Cognitive Vulnerability and Stress Response in Children and Adolescents: A Systematic Review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; European Child and Adolescent Psychiatry;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</w:rPr>
                        <w:t xml:space="preserve">Bäumler, Leonie, Frommelt, Tonya, Özbey, Ada, Koc, Eda, Schulte-Körne, Gerd, Platt, Belinda; </w:t>
                      </w:r>
                      <w:r w:rsidRPr="006A1796">
                        <w:rPr>
                          <w:rFonts w:ascii="Times New Roman" w:hAnsi="Times New Roman" w:cs="Times New Roman"/>
                          <w:bCs/>
                          <w:sz w:val="13"/>
                          <w:szCs w:val="10"/>
                          <w:lang w:val="en-GB"/>
                        </w:rPr>
                        <w:t xml:space="preserve">Department of Child and Adolescent Psychiatry, Psychosomatics and Psychotherapy, LMU University Hospital Munich, Germany; </w:t>
                      </w:r>
                      <w:hyperlink r:id="rId8" w:tooltip="mailto:leonie.baeumler@med.uni-muenchen.de" w:history="1">
                        <w:r w:rsidRPr="006A1796">
                          <w:rPr>
                            <w:rStyle w:val="Hyperlink"/>
                            <w:rFonts w:ascii="Times New Roman" w:hAnsi="Times New Roman" w:cs="Times New Roman"/>
                            <w:bCs/>
                            <w:sz w:val="13"/>
                            <w:szCs w:val="10"/>
                            <w:lang w:val="en-GB"/>
                          </w:rPr>
                          <w:t>leonie.baeumler@med.uni-muenchen.de</w:t>
                        </w:r>
                      </w:hyperlink>
                    </w:p>
                    <w:p w:rsidR="00690C2D" w:rsidRDefault="00690C2D" w:rsidP="00690C2D"/>
                  </w:txbxContent>
                </v:textbox>
              </v:shape>
            </w:pict>
          </mc:Fallback>
        </mc:AlternateContent>
      </w:r>
    </w:p>
    <w:p w:rsidR="00690C2D" w:rsidRPr="00C62FEA" w:rsidRDefault="00690C2D" w:rsidP="00C62FEA">
      <w:pPr>
        <w:ind w:right="-32"/>
        <w:rPr>
          <w:rFonts w:ascii="Times New Roman" w:hAnsi="Times New Roman" w:cs="Times New Roman"/>
          <w:bCs/>
          <w:color w:val="000000" w:themeColor="text1"/>
        </w:rPr>
      </w:pPr>
    </w:p>
    <w:p w:rsidR="00C62FEA" w:rsidRPr="00C62FEA" w:rsidRDefault="00C62FEA" w:rsidP="00C62FEA">
      <w:pPr>
        <w:rPr>
          <w:rFonts w:ascii="Times New Roman" w:hAnsi="Times New Roman" w:cs="Times New Roman"/>
          <w:lang w:val="en-GB"/>
        </w:rPr>
      </w:pPr>
      <w:r w:rsidRPr="00C62FEA">
        <w:rPr>
          <w:rFonts w:ascii="Times New Roman" w:hAnsi="Times New Roman" w:cs="Times New Roman"/>
          <w:b/>
          <w:bCs/>
          <w:lang w:val="en-GB"/>
        </w:rPr>
        <w:t xml:space="preserve">Table </w:t>
      </w:r>
      <w:r w:rsidR="00F72CB7">
        <w:rPr>
          <w:rFonts w:ascii="Times New Roman" w:hAnsi="Times New Roman" w:cs="Times New Roman"/>
          <w:b/>
          <w:bCs/>
          <w:lang w:val="en-GB"/>
        </w:rPr>
        <w:t>D.2</w:t>
      </w:r>
      <w:r w:rsidRPr="00C62FEA">
        <w:rPr>
          <w:rFonts w:ascii="Times New Roman" w:hAnsi="Times New Roman" w:cs="Times New Roman"/>
          <w:lang w:val="en-GB"/>
        </w:rPr>
        <w:t>: Results on relationship between cognitive vulnerability and physiological stress response other parameters than cortisol</w:t>
      </w:r>
    </w:p>
    <w:tbl>
      <w:tblPr>
        <w:tblW w:w="154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698"/>
        <w:gridCol w:w="709"/>
        <w:gridCol w:w="709"/>
        <w:gridCol w:w="1286"/>
        <w:gridCol w:w="1179"/>
        <w:gridCol w:w="9736"/>
      </w:tblGrid>
      <w:tr w:rsidR="00C62FEA" w:rsidRPr="00C62FEA" w:rsidTr="007D3DD6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ind w:right="359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Article</w:t>
            </w:r>
          </w:p>
        </w:tc>
        <w:tc>
          <w:tcPr>
            <w:tcW w:w="69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size (N)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range, years (Mean)</w:t>
            </w:r>
          </w:p>
        </w:tc>
        <w:tc>
          <w:tcPr>
            <w:tcW w:w="128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Cognitive Vulnerability Category; Measurement</w:t>
            </w:r>
          </w:p>
        </w:tc>
        <w:tc>
          <w:tcPr>
            <w:tcW w:w="117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Physiological Stress Response: Other</w:t>
            </w:r>
          </w:p>
        </w:tc>
        <w:tc>
          <w:tcPr>
            <w:tcW w:w="97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Relationship Cognitive Vulnerability x Physiological Stress Response: other parameters than cortisol</w:t>
            </w:r>
            <w:bookmarkStart w:id="0" w:name="_GoBack"/>
            <w:bookmarkEnd w:id="0"/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Feurer et al., 2020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– 17 (14.95)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cognitive bias (AB);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attentional disengagement task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RSA</w:t>
            </w:r>
          </w:p>
        </w:tc>
        <w:tc>
          <w:tcPr>
            <w:tcW w:w="9736" w:type="dxa"/>
            <w:tcBorders>
              <w:top w:val="single" w:sz="4" w:space="0" w:color="auto"/>
            </w:tcBorders>
          </w:tcPr>
          <w:p w:rsidR="00C62FEA" w:rsidRPr="00C62FEA" w:rsidRDefault="00C62FEA" w:rsidP="007D3DD6">
            <w:pPr>
              <w:tabs>
                <w:tab w:val="left" w:pos="883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AB for sad faces (CV) significantly associated with RSA reactivity (SR) (t(91.00) = 2.08, p = .04, effect size = .21) for older adolescents, but not younger adolescents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Hollocks et al., 2016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– 16 (12.98)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cognitive biases (AB, IB);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dot-probe task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heart rate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tabs>
                <w:tab w:val="left" w:pos="883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in boys with ASD: (IB) significant association between reduced physiological responsiveness (SR) and more negative interpretation biases (CV) (standardized coefficient = -.32, p = .04); (AB) no significant association between physiological responsiveness (SR) and attentional bias (CV)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Jopling et al., 2021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– 13 (12.93)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cognitive biases (AB, MB);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Posner task, Sternberg task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salivary alpha amylase reactivity + recovery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tabs>
                <w:tab w:val="left" w:pos="883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(AB) greater AB for positive stimuli (CV) associated with less sAA reactivity (SR) (B = -0.0002, t(68) = -2.49, p = .015); (MB) greater MB for negative stimuli associated with greater sAA reactivity (β = 0.246, t(70) = 2.12, p = .038); greater MB for positive stimuli (CV) associated with greater HPA-SNS dissociation (SR) (β = 0.331, t(70) = 2.81, p = .007)</w:t>
            </w:r>
          </w:p>
        </w:tc>
      </w:tr>
      <w:tr w:rsidR="00C62FEA" w:rsidRPr="00C62FEA" w:rsidTr="00F735A0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Rozenman et al., 2017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– 17 (13.18)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cognitive biases (AB, IB);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Faces Dot Probe, IB assessment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skin conductance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(AB) no significant association between AB (CV) and SCL (SR); (IB) significant association between IB (CV) and SCL (SR)</w:t>
            </w:r>
          </w:p>
        </w:tc>
      </w:tr>
      <w:tr w:rsidR="00C62FEA" w:rsidRPr="00C62FEA" w:rsidTr="00F735A0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Neuenschwander &amp; Blair, 2017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– 9 (7.4)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cognitive bias (MB);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PMT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sAA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MB for negative pictures (CV) associated with sAA reactivity (SR), but not with neutral pictures; sAA (SR) at encoding positively predicted recognition (β = 1.29, p = .040), while sAA after encoding negatively predicted recognition (β = -1.32, p = .014)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Aldao et al., 2014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– 17 (14.9)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rumination, attributional style; CRSQ, appraisals (challenge or threat)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cardiovascular reactivity and recovery (heart rate, PEP, RSA)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(rumination) no association between rumination (CV) and cardiovascular reactivity (heart rate, RSA, PEP) (SR); rumination (CV) significantly associated with slower heart rate recovery (SR) (β = 0.06, p = .050); (cognitive appraisals)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cognitive appraisals (CV) and SR not analysed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Borelli et al., 2014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 – 12 (9.83)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rumination;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CRSQ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cardiovascular reactivity (RSA)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rumination (CV) significantly associated with greater RSA reactivity (SR) during sad vignettes, but not during fear vignettes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Borelli et al., 2017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– 12 (10.29)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rumination, emotion regulation;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CRSQ, ERQ-CA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cardiovascular reactivity (RSA, heart rate variability)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Katz et al., 2019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(16.6)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rumination, emotion regulation;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TQ, ERQ-CA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salivary alpha amylase reactivity + recovery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(rumination) state rumination (CV) not associated with sAA reactivity or recovery (SR), trait rumination (CV) not associated with sAA reactivity or recovery (SR); (emotion regulation) emotion regulation (CV) not associated with sAA reactivity or recovery (SR)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Moriarity et al., 2020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15.6 – 21.9 (18.3)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rumination;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CRSQ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inflammatory markers (IL6, IL 8, IL10, TNF-a, CRP)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rumination (CV) not associated with IL-8, IL-10, TNF-a, CRP) (SR); higher reward drive interacted with higher rumination to predict higher IL-6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Rudolph et al., 2011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(9.46)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rumination; self-reported rumination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sAA reactivity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rumination (CV) not associated with sAA reactivity (SR)</w:t>
            </w:r>
          </w:p>
        </w:tc>
      </w:tr>
      <w:tr w:rsidR="00C62FEA" w:rsidRPr="00C62FEA" w:rsidTr="00F735A0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Christensen et al, 2017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169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 – 17 (14.95)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emotion regulation; CERQ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cardiac reactivity (RSA, PEP)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no main effects of reappraisal (CV) on RSA or PEP (SR) during speech preparation; no main effects of reappraisal (CV) on PEP reactivity during speech preparation or math</w:t>
            </w:r>
          </w:p>
        </w:tc>
      </w:tr>
      <w:tr w:rsidR="00C62FEA" w:rsidRPr="00C62FEA" w:rsidTr="00F735A0">
        <w:trPr>
          <w:trHeight w:val="57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Fiol-Veny et al., 2019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(13.31)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emotion regulation;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CERQ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cardiac reactivity (heart rate, RMSSD)</w:t>
            </w:r>
          </w:p>
        </w:tc>
        <w:tc>
          <w:tcPr>
            <w:tcW w:w="9736" w:type="dxa"/>
            <w:tcBorders>
              <w:bottom w:val="single" w:sz="4" w:space="0" w:color="auto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positive ER style (CV) and cardiac reactivity (SR) not associated; low negative ER style (CV) associated with larger HRV reactivity and recovery (F (3,35) = 33.48, p &lt; .001, η2 partial= .742) as well as heart rate entropy (F(3,35) = 15.91, p &lt;. 001, η2 partial = .577) (SR) compared to high negative ER style</w:t>
            </w:r>
          </w:p>
        </w:tc>
      </w:tr>
      <w:tr w:rsidR="00F735A0" w:rsidRPr="00C62FEA" w:rsidTr="000C1643">
        <w:trPr>
          <w:trHeight w:val="5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Article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size (N)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range, years (Mean)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0C164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Cognitive Vulnerability Category; Measurement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0C164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Physiological Stress Response: Other</w:t>
            </w:r>
          </w:p>
        </w:tc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</w:tcPr>
          <w:p w:rsidR="00F735A0" w:rsidRPr="00C62FEA" w:rsidRDefault="00F735A0" w:rsidP="000C164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Relationship Cognitive Vulnerability x Physiological Stress Response: other parameters than cortisol</w:t>
            </w:r>
          </w:p>
        </w:tc>
      </w:tr>
      <w:tr w:rsidR="00C62FEA" w:rsidRPr="00C62FEA" w:rsidTr="00F735A0">
        <w:trPr>
          <w:trHeight w:val="57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Shapero et al., 2016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– 13 (15.28)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emotion regulation; ERQ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cardiac reactivity + recovery (heart rate)</w:t>
            </w:r>
          </w:p>
        </w:tc>
        <w:tc>
          <w:tcPr>
            <w:tcW w:w="9736" w:type="dxa"/>
            <w:tcBorders>
              <w:top w:val="single" w:sz="4" w:space="0" w:color="auto"/>
            </w:tcBorders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  <w:t>cognitive reappraisal (CV) not associated with emotional/biological reactivity (SR) and anxiety symptoms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Giletta et al., 2018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– 16 (14.73)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ACSQ, HSC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inflammatory markers (TNF-a, IL-1b, IL-6 reactivity)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hopelessness (CV) associated with changes in IL-1ß (SR), for youth exhibiting high hopelessness (b = 0.57, 95% CI = [0.26, 0.87], p &lt; .001) peer victimization was associated with greater increases in inflammation (SR); negative cognitive style (CV) not associated with changes in inflammation (SR)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Mastromatteo et al., 2021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(7.22)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appraisals of a cognitive task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cardiac reactivity (heart rate, heart rate variability)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emotional appraisals (CV) positively associated with change in heart rate variability (SR) (EVCT (b = 0.192, p &lt; .05), EVBO (b = 0.187, p &lt; .05))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Perhamus et al., 2022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(46.32 months)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modified Assessment of Intent Attributions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cardiac reactivity (heart rate, interbeat interval), skin conductance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hostile attributional bias (CV) associated with SCL-R (SR) in predicting co-occurring relational bullying and victimization </w:t>
            </w:r>
          </w:p>
        </w:tc>
      </w:tr>
      <w:tr w:rsidR="00C62FEA" w:rsidRPr="00C62FEA" w:rsidTr="00F735A0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8"/>
                <w:szCs w:val="16"/>
              </w:rPr>
            </w:pP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8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16"/>
              </w:rPr>
            </w:pP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16"/>
              </w:rPr>
            </w:pP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8"/>
                <w:szCs w:val="16"/>
                <w:lang w:val="en-US"/>
              </w:rPr>
            </w:pP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8"/>
                <w:szCs w:val="16"/>
                <w:lang w:val="en-US"/>
              </w:rPr>
            </w:pPr>
          </w:p>
        </w:tc>
      </w:tr>
      <w:tr w:rsidR="00C62FEA" w:rsidRPr="00C62FEA" w:rsidTr="00F735A0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Shapero et al., 2017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NR (15.28)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style, rumination;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ACSQ, CRSQ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cardiac reactivity (heart rate)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(attributional style) high negative cognitive style (CV) moderated the relationship between heart rate recovery and depressive symptoms (b = −.005, SE = .002, t(6,111) =  2.33, p = .02, ΔR = .04); (rumination) rumination (CV) moderated the relationship between heart rate recovery (SR) and depressive symptoms (b = −.02, SE = .01, t(6,107) = 2.82, p = .00, ΔR = .05)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Ybarra et al., 2006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– 5 (62.5 months)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internal and external attributions on causality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cardiac reactivity (heart rate), skin conductance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attributional style (CV) associated with skin conductance responses (SCR) (SR) frequency (F(1, 44) = 4.86, p &lt; .05), attributional style not associated with heart rate or SCL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  <w:t>Chiang, 2017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CS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– 10 (9.85)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attributional style; </w:t>
            </w: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threat appraisal questionnaire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alpha amylase reactivity + recovery, inflammatory markers (IL-6)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threat appraisals (CV) not associated with sAA (SR)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Chen &amp; Matthews (2001)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LT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8-10 / 15-17 (8.88 / 15.64)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cognitive biases (IB);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ambiguous scenarios interview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cardiac reactivity, vascular reactivity (heart rate, CO, BP, TPR)</w:t>
            </w:r>
          </w:p>
        </w:tc>
        <w:tc>
          <w:tcPr>
            <w:tcW w:w="9736" w:type="dxa"/>
          </w:tcPr>
          <w:p w:rsidR="00C62FEA" w:rsidRPr="00847C56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hostile intent (IB, CV) (β = –.14, t(188) = 1.93, p &gt; .05) and anger (β = –.15, t(186) = 2.03, p &lt; .05) partially mediated the relation between family SES and vascular reactivity (SR)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Somers (2015)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LT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8-12 (9.93)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rumination;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CRSQ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cardiac reactivity (heart rate)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cardiac reactivity (SR) at T1 associated with greater depressive symptoms at T2, rumination at T1 explained further variance (greater rumination at T1 associated with greater depressive symptoms at T2); rumination (CV) measured at T1 not associated with cardiac reactivity (SR) measured concurrently or prospectively</w:t>
            </w:r>
          </w:p>
        </w:tc>
      </w:tr>
      <w:tr w:rsidR="00C62FEA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LeMoult et al., 2016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10 - 14 (11.74)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cognitive bias (AB); dot-probe task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cardiac reactivity (heart rate)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Sham ABT (CV) associated with higher HR in anticipation of the stressor (SR) compared to Real ABT group (tpaired(13)=−2.22, p=.045), while Real ABT was not; Sham ABT (CV) associated with increase in HR (SR) during the stressor at level of trend (tpaired(13)=−1.94, p=.075), while Real ABT was not</w:t>
            </w:r>
          </w:p>
        </w:tc>
      </w:tr>
      <w:tr w:rsidR="00C62FEA" w:rsidRPr="00C62FEA" w:rsidTr="0055600F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Hilt and Pollak, 2012 (Study 1)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– 14 (12.21)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rumination; state rumination (VAS)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cardiac reactivity (BP)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C62FEA" w:rsidRPr="00C62FEA" w:rsidTr="0055600F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Hilt and Pollak, 2012 (Study 2)</w:t>
            </w:r>
          </w:p>
        </w:tc>
        <w:tc>
          <w:tcPr>
            <w:tcW w:w="698" w:type="dxa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  <w:noWrap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C62FEA" w:rsidRPr="00C62FEA" w:rsidRDefault="00C62FEA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– 14 (11.51)</w:t>
            </w:r>
          </w:p>
        </w:tc>
        <w:tc>
          <w:tcPr>
            <w:tcW w:w="1286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rumination; state rumination (VAS)</w:t>
            </w:r>
          </w:p>
        </w:tc>
        <w:tc>
          <w:tcPr>
            <w:tcW w:w="1179" w:type="dxa"/>
            <w:shd w:val="clear" w:color="auto" w:fill="auto"/>
          </w:tcPr>
          <w:p w:rsidR="00C62FEA" w:rsidRPr="00C62FEA" w:rsidRDefault="00C62FEA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cardiac reactivity (BP)</w:t>
            </w:r>
          </w:p>
        </w:tc>
        <w:tc>
          <w:tcPr>
            <w:tcW w:w="9736" w:type="dxa"/>
          </w:tcPr>
          <w:p w:rsidR="00C62FEA" w:rsidRPr="00C62FEA" w:rsidRDefault="00C62FEA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F735A0" w:rsidRPr="00C62FEA" w:rsidTr="0055600F">
        <w:trPr>
          <w:trHeight w:val="301"/>
        </w:trPr>
        <w:tc>
          <w:tcPr>
            <w:tcW w:w="1134" w:type="dxa"/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6" w:type="dxa"/>
          </w:tcPr>
          <w:p w:rsidR="00F735A0" w:rsidRPr="00C62FEA" w:rsidRDefault="00F735A0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F735A0" w:rsidRPr="00C62FEA" w:rsidTr="0055600F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6" w:type="dxa"/>
          </w:tcPr>
          <w:p w:rsidR="00F735A0" w:rsidRPr="00C62FEA" w:rsidRDefault="00F735A0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F735A0" w:rsidRPr="00C62FEA" w:rsidTr="0055600F">
        <w:trPr>
          <w:trHeight w:val="57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36" w:type="dxa"/>
            <w:tcBorders>
              <w:bottom w:val="single" w:sz="4" w:space="0" w:color="auto"/>
            </w:tcBorders>
          </w:tcPr>
          <w:p w:rsidR="00F735A0" w:rsidRPr="00C62FEA" w:rsidRDefault="00F735A0" w:rsidP="007D3DD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  <w:tr w:rsidR="00F735A0" w:rsidRPr="00C62FEA" w:rsidTr="0055600F">
        <w:trPr>
          <w:trHeight w:val="5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Article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Study design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size (N)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Age range, years (Mean)</w:t>
            </w: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F735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Cognitive Vulnerability Category; Measurement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5A0" w:rsidRPr="00C62FEA" w:rsidRDefault="00F735A0" w:rsidP="00F735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Physiological Stress Response: Other</w:t>
            </w:r>
          </w:p>
        </w:tc>
        <w:tc>
          <w:tcPr>
            <w:tcW w:w="9736" w:type="dxa"/>
            <w:tcBorders>
              <w:top w:val="single" w:sz="4" w:space="0" w:color="auto"/>
              <w:bottom w:val="single" w:sz="4" w:space="0" w:color="auto"/>
            </w:tcBorders>
          </w:tcPr>
          <w:p w:rsidR="00F735A0" w:rsidRPr="00C62FEA" w:rsidRDefault="00F735A0" w:rsidP="00F735A0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US"/>
              </w:rPr>
              <w:t>Relationship Cognitive Vulnerability x Physiological Stress Response: other parameters than cortisol</w:t>
            </w:r>
          </w:p>
        </w:tc>
      </w:tr>
      <w:tr w:rsidR="00F735A0" w:rsidRPr="00C62FEA" w:rsidTr="00F735A0">
        <w:trPr>
          <w:trHeight w:val="57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Hilt and Pollak, 2013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– 14 (11.40)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rumination, cognitive biases (AB); </w:t>
            </w: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CRSQ, dot probe task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cardiac reactivity (BP)</w:t>
            </w:r>
          </w:p>
        </w:tc>
        <w:tc>
          <w:tcPr>
            <w:tcW w:w="9736" w:type="dxa"/>
            <w:tcBorders>
              <w:top w:val="single" w:sz="4" w:space="0" w:color="auto"/>
            </w:tcBorders>
          </w:tcPr>
          <w:p w:rsidR="00F735A0" w:rsidRPr="00C62FEA" w:rsidRDefault="00F735A0" w:rsidP="00F735A0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association between CV and SR not analysed</w:t>
            </w:r>
          </w:p>
        </w:tc>
      </w:tr>
      <w:tr w:rsidR="00F735A0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Lidle et al., 2021</w:t>
            </w:r>
          </w:p>
        </w:tc>
        <w:tc>
          <w:tcPr>
            <w:tcW w:w="698" w:type="dxa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9 - 13 (11.60)</w:t>
            </w:r>
          </w:p>
        </w:tc>
        <w:tc>
          <w:tcPr>
            <w:tcW w:w="1286" w:type="dxa"/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rumination; TQ-C</w:t>
            </w:r>
          </w:p>
        </w:tc>
        <w:tc>
          <w:tcPr>
            <w:tcW w:w="1179" w:type="dxa"/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SCL</w:t>
            </w:r>
          </w:p>
        </w:tc>
        <w:tc>
          <w:tcPr>
            <w:tcW w:w="9736" w:type="dxa"/>
          </w:tcPr>
          <w:p w:rsidR="00F735A0" w:rsidRPr="00C62FEA" w:rsidRDefault="00F735A0" w:rsidP="00F735A0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distraction condition (CV) associated with lower SCL (SR) compared to uninstructured rumination condition (F(1, 56)=7.13, p=0.010,  ηp 2=0.11)</w:t>
            </w:r>
          </w:p>
        </w:tc>
      </w:tr>
      <w:tr w:rsidR="00F735A0" w:rsidRPr="00C62FEA" w:rsidTr="007D3DD6">
        <w:trPr>
          <w:trHeight w:val="57"/>
        </w:trPr>
        <w:tc>
          <w:tcPr>
            <w:tcW w:w="1134" w:type="dxa"/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Hogue et al., 2020</w:t>
            </w:r>
          </w:p>
        </w:tc>
        <w:tc>
          <w:tcPr>
            <w:tcW w:w="698" w:type="dxa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RCT</w:t>
            </w:r>
          </w:p>
        </w:tc>
        <w:tc>
          <w:tcPr>
            <w:tcW w:w="709" w:type="dxa"/>
            <w:shd w:val="clear" w:color="auto" w:fill="auto"/>
            <w:noWrap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F735A0" w:rsidRPr="00C62FEA" w:rsidRDefault="00F735A0" w:rsidP="0051182D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NR (16.08)</w:t>
            </w:r>
          </w:p>
        </w:tc>
        <w:tc>
          <w:tcPr>
            <w:tcW w:w="1286" w:type="dxa"/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attributional Style; SSES</w:t>
            </w:r>
          </w:p>
        </w:tc>
        <w:tc>
          <w:tcPr>
            <w:tcW w:w="1179" w:type="dxa"/>
            <w:shd w:val="clear" w:color="auto" w:fill="auto"/>
          </w:tcPr>
          <w:p w:rsidR="00F735A0" w:rsidRPr="00C62FEA" w:rsidRDefault="00F735A0" w:rsidP="00847C56">
            <w:pPr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DHEA-S</w:t>
            </w:r>
          </w:p>
        </w:tc>
        <w:tc>
          <w:tcPr>
            <w:tcW w:w="9736" w:type="dxa"/>
          </w:tcPr>
          <w:p w:rsidR="00F735A0" w:rsidRPr="00C62FEA" w:rsidRDefault="00F735A0" w:rsidP="00F735A0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C62FEA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control group (CV) associated with rise in DHEA-S (SR), while PST group was not (F(4, 52) = 5.89, p &lt; .001, n2 = .102)</w:t>
            </w:r>
          </w:p>
        </w:tc>
      </w:tr>
    </w:tbl>
    <w:p w:rsidR="00C62FEA" w:rsidRPr="00C62FEA" w:rsidRDefault="00C62FEA" w:rsidP="00F735A0">
      <w:pPr>
        <w:pBdr>
          <w:top w:val="single" w:sz="4" w:space="1" w:color="auto"/>
        </w:pBdr>
        <w:ind w:right="-141"/>
        <w:rPr>
          <w:rFonts w:ascii="Times New Roman" w:hAnsi="Times New Roman" w:cs="Times New Roman"/>
          <w:sz w:val="16"/>
          <w:szCs w:val="20"/>
        </w:rPr>
      </w:pP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AB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Attentional Bias,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ABM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Attention Bias Modification,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ABT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Attention Bias Training,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ACSQ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Adolescent Cognitive Style Questionnaire,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BP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blood pressure,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CBM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Cognitive Bias Modification,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CBM-I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Cognitive Bias Modification of Interpretation,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CCSQ-S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Children’s Cognitive Style Questionnaire—Self implications subscale,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CDI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Children’s Depression Inventory,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CES-D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Center for Epidemiologic Studies Depression Scale,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CO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cardiac output,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CPQ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Cognitive Priming Questionnaire,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CRSQ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Children’s Response Style Questionnaire,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CSAS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Cognitive State Anxiety Scale – 2, </w:t>
      </w:r>
      <w:r w:rsidRPr="00C62FEA">
        <w:rPr>
          <w:rFonts w:ascii="Times New Roman" w:hAnsi="Times New Roman" w:cs="Times New Roman"/>
          <w:i/>
          <w:color w:val="000000"/>
          <w:sz w:val="16"/>
          <w:szCs w:val="20"/>
        </w:rPr>
        <w:t>CV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 xml:space="preserve"> Cognitive Vulnerability, 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 xml:space="preserve">DAS 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Dysfunctional Attitudes Scale, </w:t>
      </w:r>
      <w:r w:rsidRPr="00C62FEA">
        <w:rPr>
          <w:rFonts w:ascii="Times New Roman" w:hAnsi="Times New Roman" w:cs="Times New Roman"/>
          <w:i/>
          <w:sz w:val="16"/>
          <w:szCs w:val="16"/>
          <w:lang w:val="en-GB"/>
        </w:rPr>
        <w:t>DERS</w:t>
      </w:r>
      <w:r w:rsidRPr="00C62FEA">
        <w:rPr>
          <w:rFonts w:ascii="Times New Roman" w:hAnsi="Times New Roman" w:cs="Times New Roman"/>
          <w:sz w:val="16"/>
          <w:szCs w:val="16"/>
          <w:lang w:val="en-GB"/>
        </w:rPr>
        <w:t xml:space="preserve"> Difficulties In Emotion Regulation Scale, 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DHEA-S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Dehydroepiandrosterone-Sulfate,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DRS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Depression Self-Rating Scale,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ERS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Emotion Reactivity Scale,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ERQ-CA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Emotion Regulation Questionnaire for Children and Adolescents,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HSC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Hopelessness Scale for Children,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 xml:space="preserve"> IB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Interpretation Bias,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 xml:space="preserve"> MAACL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Multiple Affect Adjective Check List,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MFQ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Mood and Feelings Questionnaire,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NR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not reported,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PASA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Primary Appraisal / Secondary Appraisal Scale,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PEP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pre-ejection period,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PIQ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Particular Inferences Questionnaire,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 xml:space="preserve">PMT 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Peripheral Memory Test,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RMSSD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root mean square of successive differences,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RSA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respiratory sinus arrhythmia,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 xml:space="preserve">RSQ 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Responses to Stress Questionnaire,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sAA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salivary alpha amylase,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SCL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Skin Conductance Level,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SES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socioeconomic status, </w:t>
      </w:r>
      <w:r w:rsidRPr="00C62FEA">
        <w:rPr>
          <w:rFonts w:ascii="Times New Roman" w:hAnsi="Times New Roman" w:cs="Times New Roman"/>
          <w:i/>
          <w:color w:val="000000"/>
          <w:sz w:val="16"/>
          <w:szCs w:val="20"/>
        </w:rPr>
        <w:t>SR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 xml:space="preserve"> Stress Response, 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SRET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Self-Referent Encoding Task,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SSES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demand and resource appraisals,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TQ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Thoughts Questionnaire,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TQ-C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Thoughts Questionnaire for Children,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TPR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total peripheral resistance,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TSST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Trier Social Stress Test, </w:t>
      </w:r>
      <w:r w:rsidRPr="00C62FEA">
        <w:rPr>
          <w:rFonts w:ascii="Times New Roman" w:hAnsi="Times New Roman" w:cs="Times New Roman"/>
          <w:i/>
          <w:iCs/>
          <w:color w:val="000000"/>
          <w:sz w:val="16"/>
          <w:szCs w:val="20"/>
        </w:rPr>
        <w:t>VS</w:t>
      </w:r>
      <w:r w:rsidRPr="00C62FEA">
        <w:rPr>
          <w:rFonts w:ascii="Times New Roman" w:hAnsi="Times New Roman" w:cs="Times New Roman"/>
          <w:color w:val="000000"/>
          <w:sz w:val="16"/>
          <w:szCs w:val="20"/>
        </w:rPr>
        <w:t> Visual Search</w:t>
      </w:r>
    </w:p>
    <w:p w:rsidR="00C62FEA" w:rsidRPr="00C62FEA" w:rsidRDefault="00C62FEA" w:rsidP="00C62FEA">
      <w:pPr>
        <w:ind w:right="-283"/>
        <w:rPr>
          <w:rFonts w:ascii="Times New Roman" w:hAnsi="Times New Roman" w:cs="Times New Roman"/>
          <w:color w:val="000000"/>
          <w:sz w:val="16"/>
          <w:szCs w:val="20"/>
          <w:lang w:val="en-US"/>
        </w:rPr>
        <w:sectPr w:rsidR="00C62FEA" w:rsidRPr="00C62FEA" w:rsidSect="0018073A">
          <w:footerReference w:type="even" r:id="rId9"/>
          <w:footerReference w:type="default" r:id="rId10"/>
          <w:pgSz w:w="16838" w:h="11906" w:orient="landscape"/>
          <w:pgMar w:top="613" w:right="819" w:bottom="517" w:left="851" w:header="709" w:footer="331" w:gutter="0"/>
          <w:cols w:space="708"/>
          <w:docGrid w:linePitch="360"/>
        </w:sectPr>
      </w:pPr>
    </w:p>
    <w:p w:rsidR="00C62FEA" w:rsidRPr="00C62FEA" w:rsidRDefault="00C62FEA" w:rsidP="00C62FEA">
      <w:pPr>
        <w:rPr>
          <w:rFonts w:ascii="Times New Roman" w:hAnsi="Times New Roman" w:cs="Times New Roman"/>
          <w:lang w:val="en-GB"/>
        </w:rPr>
        <w:sectPr w:rsidR="00C62FEA" w:rsidRPr="00C62FEA" w:rsidSect="0005632C">
          <w:pgSz w:w="16840" w:h="11900" w:orient="landscape"/>
          <w:pgMar w:top="1418" w:right="1134" w:bottom="1418" w:left="1418" w:header="709" w:footer="709" w:gutter="0"/>
          <w:cols w:space="708"/>
          <w:titlePg/>
          <w:docGrid w:linePitch="326"/>
        </w:sectPr>
      </w:pPr>
    </w:p>
    <w:p w:rsidR="00086F96" w:rsidRPr="00C62FEA" w:rsidRDefault="00086F96">
      <w:pPr>
        <w:rPr>
          <w:rFonts w:ascii="Times New Roman" w:hAnsi="Times New Roman" w:cs="Times New Roman"/>
        </w:rPr>
      </w:pPr>
    </w:p>
    <w:sectPr w:rsidR="00086F96" w:rsidRPr="00C62FEA" w:rsidSect="00C62FEA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4738" w:rsidRDefault="00E74738" w:rsidP="00C62FEA">
      <w:r>
        <w:separator/>
      </w:r>
    </w:p>
  </w:endnote>
  <w:endnote w:type="continuationSeparator" w:id="0">
    <w:p w:rsidR="00E74738" w:rsidRDefault="00E74738" w:rsidP="00C62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.AppleSystemUIFont">
    <w:altName w:val="Cambria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1059137689"/>
      <w:docPartObj>
        <w:docPartGallery w:val="Page Numbers (Bottom of Page)"/>
        <w:docPartUnique/>
      </w:docPartObj>
    </w:sdtPr>
    <w:sdtContent>
      <w:p w:rsidR="00690C2D" w:rsidRDefault="00690C2D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690C2D" w:rsidRDefault="00690C2D" w:rsidP="00690C2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873156574"/>
      <w:docPartObj>
        <w:docPartGallery w:val="Page Numbers (Bottom of Page)"/>
        <w:docPartUnique/>
      </w:docPartObj>
    </w:sdtPr>
    <w:sdtContent>
      <w:p w:rsidR="00690C2D" w:rsidRDefault="00690C2D" w:rsidP="00831F8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690C2D" w:rsidRDefault="00690C2D" w:rsidP="00690C2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4738" w:rsidRDefault="00E74738" w:rsidP="00C62FEA">
      <w:r>
        <w:separator/>
      </w:r>
    </w:p>
  </w:footnote>
  <w:footnote w:type="continuationSeparator" w:id="0">
    <w:p w:rsidR="00E74738" w:rsidRDefault="00E74738" w:rsidP="00C62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6E84"/>
    <w:multiLevelType w:val="multilevel"/>
    <w:tmpl w:val="4022E6E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20168"/>
    <w:multiLevelType w:val="multilevel"/>
    <w:tmpl w:val="5DE0B510"/>
    <w:lvl w:ilvl="0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E2895"/>
    <w:multiLevelType w:val="multilevel"/>
    <w:tmpl w:val="0BBA4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F78D3"/>
    <w:multiLevelType w:val="multilevel"/>
    <w:tmpl w:val="2704185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12EF6"/>
    <w:multiLevelType w:val="multilevel"/>
    <w:tmpl w:val="98046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4A77A90"/>
    <w:multiLevelType w:val="multilevel"/>
    <w:tmpl w:val="6FC68B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630F2"/>
    <w:multiLevelType w:val="multilevel"/>
    <w:tmpl w:val="FF68FAC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6437E"/>
    <w:multiLevelType w:val="multilevel"/>
    <w:tmpl w:val="EB165214"/>
    <w:lvl w:ilvl="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72F95"/>
    <w:multiLevelType w:val="multilevel"/>
    <w:tmpl w:val="4CCA6594"/>
    <w:lvl w:ilvl="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4D252C2"/>
    <w:multiLevelType w:val="multilevel"/>
    <w:tmpl w:val="4FBEAED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78A236D"/>
    <w:multiLevelType w:val="multilevel"/>
    <w:tmpl w:val="AEAA3E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E0412"/>
    <w:multiLevelType w:val="multilevel"/>
    <w:tmpl w:val="B2EEF9C4"/>
    <w:lvl w:ilvl="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1B1B5E"/>
    <w:multiLevelType w:val="multilevel"/>
    <w:tmpl w:val="390E214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401FF"/>
    <w:multiLevelType w:val="multilevel"/>
    <w:tmpl w:val="9A4A9C3C"/>
    <w:lvl w:ilvl="0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27EB2"/>
    <w:multiLevelType w:val="multilevel"/>
    <w:tmpl w:val="9002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BB97226"/>
    <w:multiLevelType w:val="multilevel"/>
    <w:tmpl w:val="E0E8C79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47DC3"/>
    <w:multiLevelType w:val="multilevel"/>
    <w:tmpl w:val="EEAAB0A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06BB6"/>
    <w:multiLevelType w:val="multilevel"/>
    <w:tmpl w:val="CE505B10"/>
    <w:lvl w:ilvl="0">
      <w:numFmt w:val="decimal"/>
      <w:pStyle w:val="Verzeichnis1"/>
      <w:lvlText w:val="%1."/>
      <w:lvlJc w:val="left"/>
      <w:pPr>
        <w:ind w:left="22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lvlText w:val="%1.%2."/>
      <w:lvlJc w:val="left"/>
      <w:pPr>
        <w:ind w:left="652" w:hanging="432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0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0" w:hanging="1440"/>
      </w:pPr>
      <w:rPr>
        <w:rFonts w:hint="default"/>
      </w:rPr>
    </w:lvl>
  </w:abstractNum>
  <w:abstractNum w:abstractNumId="18" w15:restartNumberingAfterBreak="0">
    <w:nsid w:val="4B18234A"/>
    <w:multiLevelType w:val="multilevel"/>
    <w:tmpl w:val="0074D99A"/>
    <w:lvl w:ilvl="0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32C7E"/>
    <w:multiLevelType w:val="multilevel"/>
    <w:tmpl w:val="7696E436"/>
    <w:lvl w:ilvl="0">
      <w:start w:val="1"/>
      <w:numFmt w:val="decimal"/>
      <w:pStyle w:val="Verzeichnis2"/>
      <w:lvlText w:val="%1."/>
      <w:lvlJc w:val="left"/>
      <w:pPr>
        <w:ind w:left="44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isLgl/>
      <w:lvlText w:val="%1.%2."/>
      <w:lvlJc w:val="left"/>
      <w:pPr>
        <w:ind w:left="872" w:hanging="418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20" w15:restartNumberingAfterBreak="0">
    <w:nsid w:val="52D57860"/>
    <w:multiLevelType w:val="multilevel"/>
    <w:tmpl w:val="A7AE6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04B13"/>
    <w:multiLevelType w:val="multilevel"/>
    <w:tmpl w:val="C354EC6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040D42"/>
    <w:multiLevelType w:val="multilevel"/>
    <w:tmpl w:val="7D50F6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027BD"/>
    <w:multiLevelType w:val="multilevel"/>
    <w:tmpl w:val="5E56994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12EA9"/>
    <w:multiLevelType w:val="multilevel"/>
    <w:tmpl w:val="5908F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15A7A20"/>
    <w:multiLevelType w:val="multilevel"/>
    <w:tmpl w:val="D8D29864"/>
    <w:lvl w:ilvl="0">
      <w:start w:val="1"/>
      <w:numFmt w:val="decimal"/>
      <w:lvlText w:val="%1."/>
      <w:lvlJc w:val="left"/>
      <w:pPr>
        <w:ind w:left="44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isLgl/>
      <w:lvlText w:val="%1.%2."/>
      <w:lvlJc w:val="left"/>
      <w:pPr>
        <w:ind w:left="872" w:hanging="418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3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00" w:hanging="1440"/>
      </w:pPr>
      <w:rPr>
        <w:rFonts w:hint="default"/>
      </w:rPr>
    </w:lvl>
  </w:abstractNum>
  <w:abstractNum w:abstractNumId="26" w15:restartNumberingAfterBreak="0">
    <w:nsid w:val="6EC305C0"/>
    <w:multiLevelType w:val="multilevel"/>
    <w:tmpl w:val="6FE651E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F6225"/>
    <w:multiLevelType w:val="multilevel"/>
    <w:tmpl w:val="BFEE8872"/>
    <w:lvl w:ilvl="0">
      <w:numFmt w:val="decimal"/>
      <w:lvlText w:val="%1."/>
      <w:lvlJc w:val="left"/>
      <w:pPr>
        <w:ind w:left="220" w:hanging="220"/>
      </w:pPr>
      <w:rPr>
        <w:rFonts w:ascii="Arial" w:hAnsi="Arial" w:hint="default"/>
        <w:b/>
        <w:i w:val="0"/>
        <w:caps w:val="0"/>
        <w:vanish w:val="0"/>
        <w:sz w:val="22"/>
      </w:rPr>
    </w:lvl>
    <w:lvl w:ilvl="1">
      <w:start w:val="1"/>
      <w:numFmt w:val="decimal"/>
      <w:lvlText w:val="%1.%2."/>
      <w:lvlJc w:val="left"/>
      <w:pPr>
        <w:ind w:left="652" w:hanging="432"/>
      </w:pPr>
      <w:rPr>
        <w:rFonts w:ascii="Arial" w:hAnsi="Arial" w:hint="default"/>
        <w:b w:val="0"/>
        <w:i w:val="0"/>
        <w:caps w:val="0"/>
        <w:sz w:val="22"/>
      </w:rPr>
    </w:lvl>
    <w:lvl w:ilvl="2">
      <w:start w:val="1"/>
      <w:numFmt w:val="decimal"/>
      <w:lvlText w:val="%1.%2.%3."/>
      <w:lvlJc w:val="left"/>
      <w:pPr>
        <w:ind w:left="10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0" w:hanging="1440"/>
      </w:pPr>
      <w:rPr>
        <w:rFonts w:hint="default"/>
      </w:rPr>
    </w:lvl>
  </w:abstractNum>
  <w:abstractNum w:abstractNumId="28" w15:restartNumberingAfterBreak="0">
    <w:nsid w:val="745E0E53"/>
    <w:multiLevelType w:val="multilevel"/>
    <w:tmpl w:val="64B27AC0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4"/>
  </w:num>
  <w:num w:numId="3">
    <w:abstractNumId w:val="24"/>
  </w:num>
  <w:num w:numId="4">
    <w:abstractNumId w:val="24"/>
  </w:num>
  <w:num w:numId="5">
    <w:abstractNumId w:val="14"/>
  </w:num>
  <w:num w:numId="6">
    <w:abstractNumId w:val="17"/>
  </w:num>
  <w:num w:numId="7">
    <w:abstractNumId w:val="19"/>
  </w:num>
  <w:num w:numId="8">
    <w:abstractNumId w:val="9"/>
  </w:num>
  <w:num w:numId="9">
    <w:abstractNumId w:val="4"/>
  </w:num>
  <w:num w:numId="10">
    <w:abstractNumId w:val="27"/>
  </w:num>
  <w:num w:numId="11">
    <w:abstractNumId w:val="25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22"/>
  </w:num>
  <w:num w:numId="17">
    <w:abstractNumId w:val="20"/>
  </w:num>
  <w:num w:numId="18">
    <w:abstractNumId w:val="15"/>
  </w:num>
  <w:num w:numId="19">
    <w:abstractNumId w:val="0"/>
  </w:num>
  <w:num w:numId="20">
    <w:abstractNumId w:val="10"/>
  </w:num>
  <w:num w:numId="21">
    <w:abstractNumId w:val="2"/>
  </w:num>
  <w:num w:numId="22">
    <w:abstractNumId w:val="26"/>
  </w:num>
  <w:num w:numId="23">
    <w:abstractNumId w:val="28"/>
  </w:num>
  <w:num w:numId="24">
    <w:abstractNumId w:val="23"/>
  </w:num>
  <w:num w:numId="25">
    <w:abstractNumId w:val="1"/>
  </w:num>
  <w:num w:numId="26">
    <w:abstractNumId w:val="12"/>
  </w:num>
  <w:num w:numId="27">
    <w:abstractNumId w:val="11"/>
  </w:num>
  <w:num w:numId="28">
    <w:abstractNumId w:val="21"/>
  </w:num>
  <w:num w:numId="29">
    <w:abstractNumId w:val="3"/>
  </w:num>
  <w:num w:numId="30">
    <w:abstractNumId w:val="18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EA"/>
    <w:rsid w:val="00086F96"/>
    <w:rsid w:val="002F6F35"/>
    <w:rsid w:val="004E5375"/>
    <w:rsid w:val="0051182D"/>
    <w:rsid w:val="0055600F"/>
    <w:rsid w:val="00557E2C"/>
    <w:rsid w:val="00686B44"/>
    <w:rsid w:val="00690C2D"/>
    <w:rsid w:val="006A0C0A"/>
    <w:rsid w:val="00847C56"/>
    <w:rsid w:val="00856338"/>
    <w:rsid w:val="0090186D"/>
    <w:rsid w:val="00A6095F"/>
    <w:rsid w:val="00C62FEA"/>
    <w:rsid w:val="00CE1DCF"/>
    <w:rsid w:val="00E74738"/>
    <w:rsid w:val="00F72CB7"/>
    <w:rsid w:val="00F7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83BE0F"/>
  <w14:defaultImageDpi w14:val="32767"/>
  <w15:chartTrackingRefBased/>
  <w15:docId w15:val="{B035CFE6-4C60-1E49-B112-C2B63F72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Plain Table 4" w:uiPriority="44"/>
    <w:lsdException w:name="Plain Table 5" w:uiPriority="45"/>
    <w:lsdException w:name="Grid Table Light" w:uiPriority="59"/>
    <w:lsdException w:name="Grid Table 1 Light" w:uiPriority="46"/>
    <w:lsdException w:name="Grid Table 4" w:uiPriority="59"/>
    <w:lsdException w:name="Grid Table 4 Accent 1" w:uiPriority="5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4 Accent 2" w:uiPriority="59"/>
    <w:lsdException w:name="Grid Table 6 Colorful Accent 2" w:uiPriority="51"/>
    <w:lsdException w:name="Grid Table 7 Colorful Accent 2" w:uiPriority="52"/>
    <w:lsdException w:name="Grid Table 4 Accent 3" w:uiPriority="59"/>
    <w:lsdException w:name="Grid Table 6 Colorful Accent 3" w:uiPriority="51"/>
    <w:lsdException w:name="Grid Table 7 Colorful Accent 3" w:uiPriority="52"/>
    <w:lsdException w:name="Grid Table 4 Accent 4" w:uiPriority="5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4 Accent 5" w:uiPriority="59"/>
    <w:lsdException w:name="Grid Table 6 Colorful Accent 5" w:uiPriority="51"/>
    <w:lsdException w:name="Grid Table 7 Colorful Accent 5" w:uiPriority="52"/>
    <w:lsdException w:name="Grid Table 4 Accent 6" w:uiPriority="59"/>
    <w:lsdException w:name="Grid Table 6 Colorful Accent 6" w:uiPriority="51"/>
    <w:lsdException w:name="Grid Table 7 Colorful Accent 6" w:uiPriority="52"/>
    <w:lsdException w:name="List Table 6 Colorful Accent 1" w:uiPriority="51"/>
    <w:lsdException w:name="List Table 7 Colorful Accent 1" w:uiPriority="52"/>
    <w:lsdException w:name="List Table 6 Colorful Accent 2" w:uiPriority="51"/>
    <w:lsdException w:name="List Table 7 Colorful Accent 2" w:uiPriority="52"/>
    <w:lsdException w:name="List Table 6 Colorful Accent 3" w:uiPriority="51"/>
    <w:lsdException w:name="List Table 7 Colorful Accent 3" w:uiPriority="52"/>
    <w:lsdException w:name="List Table 6 Colorful Accent 4" w:uiPriority="51"/>
    <w:lsdException w:name="List Table 7 Colorful Accent 4" w:uiPriority="52"/>
    <w:lsdException w:name="List Table 6 Colorful Accent 5" w:uiPriority="51"/>
    <w:lsdException w:name="List Table 7 Colorful Accent 5" w:uiPriority="52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856338"/>
    <w:pPr>
      <w:jc w:val="both"/>
    </w:pPr>
    <w:rPr>
      <w:rFonts w:ascii="Arial" w:eastAsiaTheme="minorEastAsia" w:hAnsi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86B44"/>
    <w:pPr>
      <w:keepNext/>
      <w:keepLines/>
      <w:pBdr>
        <w:bottom w:val="single" w:sz="4" w:space="1" w:color="auto"/>
      </w:pBdr>
      <w:spacing w:before="120" w:line="360" w:lineRule="auto"/>
      <w:outlineLvl w:val="0"/>
    </w:pPr>
    <w:rPr>
      <w:rFonts w:eastAsiaTheme="majorEastAsia" w:cs="Arial"/>
      <w:b/>
      <w:bCs/>
      <w:sz w:val="24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56338"/>
    <w:pPr>
      <w:keepNext/>
      <w:keepLines/>
      <w:spacing w:before="120" w:after="120"/>
      <w:ind w:left="708"/>
      <w:outlineLvl w:val="1"/>
    </w:pPr>
    <w:rPr>
      <w:rFonts w:eastAsiaTheme="majorEastAsia" w:cs="Times New Roman (Überschriften"/>
      <w:b/>
      <w:bCs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856338"/>
    <w:pPr>
      <w:keepNext/>
      <w:keepLines/>
      <w:numPr>
        <w:ilvl w:val="2"/>
        <w:numId w:val="4"/>
      </w:numPr>
      <w:spacing w:before="80" w:after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856338"/>
    <w:pPr>
      <w:keepNext/>
      <w:keepLines/>
      <w:numPr>
        <w:ilvl w:val="3"/>
        <w:numId w:val="5"/>
      </w:numPr>
      <w:spacing w:before="200"/>
      <w:ind w:left="864" w:hanging="864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62FEA"/>
    <w:pPr>
      <w:keepNext/>
      <w:keepLines/>
      <w:spacing w:before="80" w:after="40"/>
      <w:jc w:val="left"/>
      <w:outlineLvl w:val="4"/>
    </w:pPr>
    <w:rPr>
      <w:rFonts w:eastAsia="Arial" w:cs="Arial"/>
      <w:color w:val="2F5496" w:themeColor="accent1" w:themeShade="B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62FEA"/>
    <w:pPr>
      <w:keepNext/>
      <w:keepLines/>
      <w:spacing w:before="40"/>
      <w:jc w:val="left"/>
      <w:outlineLvl w:val="5"/>
    </w:pPr>
    <w:rPr>
      <w:rFonts w:eastAsia="Arial" w:cs="Arial"/>
      <w:i/>
      <w:iCs/>
      <w:color w:val="595959" w:themeColor="text1" w:themeTint="A6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C62FEA"/>
    <w:pPr>
      <w:keepNext/>
      <w:keepLines/>
      <w:spacing w:before="40"/>
      <w:jc w:val="left"/>
      <w:outlineLvl w:val="6"/>
    </w:pPr>
    <w:rPr>
      <w:rFonts w:eastAsia="Arial" w:cs="Arial"/>
      <w:color w:val="595959" w:themeColor="text1" w:themeTint="A6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C62FEA"/>
    <w:pPr>
      <w:keepNext/>
      <w:keepLines/>
      <w:jc w:val="left"/>
      <w:outlineLvl w:val="7"/>
    </w:pPr>
    <w:rPr>
      <w:rFonts w:eastAsia="Arial" w:cs="Arial"/>
      <w:i/>
      <w:iCs/>
      <w:color w:val="272727" w:themeColor="text1" w:themeTint="D8"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C62FEA"/>
    <w:pPr>
      <w:keepNext/>
      <w:keepLines/>
      <w:jc w:val="left"/>
      <w:outlineLvl w:val="8"/>
    </w:pPr>
    <w:rPr>
      <w:rFonts w:eastAsia="Arial" w:cs="Arial"/>
      <w:i/>
      <w:iCs/>
      <w:color w:val="272727" w:themeColor="text1" w:themeTint="D8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86B44"/>
    <w:rPr>
      <w:rFonts w:ascii="Arial" w:eastAsiaTheme="majorEastAsia" w:hAnsi="Arial" w:cs="Arial"/>
      <w:b/>
      <w:bCs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6338"/>
    <w:rPr>
      <w:rFonts w:ascii="Arial" w:eastAsiaTheme="majorEastAsia" w:hAnsi="Arial" w:cs="Times New Roman (Überschriften"/>
      <w:b/>
      <w:bCs/>
      <w:sz w:val="2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6338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56338"/>
    <w:rPr>
      <w:rFonts w:ascii="Arial" w:eastAsiaTheme="majorEastAsia" w:hAnsi="Arial" w:cstheme="majorBidi"/>
      <w:b/>
      <w:bCs/>
      <w:i/>
      <w:iCs/>
    </w:rPr>
  </w:style>
  <w:style w:type="paragraph" w:styleId="Inhaltsverzeichnisberschrift">
    <w:name w:val="TOC Heading"/>
    <w:basedOn w:val="berschrift1"/>
    <w:next w:val="Standard"/>
    <w:autoRedefine/>
    <w:uiPriority w:val="39"/>
    <w:unhideWhenUsed/>
    <w:qFormat/>
    <w:rsid w:val="00856338"/>
    <w:pPr>
      <w:spacing w:line="276" w:lineRule="auto"/>
      <w:jc w:val="left"/>
      <w:outlineLvl w:val="9"/>
    </w:pPr>
    <w:rPr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6A0C0A"/>
    <w:pPr>
      <w:numPr>
        <w:numId w:val="6"/>
      </w:numPr>
      <w:spacing w:before="120" w:line="360" w:lineRule="auto"/>
      <w:jc w:val="left"/>
    </w:pPr>
    <w:rPr>
      <w:rFonts w:cstheme="minorHAnsi"/>
      <w:b/>
      <w:bCs/>
      <w:iCs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6A0C0A"/>
    <w:pPr>
      <w:numPr>
        <w:numId w:val="7"/>
      </w:numPr>
      <w:spacing w:before="120" w:line="360" w:lineRule="auto"/>
      <w:jc w:val="left"/>
    </w:pPr>
    <w:rPr>
      <w:rFonts w:cstheme="minorHAnsi"/>
      <w:bCs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62FEA"/>
    <w:rPr>
      <w:rFonts w:ascii="Arial" w:eastAsia="Arial" w:hAnsi="Arial" w:cs="Arial"/>
      <w:color w:val="2F5496" w:themeColor="accent1" w:themeShade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62FEA"/>
    <w:rPr>
      <w:rFonts w:ascii="Arial" w:eastAsia="Arial" w:hAnsi="Arial" w:cs="Arial"/>
      <w:i/>
      <w:iCs/>
      <w:color w:val="595959" w:themeColor="text1" w:themeTint="A6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62FEA"/>
    <w:rPr>
      <w:rFonts w:ascii="Arial" w:eastAsia="Arial" w:hAnsi="Arial" w:cs="Arial"/>
      <w:color w:val="595959" w:themeColor="text1" w:themeTint="A6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62FEA"/>
    <w:rPr>
      <w:rFonts w:ascii="Arial" w:eastAsia="Arial" w:hAnsi="Arial" w:cs="Arial"/>
      <w:i/>
      <w:iCs/>
      <w:color w:val="272727" w:themeColor="text1" w:themeTint="D8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62FEA"/>
    <w:rPr>
      <w:rFonts w:ascii="Arial" w:eastAsia="Arial" w:hAnsi="Arial" w:cs="Arial"/>
      <w:i/>
      <w:iCs/>
      <w:color w:val="272727" w:themeColor="text1" w:themeTint="D8"/>
      <w:lang w:eastAsia="de-DE"/>
    </w:rPr>
  </w:style>
  <w:style w:type="table" w:styleId="TabellemithellemGitternetz">
    <w:name w:val="Grid Table Light"/>
    <w:basedOn w:val="NormaleTabelle"/>
    <w:uiPriority w:val="59"/>
    <w:rsid w:val="00C62F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itternetztabelle1hellAkzent1">
    <w:name w:val="Grid Table 1 Light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itternetztabelle1hellAkzent3">
    <w:name w:val="Grid Table 1 Light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itternetztabelle1hellAkzent4">
    <w:name w:val="Grid Table 1 Light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itternetztabelle1hellAkzent5">
    <w:name w:val="Grid Table 1 Light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itternetztabelle1hellAkzent6">
    <w:name w:val="Grid Table 1 Light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Akzent1">
    <w:name w:val="Grid Table 2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itternetztabelle2Akzent2">
    <w:name w:val="Grid Table 2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2Akzent3">
    <w:name w:val="Grid Table 2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2Akzent4">
    <w:name w:val="Grid Table 2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2Akzent5">
    <w:name w:val="Grid Table 2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2Akzent6">
    <w:name w:val="Grid Table 2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Akzent1">
    <w:name w:val="Grid Table 3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itternetztabelle3Akzent2">
    <w:name w:val="Grid Table 3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3Akzent3">
    <w:name w:val="Grid Table 3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3Akzent4">
    <w:name w:val="Grid Table 3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3Akzent5">
    <w:name w:val="Grid Table 3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3Akzent6">
    <w:name w:val="Grid Table 3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Akzent1">
    <w:name w:val="Grid Table 4 Accent 1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itternetztabelle4Akzent2">
    <w:name w:val="Grid Table 4 Accent 2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itternetztabelle4Akzent3">
    <w:name w:val="Grid Table 4 Accent 3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itternetztabelle4Akzent4">
    <w:name w:val="Grid Table 4 Accent 4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itternetztabelle4Akzent5">
    <w:name w:val="Grid Table 4 Accent 5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itternetztabelle4Akzent6">
    <w:name w:val="Grid Table 4 Accent 6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Akzent2">
    <w:name w:val="Grid Table 5 Dark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itternetztabelle5dunkelAkzent3">
    <w:name w:val="Grid Table 5 Dark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itternetztabelle5dunkelAkzent5">
    <w:name w:val="Grid Table 5 Dark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itternetztabelle5dunkelAkzent6">
    <w:name w:val="Grid Table 5 Dark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Listentabelle1hellAkzent1">
    <w:name w:val="List Table 1 Light Accent 1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1hellAkzent2">
    <w:name w:val="List Table 1 Light Accent 2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1hellAkzent3">
    <w:name w:val="List Table 1 Light Accent 3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1hellAkzent4">
    <w:name w:val="List Table 1 Light Accent 4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1hellAkzent5">
    <w:name w:val="List Table 1 Light Accent 5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1hellAkzent6">
    <w:name w:val="List Table 1 Light Accent 6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Akzent1">
    <w:name w:val="List Table 2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2Akzent2">
    <w:name w:val="List Table 2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2Akzent3">
    <w:name w:val="List Table 2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2Akzent4">
    <w:name w:val="List Table 2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2Akzent5">
    <w:name w:val="List Table 2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2Akzent6">
    <w:name w:val="List Table 2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Akzent1">
    <w:name w:val="List Table 3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entabelle3Akzent2">
    <w:name w:val="List Table 3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entabelle3Akzent3">
    <w:name w:val="List Table 3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entabelle3Akzent4">
    <w:name w:val="List Table 3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entabelle3Akzent5">
    <w:name w:val="List Table 3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entabelle3Akzent6">
    <w:name w:val="List Table 3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Akzent1">
    <w:name w:val="List Table 4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entabelle4Akzent2">
    <w:name w:val="List Table 4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entabelle4Akzent3">
    <w:name w:val="List Table 4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entabelle4Akzent4">
    <w:name w:val="List Table 4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entabelle4Akzent5">
    <w:name w:val="List Table 4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entabelle4Akzent6">
    <w:name w:val="List Table 4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Akzent1">
    <w:name w:val="List Table 5 Dark Accent 1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entabelle5dunkelAkzent2">
    <w:name w:val="List Table 5 Dark Accent 2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entabelle5dunkelAkzent3">
    <w:name w:val="List Table 5 Dark Accent 3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entabelle5dunkelAkzent4">
    <w:name w:val="List Table 5 Dark Accent 4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entabelle5dunkelAkzent5">
    <w:name w:val="List Table 5 Dark Accent 5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entabelle5dunkelAkzent6">
    <w:name w:val="List Table 5 Dark Accent 6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Heading5Char">
    <w:name w:val="Heading 5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bsatz-Standardschriftart"/>
    <w:uiPriority w:val="9"/>
    <w:rsid w:val="00C62FE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sid w:val="00C62FEA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sid w:val="00C62FE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sid w:val="00C62FE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sid w:val="00C62FEA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sid w:val="00C62FEA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sid w:val="00C62FEA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sid w:val="00C62FEA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Absatz-Standardschriftart"/>
    <w:uiPriority w:val="99"/>
    <w:semiHidden/>
    <w:rsid w:val="00C62FEA"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sid w:val="00C62FEA"/>
    <w:rPr>
      <w:sz w:val="20"/>
      <w:szCs w:val="20"/>
    </w:rPr>
  </w:style>
  <w:style w:type="table" w:styleId="Tabellenraster">
    <w:name w:val="Table Grid"/>
    <w:basedOn w:val="NormaleTabelle"/>
    <w:uiPriority w:val="59"/>
    <w:rsid w:val="00C62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EinfacheTabelle1">
    <w:name w:val="Plain Table 1"/>
    <w:basedOn w:val="NormaleTabelle"/>
    <w:uiPriority w:val="59"/>
    <w:rsid w:val="00C62FE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rsid w:val="00C62FE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itternetztabelle2">
    <w:name w:val="Grid Table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3">
    <w:name w:val="Grid Table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4">
    <w:name w:val="Grid Table 4"/>
    <w:basedOn w:val="NormaleTabelle"/>
    <w:uiPriority w:val="59"/>
    <w:rsid w:val="00C62FE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itternetztabelle5dunkel">
    <w:name w:val="Grid Table 5 Dark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itternetztabelle6farbig">
    <w:name w:val="Grid Table 6 Colorful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rsid w:val="00C62FEA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rsid w:val="00C62FE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entabelle2">
    <w:name w:val="List Table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3">
    <w:name w:val="List Table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entabelle4">
    <w:name w:val="List Table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entabelle5dunkel">
    <w:name w:val="List Table 5 Dark"/>
    <w:basedOn w:val="NormaleTabelle"/>
    <w:uiPriority w:val="99"/>
    <w:rsid w:val="00C62FE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entabelle6farbig">
    <w:name w:val="List Table 6 Colorful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rsid w:val="00C62FEA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sid w:val="00C62FEA"/>
    <w:rPr>
      <w:color w:val="404040"/>
      <w:sz w:val="20"/>
      <w:szCs w:val="20"/>
      <w:lang w:val="en-AU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rsid w:val="00C62FEA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sid w:val="00C62FEA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sid w:val="00C62FEA"/>
    <w:rPr>
      <w:rFonts w:ascii="Arial" w:eastAsia="Arial" w:hAnsi="Arial" w:cs="Arial"/>
      <w:i/>
      <w:iCs/>
      <w:color w:val="2F5496" w:themeColor="accent1" w:themeShade="BF"/>
    </w:rPr>
  </w:style>
  <w:style w:type="paragraph" w:styleId="Titel">
    <w:name w:val="Title"/>
    <w:basedOn w:val="Standard"/>
    <w:next w:val="Standard"/>
    <w:link w:val="TitelZchn"/>
    <w:uiPriority w:val="10"/>
    <w:qFormat/>
    <w:rsid w:val="00C62FEA"/>
    <w:pPr>
      <w:spacing w:after="80"/>
      <w:contextualSpacing/>
      <w:jc w:val="left"/>
    </w:pPr>
    <w:rPr>
      <w:rFonts w:eastAsia="Arial" w:cs="Arial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62FEA"/>
    <w:rPr>
      <w:rFonts w:ascii="Arial" w:eastAsia="Arial" w:hAnsi="Arial" w:cs="Arial"/>
      <w:spacing w:val="-10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2FEA"/>
    <w:pPr>
      <w:numPr>
        <w:ilvl w:val="1"/>
      </w:numPr>
      <w:jc w:val="left"/>
    </w:pPr>
    <w:rPr>
      <w:rFonts w:ascii="Times New Roman" w:eastAsia="Times New Roman" w:hAnsi="Times New Roman" w:cs="Times New Roman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2FEA"/>
    <w:rPr>
      <w:rFonts w:ascii="Times New Roman" w:eastAsia="Times New Roman" w:hAnsi="Times New Roman" w:cs="Times New Roman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C62FEA"/>
    <w:pPr>
      <w:spacing w:before="16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</w:rPr>
  </w:style>
  <w:style w:type="character" w:customStyle="1" w:styleId="ZitatZchn">
    <w:name w:val="Zitat Zchn"/>
    <w:basedOn w:val="Absatz-Standardschriftart"/>
    <w:link w:val="Zitat"/>
    <w:uiPriority w:val="29"/>
    <w:rsid w:val="00C62FEA"/>
    <w:rPr>
      <w:rFonts w:ascii="Times New Roman" w:eastAsia="Times New Roman" w:hAnsi="Times New Roman" w:cs="Times New Roman"/>
      <w:i/>
      <w:iCs/>
      <w:color w:val="404040" w:themeColor="text1" w:themeTint="BF"/>
      <w:lang w:eastAsia="de-DE"/>
    </w:rPr>
  </w:style>
  <w:style w:type="character" w:styleId="IntensiveHervorhebung">
    <w:name w:val="Intense Emphasis"/>
    <w:basedOn w:val="Absatz-Standardschriftart"/>
    <w:uiPriority w:val="21"/>
    <w:qFormat/>
    <w:rsid w:val="00C62FEA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2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2F5496" w:themeColor="accent1" w:themeShade="BF"/>
      <w:sz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2FEA"/>
    <w:rPr>
      <w:rFonts w:ascii="Times New Roman" w:eastAsia="Times New Roman" w:hAnsi="Times New Roman" w:cs="Times New Roman"/>
      <w:i/>
      <w:iCs/>
      <w:color w:val="2F5496" w:themeColor="accent1" w:themeShade="BF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C62FEA"/>
    <w:rPr>
      <w:b/>
      <w:bCs/>
      <w:smallCaps/>
      <w:color w:val="2F5496" w:themeColor="accent1" w:themeShade="BF"/>
      <w:spacing w:val="5"/>
    </w:rPr>
  </w:style>
  <w:style w:type="paragraph" w:styleId="KeinLeerraum">
    <w:name w:val="No Spacing"/>
    <w:basedOn w:val="Standard"/>
    <w:uiPriority w:val="1"/>
    <w:qFormat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styleId="SchwacheHervorhebung">
    <w:name w:val="Subtle Emphasis"/>
    <w:basedOn w:val="Absatz-Standardschriftart"/>
    <w:uiPriority w:val="19"/>
    <w:qFormat/>
    <w:rsid w:val="00C62FEA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C62FEA"/>
    <w:rPr>
      <w:i/>
      <w:iCs/>
    </w:rPr>
  </w:style>
  <w:style w:type="character" w:styleId="Fett">
    <w:name w:val="Strong"/>
    <w:basedOn w:val="Absatz-Standardschriftart"/>
    <w:uiPriority w:val="22"/>
    <w:qFormat/>
    <w:rsid w:val="00C62FEA"/>
    <w:rPr>
      <w:b/>
      <w:bCs/>
    </w:rPr>
  </w:style>
  <w:style w:type="character" w:styleId="SchwacherVerweis">
    <w:name w:val="Subtle Reference"/>
    <w:basedOn w:val="Absatz-Standardschriftart"/>
    <w:uiPriority w:val="31"/>
    <w:qFormat/>
    <w:rsid w:val="00C62FEA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C62FEA"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  <w:rsid w:val="00C62FEA"/>
  </w:style>
  <w:style w:type="character" w:customStyle="1" w:styleId="FooterChar">
    <w:name w:val="Footer Char"/>
    <w:basedOn w:val="Absatz-Standardschriftart"/>
    <w:uiPriority w:val="99"/>
    <w:rsid w:val="00C62FEA"/>
  </w:style>
  <w:style w:type="paragraph" w:styleId="Beschriftung">
    <w:name w:val="caption"/>
    <w:basedOn w:val="Standard"/>
    <w:next w:val="Standard"/>
    <w:uiPriority w:val="35"/>
    <w:unhideWhenUsed/>
    <w:qFormat/>
    <w:rsid w:val="00C62FEA"/>
    <w:pPr>
      <w:spacing w:after="200"/>
      <w:jc w:val="left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2FE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62FEA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62FE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C62FEA"/>
    <w:rPr>
      <w:vertAlign w:val="superscript"/>
    </w:rPr>
  </w:style>
  <w:style w:type="paragraph" w:styleId="Verzeichnis3">
    <w:name w:val="toc 3"/>
    <w:basedOn w:val="Standard"/>
    <w:next w:val="Standard"/>
    <w:uiPriority w:val="39"/>
    <w:unhideWhenUsed/>
    <w:rsid w:val="00C62FEA"/>
    <w:pPr>
      <w:spacing w:after="100"/>
      <w:ind w:left="44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4">
    <w:name w:val="toc 4"/>
    <w:basedOn w:val="Standard"/>
    <w:next w:val="Standard"/>
    <w:uiPriority w:val="39"/>
    <w:unhideWhenUsed/>
    <w:rsid w:val="00C62FEA"/>
    <w:pPr>
      <w:spacing w:after="100"/>
      <w:ind w:left="66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5">
    <w:name w:val="toc 5"/>
    <w:basedOn w:val="Standard"/>
    <w:next w:val="Standard"/>
    <w:uiPriority w:val="39"/>
    <w:unhideWhenUsed/>
    <w:rsid w:val="00C62FEA"/>
    <w:pPr>
      <w:spacing w:after="100"/>
      <w:ind w:left="88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6">
    <w:name w:val="toc 6"/>
    <w:basedOn w:val="Standard"/>
    <w:next w:val="Standard"/>
    <w:uiPriority w:val="39"/>
    <w:unhideWhenUsed/>
    <w:rsid w:val="00C62FEA"/>
    <w:pPr>
      <w:spacing w:after="100"/>
      <w:ind w:left="110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7">
    <w:name w:val="toc 7"/>
    <w:basedOn w:val="Standard"/>
    <w:next w:val="Standard"/>
    <w:uiPriority w:val="39"/>
    <w:unhideWhenUsed/>
    <w:rsid w:val="00C62FEA"/>
    <w:pPr>
      <w:spacing w:after="100"/>
      <w:ind w:left="132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8">
    <w:name w:val="toc 8"/>
    <w:basedOn w:val="Standard"/>
    <w:next w:val="Standard"/>
    <w:uiPriority w:val="39"/>
    <w:unhideWhenUsed/>
    <w:rsid w:val="00C62FEA"/>
    <w:pPr>
      <w:spacing w:after="100"/>
      <w:ind w:left="1540"/>
      <w:jc w:val="left"/>
    </w:pPr>
    <w:rPr>
      <w:rFonts w:ascii="Times New Roman" w:eastAsia="Times New Roman" w:hAnsi="Times New Roman" w:cs="Times New Roman"/>
      <w:sz w:val="24"/>
    </w:rPr>
  </w:style>
  <w:style w:type="paragraph" w:styleId="Verzeichnis9">
    <w:name w:val="toc 9"/>
    <w:basedOn w:val="Standard"/>
    <w:next w:val="Standard"/>
    <w:uiPriority w:val="39"/>
    <w:unhideWhenUsed/>
    <w:rsid w:val="00C62FEA"/>
    <w:pPr>
      <w:spacing w:after="100"/>
      <w:ind w:left="1760"/>
      <w:jc w:val="left"/>
    </w:pPr>
    <w:rPr>
      <w:rFonts w:ascii="Times New Roman" w:eastAsia="Times New Roman" w:hAnsi="Times New Roman" w:cs="Times New Roman"/>
      <w:sz w:val="24"/>
    </w:rPr>
  </w:style>
  <w:style w:type="paragraph" w:styleId="Abbildungsverzeichnis">
    <w:name w:val="table of figures"/>
    <w:basedOn w:val="Standard"/>
    <w:next w:val="Standard"/>
    <w:uiPriority w:val="99"/>
    <w:unhideWhenUsed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styleId="Kommentarzeichen">
    <w:name w:val="annotation reference"/>
    <w:basedOn w:val="Absatz-Standardschriftart"/>
    <w:uiPriority w:val="99"/>
    <w:unhideWhenUsed/>
    <w:rsid w:val="00C62FEA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62FEA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2FEA"/>
    <w:pPr>
      <w:jc w:val="lef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2FEA"/>
    <w:rPr>
      <w:rFonts w:ascii="Times New Roman" w:eastAsia="Times New Roman" w:hAnsi="Times New Roman" w:cs="Times New Roman"/>
      <w:sz w:val="18"/>
      <w:szCs w:val="18"/>
      <w:lang w:eastAsia="de-DE"/>
    </w:rPr>
  </w:style>
  <w:style w:type="character" w:styleId="NichtaufgelsteErwhnung">
    <w:name w:val="Unresolved Mention"/>
    <w:basedOn w:val="Absatz-Standardschriftart"/>
    <w:uiPriority w:val="99"/>
    <w:rsid w:val="00C62FEA"/>
    <w:rPr>
      <w:color w:val="605E5C"/>
      <w:shd w:val="clear" w:color="auto" w:fill="E1DFDD"/>
    </w:rPr>
  </w:style>
  <w:style w:type="paragraph" w:customStyle="1" w:styleId="p1">
    <w:name w:val="p1"/>
    <w:basedOn w:val="Standard"/>
    <w:rsid w:val="00C62FEA"/>
    <w:pPr>
      <w:jc w:val="left"/>
    </w:pPr>
    <w:rPr>
      <w:rFonts w:ascii=".AppleSystemUIFont" w:eastAsia="Times New Roman" w:hAnsi=".AppleSystemUIFont" w:cs="Times New Roman"/>
      <w:sz w:val="26"/>
      <w:szCs w:val="26"/>
    </w:rPr>
  </w:style>
  <w:style w:type="paragraph" w:styleId="Listenabsatz">
    <w:name w:val="List Paragraph"/>
    <w:basedOn w:val="Standard"/>
    <w:uiPriority w:val="34"/>
    <w:qFormat/>
    <w:rsid w:val="00C62FEA"/>
    <w:pPr>
      <w:ind w:left="720"/>
      <w:contextualSpacing/>
      <w:jc w:val="left"/>
    </w:pPr>
    <w:rPr>
      <w:rFonts w:asciiTheme="minorHAnsi" w:eastAsiaTheme="minorHAnsi" w:hAnsiTheme="minorHAnsi"/>
      <w:sz w:val="24"/>
      <w:lang w:val="en-AU" w:eastAsia="en-US"/>
    </w:rPr>
  </w:style>
  <w:style w:type="paragraph" w:styleId="StandardWeb">
    <w:name w:val="Normal (Web)"/>
    <w:basedOn w:val="Standard"/>
    <w:uiPriority w:val="99"/>
    <w:unhideWhenUsed/>
    <w:rsid w:val="00C62FE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en-GB"/>
    </w:rPr>
  </w:style>
  <w:style w:type="paragraph" w:customStyle="1" w:styleId="Literaturverzeichnis1">
    <w:name w:val="Literaturverzeichnis1"/>
    <w:basedOn w:val="Standard"/>
    <w:link w:val="BibliographyZchn"/>
    <w:rsid w:val="00C62FEA"/>
    <w:pPr>
      <w:ind w:left="720" w:hanging="720"/>
      <w:jc w:val="left"/>
    </w:pPr>
    <w:rPr>
      <w:rFonts w:ascii="Times New Roman" w:eastAsiaTheme="minorHAnsi" w:hAnsi="Times New Roman" w:cs="Times New Roman"/>
      <w:sz w:val="24"/>
      <w:lang w:val="en-GB" w:eastAsia="en-US"/>
    </w:rPr>
  </w:style>
  <w:style w:type="character" w:customStyle="1" w:styleId="BibliographyZchn">
    <w:name w:val="Bibliography Zchn"/>
    <w:basedOn w:val="Absatz-Standardschriftart"/>
    <w:link w:val="Literaturverzeichnis1"/>
    <w:rsid w:val="00C62FEA"/>
    <w:rPr>
      <w:rFonts w:ascii="Times New Roman" w:hAnsi="Times New Roman" w:cs="Times New Roman"/>
      <w:lang w:val="en-GB"/>
    </w:rPr>
  </w:style>
  <w:style w:type="paragraph" w:customStyle="1" w:styleId="Literaturverzeichnis2">
    <w:name w:val="Literaturverzeichnis2"/>
    <w:basedOn w:val="Standard"/>
    <w:link w:val="BibliographyZchn1"/>
    <w:rsid w:val="00C62FEA"/>
    <w:pPr>
      <w:spacing w:line="480" w:lineRule="auto"/>
      <w:ind w:left="720" w:hanging="720"/>
      <w:jc w:val="left"/>
    </w:pPr>
    <w:rPr>
      <w:rFonts w:ascii="Times New Roman" w:eastAsia="Times New Roman" w:hAnsi="Times New Roman" w:cs="Times New Roman"/>
      <w:sz w:val="24"/>
      <w:lang w:val="en-AU"/>
    </w:rPr>
  </w:style>
  <w:style w:type="character" w:customStyle="1" w:styleId="BibliographyZchn1">
    <w:name w:val="Bibliography Zchn1"/>
    <w:basedOn w:val="Absatz-Standardschriftart"/>
    <w:link w:val="Literaturverzeichnis2"/>
    <w:rsid w:val="00C62FEA"/>
    <w:rPr>
      <w:rFonts w:ascii="Times New Roman" w:eastAsia="Times New Roman" w:hAnsi="Times New Roman" w:cs="Times New Roman"/>
      <w:lang w:val="en-AU" w:eastAsia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C62FEA"/>
    <w:pPr>
      <w:spacing w:after="160"/>
      <w:jc w:val="left"/>
    </w:pPr>
    <w:rPr>
      <w:rFonts w:asciiTheme="minorHAnsi" w:hAnsiTheme="minorHAnsi"/>
      <w:sz w:val="20"/>
      <w:szCs w:val="20"/>
      <w:lang w:val="en-AU"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62FEA"/>
    <w:rPr>
      <w:rFonts w:eastAsiaTheme="minorEastAsia"/>
      <w:sz w:val="20"/>
      <w:szCs w:val="20"/>
      <w:lang w:val="en-AU"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2FEA"/>
    <w:pPr>
      <w:spacing w:after="0"/>
    </w:pPr>
    <w:rPr>
      <w:rFonts w:ascii="Times New Roman" w:eastAsia="Times New Roman" w:hAnsi="Times New Roman" w:cs="Times New Roman"/>
      <w:b/>
      <w:bCs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2FEA"/>
    <w:rPr>
      <w:rFonts w:ascii="Times New Roman" w:eastAsia="Times New Roman" w:hAnsi="Times New Roman" w:cs="Times New Roman"/>
      <w:b/>
      <w:bCs/>
      <w:sz w:val="20"/>
      <w:szCs w:val="20"/>
      <w:lang w:val="en-AU" w:eastAsia="de-DE"/>
    </w:rPr>
  </w:style>
  <w:style w:type="paragraph" w:styleId="berarbeitung">
    <w:name w:val="Revision"/>
    <w:hidden/>
    <w:uiPriority w:val="99"/>
    <w:semiHidden/>
    <w:rsid w:val="00C62FEA"/>
    <w:rPr>
      <w:rFonts w:ascii="Times New Roman" w:eastAsia="Times New Roman" w:hAnsi="Times New Roman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62FEA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C62FEA"/>
    <w:rPr>
      <w:rFonts w:ascii="Times New Roman" w:eastAsia="Times New Roman" w:hAnsi="Times New Roman" w:cs="Times New Roman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C62FEA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C62FEA"/>
    <w:rPr>
      <w:rFonts w:ascii="Times New Roman" w:eastAsia="Times New Roman" w:hAnsi="Times New Roman" w:cs="Times New Roman"/>
      <w:lang w:eastAsia="de-DE"/>
    </w:rPr>
  </w:style>
  <w:style w:type="paragraph" w:customStyle="1" w:styleId="Literaturverzeichnis3">
    <w:name w:val="Literaturverzeichnis3"/>
    <w:basedOn w:val="Standard"/>
    <w:link w:val="BibliographyZchn2"/>
    <w:rsid w:val="00C62FEA"/>
    <w:pPr>
      <w:spacing w:line="480" w:lineRule="auto"/>
      <w:ind w:left="720" w:hanging="720"/>
      <w:jc w:val="left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BibliographyZchn2">
    <w:name w:val="Bibliography Zchn2"/>
    <w:basedOn w:val="Absatz-Standardschriftart"/>
    <w:link w:val="Literaturverzeichnis3"/>
    <w:rsid w:val="00C62FEA"/>
    <w:rPr>
      <w:rFonts w:ascii="Times New Roman" w:eastAsia="Times New Roman" w:hAnsi="Times New Roman" w:cs="Times New Roman"/>
      <w:lang w:val="en-US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C62FEA"/>
    <w:rPr>
      <w:color w:val="954F72" w:themeColor="followedHyperlink"/>
      <w:u w:val="single"/>
    </w:rPr>
  </w:style>
  <w:style w:type="table" w:styleId="EinfacheTabelle5">
    <w:name w:val="Plain Table 5"/>
    <w:basedOn w:val="NormaleTabelle"/>
    <w:uiPriority w:val="45"/>
    <w:rsid w:val="00C62FE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  <w:tblStylePr w:type="seCell">
      <w:tblPr/>
      <w:tcPr>
        <w:tcBorders>
          <w:left w:val="none" w:sz="4" w:space="0" w:color="000000"/>
        </w:tcBorders>
      </w:tcPr>
    </w:tblStylePr>
    <w:tblStylePr w:type="swCell">
      <w:tblPr/>
      <w:tcPr>
        <w:tcBorders>
          <w:right w:val="none" w:sz="4" w:space="0" w:color="000000"/>
        </w:tcBorders>
      </w:tcPr>
    </w:tblStylePr>
  </w:style>
  <w:style w:type="table" w:styleId="Gitternetztabelle1hell">
    <w:name w:val="Grid Table 1 Light"/>
    <w:basedOn w:val="NormaleTabelle"/>
    <w:uiPriority w:val="46"/>
    <w:rsid w:val="00C62FE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4">
    <w:name w:val="Plain Table 4"/>
    <w:basedOn w:val="NormaleTabelle"/>
    <w:uiPriority w:val="44"/>
    <w:rsid w:val="00C62FE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teraturverzeichnis">
    <w:name w:val="Bibliography"/>
    <w:basedOn w:val="Standard"/>
    <w:next w:val="Standard"/>
    <w:uiPriority w:val="37"/>
    <w:unhideWhenUsed/>
    <w:rsid w:val="00C62FEA"/>
    <w:pPr>
      <w:jc w:val="left"/>
    </w:pPr>
    <w:rPr>
      <w:rFonts w:ascii="Times New Roman" w:eastAsia="Times New Roman" w:hAnsi="Times New Roman" w:cs="Times New Roman"/>
      <w:sz w:val="24"/>
    </w:rPr>
  </w:style>
  <w:style w:type="character" w:customStyle="1" w:styleId="apple-converted-space">
    <w:name w:val="apple-converted-space"/>
    <w:basedOn w:val="Absatz-Standardschriftart"/>
    <w:rsid w:val="00C62FEA"/>
  </w:style>
  <w:style w:type="character" w:styleId="Seitenzahl">
    <w:name w:val="page number"/>
    <w:basedOn w:val="Absatz-Standardschriftart"/>
    <w:uiPriority w:val="99"/>
    <w:semiHidden/>
    <w:unhideWhenUsed/>
    <w:rsid w:val="00690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ie.baeumler@med.uni-muenchen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onie.baeumler@med.uni-muench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1493</Words>
  <Characters>9407</Characters>
  <Application>Microsoft Office Word</Application>
  <DocSecurity>0</DocSecurity>
  <Lines>78</Lines>
  <Paragraphs>21</Paragraphs>
  <ScaleCrop>false</ScaleCrop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Bäumler</dc:creator>
  <cp:keywords/>
  <dc:description/>
  <cp:lastModifiedBy>Leonie Bäumler</cp:lastModifiedBy>
  <cp:revision>7</cp:revision>
  <dcterms:created xsi:type="dcterms:W3CDTF">2025-11-01T09:04:00Z</dcterms:created>
  <dcterms:modified xsi:type="dcterms:W3CDTF">2026-03-14T20:15:00Z</dcterms:modified>
</cp:coreProperties>
</file>