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FEA" w:rsidRPr="00C62FEA" w:rsidRDefault="00A16BEA" w:rsidP="00C62FEA">
      <w:pPr>
        <w:ind w:right="-32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765BD" wp14:editId="1256C779">
                <wp:simplePos x="0" y="0"/>
                <wp:positionH relativeFrom="column">
                  <wp:posOffset>4430493</wp:posOffset>
                </wp:positionH>
                <wp:positionV relativeFrom="paragraph">
                  <wp:posOffset>-340702</wp:posOffset>
                </wp:positionV>
                <wp:extent cx="5298830" cy="668216"/>
                <wp:effectExtent l="0" t="0" r="1016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8830" cy="668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6BEA" w:rsidRPr="006A1796" w:rsidRDefault="00A16BEA" w:rsidP="00A16BEA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</w:pPr>
                            <w:r w:rsidRPr="006A17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  <w:t>Relationship between Cognitive Vulnerability and Stress Response in Children and Adolescents: A Systematic Review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; European Child and Adolescent Psychiatry;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</w:rPr>
                              <w:t xml:space="preserve">Bäumler, Leonie, Frommelt, Tonya, Özbey, Ada, Koc, Eda, Schulte-Körne, Gerd, Platt, Belinda;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Department of Child and Adolescent Psychiatry, Psychosomatics and Psychotherapy, LMU University Hospital Munich, Germany; </w:t>
                            </w:r>
                            <w:hyperlink r:id="rId7" w:tooltip="mailto:leonie.baeumler@med.uni-muenchen.de" w:history="1">
                              <w:r w:rsidRPr="006A1796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sz w:val="13"/>
                                  <w:szCs w:val="10"/>
                                  <w:lang w:val="en-GB"/>
                                </w:rPr>
                                <w:t>leonie.baeumler@med.uni-muenchen.de</w:t>
                              </w:r>
                            </w:hyperlink>
                          </w:p>
                          <w:p w:rsidR="00A16BEA" w:rsidRDefault="00A16BEA" w:rsidP="00A16B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8765B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8.85pt;margin-top:-26.85pt;width:417.25pt;height:52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" fillcolor="white [3201]" strokeweight=".5pt">
                <v:textbox>
                  <w:txbxContent>
                    <w:p w:rsidR="00A16BEA" w:rsidRPr="006A1796" w:rsidRDefault="00A16BEA" w:rsidP="00A16BEA">
                      <w:pPr>
                        <w:spacing w:line="480" w:lineRule="auto"/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</w:pPr>
                      <w:r w:rsidRPr="006A1796"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  <w:t>Relationship between Cognitive Vulnerability and Stress Response in Children and Adolescents: A Systematic Review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; European Child and Adolescent Psychiatry;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</w:rPr>
                        <w:t xml:space="preserve">Bäumler, Leonie, Frommelt, Tonya, Özbey, Ada, Koc, Eda, Schulte-Körne, Gerd, Platt, Belinda;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Department of Child and Adolescent Psychiatry, Psychosomatics and Psychotherapy, LMU University Hospital Munich, Germany; </w:t>
                      </w:r>
                      <w:hyperlink r:id="rId8" w:tooltip="mailto:leonie.baeumler@med.uni-muenchen.de" w:history="1">
                        <w:r w:rsidRPr="006A1796">
                          <w:rPr>
                            <w:rStyle w:val="Hyperlink"/>
                            <w:rFonts w:ascii="Times New Roman" w:hAnsi="Times New Roman" w:cs="Times New Roman"/>
                            <w:bCs/>
                            <w:sz w:val="13"/>
                            <w:szCs w:val="10"/>
                            <w:lang w:val="en-GB"/>
                          </w:rPr>
                          <w:t>leonie.baeumler@med.uni-muenchen.de</w:t>
                        </w:r>
                      </w:hyperlink>
                    </w:p>
                    <w:p w:rsidR="00A16BEA" w:rsidRDefault="00A16BEA" w:rsidP="00A16BEA"/>
                  </w:txbxContent>
                </v:textbox>
              </v:shape>
            </w:pict>
          </mc:Fallback>
        </mc:AlternateContent>
      </w:r>
    </w:p>
    <w:p w:rsidR="00A16BEA" w:rsidRDefault="00A16BEA" w:rsidP="00C62FEA">
      <w:pPr>
        <w:ind w:right="-32"/>
        <w:rPr>
          <w:rFonts w:ascii="Times New Roman" w:hAnsi="Times New Roman" w:cs="Times New Roman"/>
          <w:b/>
          <w:bCs/>
          <w:lang w:val="en-GB"/>
        </w:rPr>
      </w:pPr>
    </w:p>
    <w:p w:rsidR="00C62FEA" w:rsidRPr="00C62FEA" w:rsidRDefault="00C62FEA" w:rsidP="00C62FEA">
      <w:pPr>
        <w:ind w:right="-32"/>
        <w:rPr>
          <w:rFonts w:ascii="Times New Roman" w:hAnsi="Times New Roman" w:cs="Times New Roman"/>
          <w:lang w:val="en-GB"/>
        </w:rPr>
      </w:pPr>
      <w:r w:rsidRPr="00C62FEA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0074FD">
        <w:rPr>
          <w:rFonts w:ascii="Times New Roman" w:hAnsi="Times New Roman" w:cs="Times New Roman"/>
          <w:b/>
          <w:bCs/>
          <w:lang w:val="en-GB"/>
        </w:rPr>
        <w:t>D.1</w:t>
      </w:r>
      <w:r w:rsidRPr="00C62FEA">
        <w:rPr>
          <w:rFonts w:ascii="Times New Roman" w:hAnsi="Times New Roman" w:cs="Times New Roman"/>
          <w:lang w:val="en-GB"/>
        </w:rPr>
        <w:t>: Results on relationship between cognitive vulnerability and cortisol as a physiological stress response</w:t>
      </w:r>
    </w:p>
    <w:tbl>
      <w:tblPr>
        <w:tblW w:w="154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67"/>
        <w:gridCol w:w="709"/>
        <w:gridCol w:w="709"/>
        <w:gridCol w:w="1417"/>
        <w:gridCol w:w="1179"/>
        <w:gridCol w:w="9594"/>
        <w:gridCol w:w="142"/>
      </w:tblGrid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Article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Sample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size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(N)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Age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range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years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Mean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Cognitive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Vulnerability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Category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; Measurement</w:t>
            </w:r>
          </w:p>
        </w:tc>
        <w:tc>
          <w:tcPr>
            <w:tcW w:w="117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Physiological Stress Response: Cortisol</w:t>
            </w:r>
          </w:p>
        </w:tc>
        <w:tc>
          <w:tcPr>
            <w:tcW w:w="959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Relationship Cognitive Vulnerability </w:t>
            </w:r>
            <w:proofErr w:type="gram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x</w:t>
            </w:r>
            <w:proofErr w:type="gram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Physiological Stress Response: cortisol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Hollocks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et al., 2016</w:t>
            </w:r>
          </w:p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– 16 (12.98)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cognitive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biases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(AB, IB);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dot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probe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task</w:t>
            </w:r>
            <w:proofErr w:type="spellEnd"/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tabs>
                <w:tab w:val="left" w:pos="883"/>
              </w:tabs>
              <w:ind w:right="-32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(AB) no significant association between physiological responsiveness (SR) and attentional bias (CV); (IB) significant association between reduced physiological responsiveness (SR) and more negative interpretation biases (CV) (standardized coefficient = -.32, p = .04)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Jopling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et al., 2021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– 13 (12.93)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cognitive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biases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(AB, MB);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Posner task, Sternberg task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salivary cortisol reactivity + recovery</w:t>
            </w:r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tabs>
                <w:tab w:val="left" w:pos="883"/>
              </w:tabs>
              <w:ind w:right="-32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(AB) greater AB for positive stimuli (CV) associated with less cortisol reactivity (SR) (B = -0.0002, t(60) = -2.53, p = .014); greater AB for  threatening stimuli (CV) was associated with faster cortisol recovery (SR) from the stressor (B = -0.0002, t(61) = -2.38, p = .020); (MB) MB (CV) not associated with cortisol reactivity (SR); greater MB for negative stimuli (CV) associated with prolonged cortisol recovery from stress (B = 0.00001, t(61) = 2.14, p = .037), greater MB for positive stimuli (CV) associated with greater HPA-SNS dissociation 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Troller-</w:t>
            </w:r>
            <w:proofErr w:type="spellStart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Renfree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et al., 2017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NR (12.66)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cognitive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bias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(AB),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coping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dot-probe task; self-report coping scale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salivary cortisol reactivity</w:t>
            </w:r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(AB) in foster care youth: positive AB (CV) associated with more reactive cortisol reactivity (SR) (β = 0.03, </w:t>
            </w:r>
            <w:proofErr w:type="gram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t(</w:t>
            </w:r>
            <w:proofErr w:type="gram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39) = 1.958, p = .050; threat AB (CV) only marginally associated with cortisol reactivity (SR) (β = 0.03, t(39) = 1.821, p = .069)</w:t>
            </w:r>
          </w:p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in care as usual youth: both positive (β = 0.001, </w:t>
            </w:r>
            <w:proofErr w:type="gram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t(</w:t>
            </w:r>
            <w:proofErr w:type="gram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40) = .384, p = .701) and threat (β = 0.001, t(40) = .873, p =  .383) AB were not associated with cortisol reactivity (SR)</w:t>
            </w:r>
          </w:p>
          <w:p w:rsidR="00C62FEA" w:rsidRPr="00C62FEA" w:rsidRDefault="00C62FEA" w:rsidP="007D3DD6">
            <w:pPr>
              <w:tabs>
                <w:tab w:val="left" w:pos="883"/>
              </w:tabs>
              <w:ind w:right="-32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(coping) association to SR not </w:t>
            </w: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analysed</w:t>
            </w:r>
            <w:proofErr w:type="spellEnd"/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Borelli et al., 2016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– 12 (9.83)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rumination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 CRSQ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association between CV and SR not </w:t>
            </w: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analysed</w:t>
            </w:r>
            <w:proofErr w:type="spellEnd"/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Katz et al., 2019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(16.6)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rumination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emotion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regulation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TQ, ERQ-CA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state rumination (CV) associated with cortisol reactivity (SR) when controlling for gender (b </w:t>
            </w:r>
            <w:proofErr w:type="gram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=  3.57</w:t>
            </w:r>
            <w:proofErr w:type="gram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× 10−4 , p &lt; .05); trait rumination (CV) associated with cortisol reactivity (b = −.48, p &lt; .05); trait and state rumination (CV) not associated with cortisol recovery (SR); emotion regulation (CV) not associated with cortisol reactivity or recovery (SR)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Raymond et al., 2023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8-12 (10.15)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rumination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PTQ-C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higher levels of perseverative thinking (as part of anxiety vulnerability, CV) associated with stronger cortisol reactivity (SR) among boys (</w:t>
            </w:r>
            <w:proofErr w:type="gram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F(</w:t>
            </w:r>
            <w:proofErr w:type="gram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6,36.67) = 2.567; p = .034), but not girls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Rudolph et al., 2011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(9.46)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rumination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self-reported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rumination</w:t>
            </w:r>
            <w:proofErr w:type="spellEnd"/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salivary cortisol reactivity</w:t>
            </w:r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tabs>
                <w:tab w:val="left" w:pos="883"/>
              </w:tabs>
              <w:ind w:right="-32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rumination (CV) not associated with cortisol reactivity (SR)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Stewart et al., 2013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– 18 (15.2)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rumination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 CRSQ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depressed adolescents: rumination (CV) associated with delayed cortisol recovery (SR) (B=0.007, SE=0.003, </w:t>
            </w:r>
            <w:proofErr w:type="gram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t(</w:t>
            </w:r>
            <w:proofErr w:type="gram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55)=2.07, p=0.04, d=0.56); non-depressed adolescents: rumination (CV) not associated with cortisol reactivity or recovery (SR)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Johnson et al., 2019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– 10 (9.85) + 15 – 16 (15.81)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emotion regulation, coping; ERQ, RSQ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(emotion regulation) reappraisal (CV) associated with increased cortisol reactivity (SR) in non-adopted youth, no association in post-institutionalized youth; suppression (CV) not associated with cortisol reactivity (SR); (coping) coping (CV) not associated with cortisol reactivity (SR)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Shapero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et al., 2016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– 13 (15.28)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emotion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regulation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ERQ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59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lower tendency to reappraise (CV) moderated the relationship between emotional reactivity and poor cortisol recovery (SR) and higher depressive symptoms (compared to those with higher cortisol recovery)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Bendezú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et al., 2022</w:t>
            </w:r>
          </w:p>
        </w:tc>
        <w:tc>
          <w:tcPr>
            <w:tcW w:w="567" w:type="dxa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241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– 17 (14.68)</w:t>
            </w:r>
          </w:p>
        </w:tc>
        <w:tc>
          <w:tcPr>
            <w:tcW w:w="1417" w:type="dxa"/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attributional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ACSQ</w:t>
            </w:r>
          </w:p>
        </w:tc>
        <w:tc>
          <w:tcPr>
            <w:tcW w:w="1179" w:type="dxa"/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</w:p>
        </w:tc>
        <w:tc>
          <w:tcPr>
            <w:tcW w:w="9594" w:type="dxa"/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negative cognitive style associated with girls’ subgroup membership, Χ2 (3) = 12.242, p&lt; .05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Granger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et al., 1994</w:t>
            </w:r>
          </w:p>
        </w:tc>
        <w:tc>
          <w:tcPr>
            <w:tcW w:w="567" w:type="dxa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– 16 (14.73)</w:t>
            </w:r>
          </w:p>
        </w:tc>
        <w:tc>
          <w:tcPr>
            <w:tcW w:w="1417" w:type="dxa"/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attributional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MMCPC, PCSC, SPPC</w:t>
            </w:r>
          </w:p>
        </w:tc>
        <w:tc>
          <w:tcPr>
            <w:tcW w:w="1179" w:type="dxa"/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</w:p>
        </w:tc>
        <w:tc>
          <w:tcPr>
            <w:tcW w:w="9594" w:type="dxa"/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external attributions for personal success (</w:t>
            </w:r>
            <w:proofErr w:type="gram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F(</w:t>
            </w:r>
            <w:proofErr w:type="gram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l, 47) = 5.21, p &lt; .05) and failures (F(l, 47) = 5.77, p &lt; .025) (CV) associated with increased cortisol reactivity (SR)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Hayden et al., 2014 (Study 1)</w:t>
            </w:r>
          </w:p>
        </w:tc>
        <w:tc>
          <w:tcPr>
            <w:tcW w:w="567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– 15 (11.4)</w:t>
            </w:r>
          </w:p>
        </w:tc>
        <w:tc>
          <w:tcPr>
            <w:tcW w:w="1417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attributional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CCSQ-S</w:t>
            </w:r>
          </w:p>
        </w:tc>
        <w:tc>
          <w:tcPr>
            <w:tcW w:w="117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594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negative cognitive style (CV) associated with cortisol reactivity (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AUCg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) (SR) in children of parents with a depression history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Quinn et al., 2018</w:t>
            </w:r>
          </w:p>
        </w:tc>
        <w:tc>
          <w:tcPr>
            <w:tcW w:w="567" w:type="dxa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 – 18 (14.35)</w:t>
            </w:r>
          </w:p>
        </w:tc>
        <w:tc>
          <w:tcPr>
            <w:tcW w:w="1417" w:type="dxa"/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attributional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ACSQ</w:t>
            </w:r>
          </w:p>
        </w:tc>
        <w:tc>
          <w:tcPr>
            <w:tcW w:w="1179" w:type="dxa"/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594" w:type="dxa"/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negative cognitive style (CV) not associated with cortisol reactivity or recovery (SR)</w:t>
            </w:r>
          </w:p>
        </w:tc>
      </w:tr>
      <w:tr w:rsidR="00C62FEA" w:rsidRPr="00C62FEA" w:rsidTr="007D3DD6">
        <w:trPr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Shapero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et al., 2017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(15.28)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attributional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style, </w:t>
            </w:r>
            <w:proofErr w:type="spellStart"/>
            <w:r w:rsidRPr="00C62FEA">
              <w:rPr>
                <w:rFonts w:ascii="Times New Roman" w:hAnsi="Times New Roman" w:cs="Times New Roman"/>
                <w:sz w:val="16"/>
                <w:szCs w:val="16"/>
              </w:rPr>
              <w:t>rumination</w:t>
            </w:r>
            <w:proofErr w:type="spellEnd"/>
            <w:r w:rsidRPr="00C62FEA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ACSQ, CRSQ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73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2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negative cognitive style moderated the relationship between cortisol recovery and depressive symptoms (b = −.18, SE = .08, </w:t>
            </w:r>
            <w:proofErr w:type="gram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t(</w:t>
            </w:r>
            <w:proofErr w:type="gram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6,106) = 2.20, p= .03, ΔR2 = .04), lower cortisol recovery associated with higher levels of depressive symptoms when adolescents exhibited a more negative cognitive style</w:t>
            </w:r>
          </w:p>
        </w:tc>
      </w:tr>
      <w:tr w:rsidR="00C62FEA" w:rsidRPr="00C62FEA" w:rsidTr="007D3DD6">
        <w:trPr>
          <w:gridAfter w:val="1"/>
          <w:wAfter w:w="142" w:type="dxa"/>
          <w:trHeight w:val="113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Chen et al., 2014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– 10 (9.85)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emotion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regulation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emotion classification task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594" w:type="dxa"/>
            <w:tcBorders>
              <w:bottom w:val="single" w:sz="4" w:space="0" w:color="auto"/>
            </w:tcBorders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association between CV and SR not </w:t>
            </w: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analysed</w:t>
            </w:r>
            <w:proofErr w:type="spellEnd"/>
          </w:p>
        </w:tc>
      </w:tr>
    </w:tbl>
    <w:p w:rsidR="00C62FEA" w:rsidRPr="00C62FEA" w:rsidRDefault="00C62FEA" w:rsidP="00C62FEA">
      <w:pPr>
        <w:ind w:right="-32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tbl>
      <w:tblPr>
        <w:tblW w:w="154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567"/>
        <w:gridCol w:w="709"/>
        <w:gridCol w:w="709"/>
        <w:gridCol w:w="1417"/>
        <w:gridCol w:w="1179"/>
        <w:gridCol w:w="9736"/>
      </w:tblGrid>
      <w:tr w:rsidR="00C62FEA" w:rsidRPr="00C62FEA" w:rsidTr="007D3DD6">
        <w:trPr>
          <w:trHeight w:val="113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Article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62FEA" w:rsidRPr="00C62FEA" w:rsidRDefault="00C62FEA" w:rsidP="000F19E4">
            <w:pPr>
              <w:ind w:right="-252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Sample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size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(N)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Age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range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years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Mean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7D3DD6">
            <w:pPr>
              <w:ind w:right="-32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Cognitive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Vulnerability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Category</w:t>
            </w:r>
            <w:proofErr w:type="spell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; Measurement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Physiological Stress Response: Cortisol</w:t>
            </w:r>
          </w:p>
        </w:tc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</w:tcPr>
          <w:p w:rsidR="00C62FEA" w:rsidRPr="00C62FEA" w:rsidRDefault="00C62FEA" w:rsidP="007D3DD6">
            <w:pPr>
              <w:ind w:right="-208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Relationship Cognitive Vulnerability </w:t>
            </w:r>
            <w:proofErr w:type="gramStart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x</w:t>
            </w:r>
            <w:proofErr w:type="gramEnd"/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Physiological Stress Response: cortisol</w:t>
            </w:r>
          </w:p>
        </w:tc>
      </w:tr>
      <w:tr w:rsidR="00C62FEA" w:rsidRPr="00C62FEA" w:rsidTr="007D3DD6">
        <w:trPr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Chiang, 2017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18 - 20 (18.37)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attributional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threat appraisal questionnaire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7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2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anticipatory (time: b(SE) = .20 (.05), p &lt; .001; time2: b(SE) = -.05 (.01), p &lt; .001) as well as retrospective (time: b(SE) = .19 (.05), p &lt; .001; time2: b(SE) = -.05 (.01), p &lt; .001) threat appraisals (CV) associated with dampened cortisol reactivity (SR) </w:t>
            </w:r>
          </w:p>
        </w:tc>
      </w:tr>
      <w:tr w:rsidR="00C62FEA" w:rsidRPr="00C62FEA" w:rsidTr="007D3DD6">
        <w:trPr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Kuhlmann et al., 2021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– 16 (12.78)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cognitive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bias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(MB);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memory task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7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2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greater cortisol reactivity (SR) associated with less accurate recognition of negative valence words (CV) = anxiety-related words (b = −12.16, SE = 4.30, p = .006) and dysphoric words (b = -8.96, SE = 4.02, p = .028) in youth exposed to early life stress; effects on cortisol recovery not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analysed</w:t>
            </w:r>
            <w:proofErr w:type="spellEnd"/>
          </w:p>
        </w:tc>
      </w:tr>
      <w:tr w:rsidR="00C62FEA" w:rsidRPr="00C62FEA" w:rsidTr="007D3DD6">
        <w:trPr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Raffington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et al., 2020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 – 7 (7.23)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cognitive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bias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(MB);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emotional memory task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7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260F7F">
            <w:pPr>
              <w:ind w:right="-73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greater cortisol reactivity (SR) associated with better memory for low (b = 0.165, SE = 0.70, p= 0.019;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AUCi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: b = 0.312, SE = 0.116, p= 0.008) and at trend for high arousing negative items (b = 0.137, SE = 0.070, p= 0.051;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AUCi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: b = 0.255, SE = 0.116, p= 0.030), further for high arousing positive items (b = 0.244, SE = 0.070, p&lt; 0.001;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AUCi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: b = 0.354, SE = 0.116, p= 0.003) (CV) related to neutral items in female subgroup; no significant associations of cortisol reactivity (SR) on MB (CV) in male subgroup</w:t>
            </w:r>
          </w:p>
        </w:tc>
      </w:tr>
      <w:tr w:rsidR="00C62FEA" w:rsidRPr="00C62FEA" w:rsidTr="007D3DD6">
        <w:trPr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Slattery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et al., 2013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(18.4)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attributional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style; PASA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salivary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cortisol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reactivity</w:t>
            </w:r>
            <w:proofErr w:type="spellEnd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+ </w:t>
            </w:r>
            <w:proofErr w:type="spellStart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recovery</w:t>
            </w:r>
            <w:proofErr w:type="spellEnd"/>
          </w:p>
        </w:tc>
        <w:tc>
          <w:tcPr>
            <w:tcW w:w="97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2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higher self-perceived anticipatory coping (CV) associated with higher cortisol reactivity (SR) (β = .337, p = .002); lower secondary cognitive anticipatory appraisal of coping (CV) associated with lower cortisol reactivity (SR)</w:t>
            </w:r>
          </w:p>
        </w:tc>
      </w:tr>
      <w:tr w:rsidR="00C62FEA" w:rsidRPr="00C62FEA" w:rsidTr="007D3DD6">
        <w:trPr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Hayden (2014) - </w:t>
            </w:r>
            <w:proofErr w:type="spellStart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study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LT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(7.41)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cognitive biases (AB, MB); SRET, dot-probe task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salivary cortisol reactivity + recovery</w:t>
            </w:r>
          </w:p>
        </w:tc>
        <w:tc>
          <w:tcPr>
            <w:tcW w:w="97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208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children with paternal history of depression: more negative MB and greater AB (CV) at age 7 associated with greater cortisol reactivity (SR) at age 9 (ß = .19, </w:t>
            </w:r>
            <w:proofErr w:type="gram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  &lt;</w:t>
            </w:r>
            <w:proofErr w:type="gram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.05); children with maternal history of depression: more negative MB (CV) at age 7 associated with greater cortisol reactivity (SR) at age 9 (ß = .21, p  &lt; .05)</w:t>
            </w:r>
          </w:p>
        </w:tc>
      </w:tr>
      <w:tr w:rsidR="00C62FEA" w:rsidRPr="00C62FEA" w:rsidTr="007D3DD6">
        <w:trPr>
          <w:trHeight w:val="11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Guerry</w:t>
            </w:r>
            <w:proofErr w:type="spellEnd"/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(2013)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LT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12-16 (14.7)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attributional</w:t>
            </w:r>
            <w:proofErr w:type="spell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style;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ACSQ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salivary cortisol reactivity + recovery</w:t>
            </w:r>
          </w:p>
        </w:tc>
        <w:tc>
          <w:tcPr>
            <w:tcW w:w="97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208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female participants: interpersonal vulnerability (CV) associated with cortisol reactivity (SR) (r s ranging from .36 to .42, </w:t>
            </w: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ps</w:t>
            </w:r>
            <w:proofErr w:type="spell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&lt; .05); achievement vulnerability (CV) associated with cortisol reactivity (SR) at T2 (r = .34, p &lt; .05)</w:t>
            </w:r>
          </w:p>
          <w:p w:rsidR="00C62FEA" w:rsidRPr="00C62FEA" w:rsidRDefault="00C62FEA" w:rsidP="007D3DD6">
            <w:pPr>
              <w:ind w:right="-208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male participants and sample in total: no significant associations between CV and SR</w:t>
            </w:r>
          </w:p>
        </w:tc>
      </w:tr>
      <w:tr w:rsidR="00C62FEA" w:rsidRPr="00C62FEA" w:rsidTr="00651EAC">
        <w:trPr>
          <w:trHeight w:val="107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Hogue</w:t>
            </w:r>
            <w:proofErr w:type="spell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et al., 2020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0F19E4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NR (16.08)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2A73A1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attributional style; SSES</w:t>
            </w:r>
          </w:p>
        </w:tc>
        <w:tc>
          <w:tcPr>
            <w:tcW w:w="11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651EAC">
            <w:pPr>
              <w:ind w:right="-32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salivary cortisol reactivity + recovery</w:t>
            </w:r>
          </w:p>
        </w:tc>
        <w:tc>
          <w:tcPr>
            <w:tcW w:w="97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ind w:right="-208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control group (CV) associated with greater cortisol reactivity (SR) (</w:t>
            </w:r>
            <w:proofErr w:type="gramStart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F(</w:t>
            </w:r>
            <w:proofErr w:type="gramEnd"/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1,54) = 6.97,  19 p = .011) compared to PST condition (CV)</w:t>
            </w:r>
          </w:p>
        </w:tc>
      </w:tr>
    </w:tbl>
    <w:p w:rsidR="00C62FEA" w:rsidRPr="0016314E" w:rsidRDefault="00C62FEA" w:rsidP="0016314E">
      <w:pPr>
        <w:pBdr>
          <w:top w:val="single" w:sz="4" w:space="1" w:color="auto"/>
        </w:pBdr>
        <w:ind w:right="-283"/>
        <w:rPr>
          <w:rFonts w:ascii="Times New Roman" w:hAnsi="Times New Roman" w:cs="Times New Roman"/>
          <w:sz w:val="16"/>
          <w:szCs w:val="16"/>
          <w:lang w:val="en-GB"/>
        </w:rPr>
        <w:sectPr w:rsidR="00C62FEA" w:rsidRPr="0016314E" w:rsidSect="0018073A">
          <w:footerReference w:type="even" r:id="rId9"/>
          <w:footerReference w:type="default" r:id="rId10"/>
          <w:pgSz w:w="16838" w:h="11906" w:orient="landscape"/>
          <w:pgMar w:top="613" w:right="819" w:bottom="517" w:left="851" w:header="709" w:footer="331" w:gutter="0"/>
          <w:cols w:space="708"/>
          <w:docGrid w:linePitch="360"/>
        </w:sectPr>
      </w:pP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AB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Attentional Bias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, ACSQ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Adolescent Cognitive Style Questionnaire, </w:t>
      </w:r>
      <w:r w:rsidRPr="00C62FEA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BP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blood pressure, CCSQ-S Children’s Cognitive Style Questionnaire—Self implications subscale,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CO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cardiac output,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CPQ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Cognitive Priming Questionnaire,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CRSQ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Children’s Response Style Questionnaire,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CV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cognitive vulnerability,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DAS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Dysfunctional Attitudes Scale, ERS Emotion Reactivity Scale, ERQ-CA Emotion Regulation Questionnaire for Children and Adolescents,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HSC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Hopelessness Scale for Children,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IB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Interpretation Bias,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MAACL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Multiple Affect Adjective Check List, </w:t>
      </w:r>
      <w:r w:rsidR="00260F7F" w:rsidRPr="00260F7F">
        <w:rPr>
          <w:rFonts w:ascii="Times New Roman" w:hAnsi="Times New Roman" w:cs="Times New Roman"/>
          <w:i/>
          <w:sz w:val="16"/>
          <w:szCs w:val="16"/>
          <w:lang w:val="en-GB"/>
        </w:rPr>
        <w:t xml:space="preserve">MB </w:t>
      </w:r>
      <w:r w:rsidR="00260F7F">
        <w:rPr>
          <w:rFonts w:ascii="Times New Roman" w:hAnsi="Times New Roman" w:cs="Times New Roman"/>
          <w:sz w:val="16"/>
          <w:szCs w:val="16"/>
          <w:lang w:val="en-GB"/>
        </w:rPr>
        <w:t xml:space="preserve">Memory Bias,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MMCPC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Multidimensional Measure of Children's Perceptions of Control,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NR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not reported,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PASA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Primary Appraisal / Secondary Appraisal scale,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PCSC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Perceived Contingency Scale for Children,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PEP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pre-ejection period,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PIQ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Particular Inferences Questionnaire,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 xml:space="preserve"> PTQ-C 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Perseverative Thinking Questionnaire – Child Version,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RMSSD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square root of the mean of the squares of the successive di</w:t>
      </w:r>
      <w:r w:rsidRPr="00C62FEA">
        <w:rPr>
          <w:rFonts w:ascii="Cambria Math" w:hAnsi="Cambria Math" w:cs="Cambria Math"/>
          <w:sz w:val="16"/>
          <w:szCs w:val="16"/>
          <w:lang w:val="en-GB"/>
        </w:rPr>
        <w:t>ﬀ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erences between adjacent NN intervals,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RSA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respiratory sinus arrhythmia,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RSQ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Responses to Stress Questionnaire,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SES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socioeconomic status,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 xml:space="preserve"> SPPC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Self-Perception Profile for Children,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SR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stress response,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 xml:space="preserve">SRET 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>Self Referent Encoding Task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, SSES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C62FEA">
        <w:rPr>
          <w:rFonts w:ascii="Times New Roman" w:hAnsi="Times New Roman" w:cs="Times New Roman"/>
          <w:color w:val="000000"/>
          <w:sz w:val="16"/>
          <w:szCs w:val="16"/>
          <w:lang w:val="en-US"/>
        </w:rPr>
        <w:t>demand and resource appraisals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TPR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total peripheral resistance,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TSST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C62FEA">
        <w:rPr>
          <w:rFonts w:ascii="Times New Roman" w:hAnsi="Times New Roman" w:cs="Times New Roman"/>
          <w:sz w:val="16"/>
          <w:szCs w:val="16"/>
          <w:lang w:val="en-GB"/>
        </w:rPr>
        <w:t>Trierer</w:t>
      </w:r>
      <w:proofErr w:type="spellEnd"/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Stress Test,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TQ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Thoughts Questionnair</w:t>
      </w:r>
      <w:r w:rsidR="00A16BEA">
        <w:rPr>
          <w:rFonts w:ascii="Times New Roman" w:hAnsi="Times New Roman" w:cs="Times New Roman"/>
          <w:sz w:val="16"/>
          <w:szCs w:val="16"/>
          <w:lang w:val="en-GB"/>
        </w:rPr>
        <w:t>e</w:t>
      </w:r>
      <w:bookmarkStart w:id="0" w:name="_GoBack"/>
      <w:bookmarkEnd w:id="0"/>
    </w:p>
    <w:p w:rsidR="00C62FEA" w:rsidRPr="00C62FEA" w:rsidRDefault="00C62FEA" w:rsidP="00C62FEA">
      <w:pPr>
        <w:rPr>
          <w:rFonts w:ascii="Times New Roman" w:hAnsi="Times New Roman" w:cs="Times New Roman"/>
          <w:lang w:val="en-GB"/>
        </w:rPr>
        <w:sectPr w:rsidR="00C62FEA" w:rsidRPr="00C62FEA" w:rsidSect="0005632C">
          <w:pgSz w:w="16840" w:h="11900" w:orient="landscape"/>
          <w:pgMar w:top="1418" w:right="1134" w:bottom="1418" w:left="1418" w:header="709" w:footer="709" w:gutter="0"/>
          <w:cols w:space="708"/>
          <w:titlePg/>
          <w:docGrid w:linePitch="326"/>
        </w:sectPr>
      </w:pPr>
    </w:p>
    <w:p w:rsidR="00086F96" w:rsidRPr="00C62FEA" w:rsidRDefault="00086F96" w:rsidP="00A16BEA">
      <w:pPr>
        <w:rPr>
          <w:rFonts w:ascii="Times New Roman" w:hAnsi="Times New Roman" w:cs="Times New Roman"/>
        </w:rPr>
      </w:pPr>
    </w:p>
    <w:sectPr w:rsidR="00086F96" w:rsidRPr="00C62FEA" w:rsidSect="00C62FEA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8F6" w:rsidRDefault="00FA68F6" w:rsidP="00C62FEA">
      <w:r>
        <w:separator/>
      </w:r>
    </w:p>
  </w:endnote>
  <w:endnote w:type="continuationSeparator" w:id="0">
    <w:p w:rsidR="00FA68F6" w:rsidRDefault="00FA68F6" w:rsidP="00C6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Überschrifte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.AppleSystemUIFont">
    <w:altName w:val="Cambria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135915700"/>
      <w:docPartObj>
        <w:docPartGallery w:val="Page Numbers (Bottom of Page)"/>
        <w:docPartUnique/>
      </w:docPartObj>
    </w:sdtPr>
    <w:sdtContent>
      <w:p w:rsidR="00A16BEA" w:rsidRDefault="00A16BEA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A16BEA" w:rsidRDefault="00A16BEA" w:rsidP="00A16BE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56242395"/>
      <w:docPartObj>
        <w:docPartGallery w:val="Page Numbers (Bottom of Page)"/>
        <w:docPartUnique/>
      </w:docPartObj>
    </w:sdtPr>
    <w:sdtContent>
      <w:p w:rsidR="00A16BEA" w:rsidRDefault="00A16BEA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A16BEA" w:rsidRDefault="00A16BEA" w:rsidP="00A16BE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8F6" w:rsidRDefault="00FA68F6" w:rsidP="00C62FEA">
      <w:r>
        <w:separator/>
      </w:r>
    </w:p>
  </w:footnote>
  <w:footnote w:type="continuationSeparator" w:id="0">
    <w:p w:rsidR="00FA68F6" w:rsidRDefault="00FA68F6" w:rsidP="00C62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6E84"/>
    <w:multiLevelType w:val="multilevel"/>
    <w:tmpl w:val="4022E6E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20168"/>
    <w:multiLevelType w:val="multilevel"/>
    <w:tmpl w:val="5DE0B510"/>
    <w:lvl w:ilvl="0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E2895"/>
    <w:multiLevelType w:val="multilevel"/>
    <w:tmpl w:val="0BBA4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F78D3"/>
    <w:multiLevelType w:val="multilevel"/>
    <w:tmpl w:val="2704185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12EF6"/>
    <w:multiLevelType w:val="multilevel"/>
    <w:tmpl w:val="9804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4A77A90"/>
    <w:multiLevelType w:val="multilevel"/>
    <w:tmpl w:val="6FC68B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630F2"/>
    <w:multiLevelType w:val="multilevel"/>
    <w:tmpl w:val="FF68FA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6437E"/>
    <w:multiLevelType w:val="multilevel"/>
    <w:tmpl w:val="EB165214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72F95"/>
    <w:multiLevelType w:val="multilevel"/>
    <w:tmpl w:val="4CCA6594"/>
    <w:lvl w:ilvl="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4D252C2"/>
    <w:multiLevelType w:val="multilevel"/>
    <w:tmpl w:val="4FBEAE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78A236D"/>
    <w:multiLevelType w:val="multilevel"/>
    <w:tmpl w:val="AEAA3E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E0412"/>
    <w:multiLevelType w:val="multilevel"/>
    <w:tmpl w:val="B2EEF9C4"/>
    <w:lvl w:ilvl="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1B1B5E"/>
    <w:multiLevelType w:val="multilevel"/>
    <w:tmpl w:val="390E214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401FF"/>
    <w:multiLevelType w:val="multilevel"/>
    <w:tmpl w:val="9A4A9C3C"/>
    <w:lvl w:ilvl="0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27EB2"/>
    <w:multiLevelType w:val="multilevel"/>
    <w:tmpl w:val="9002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BB97226"/>
    <w:multiLevelType w:val="multilevel"/>
    <w:tmpl w:val="E0E8C79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47DC3"/>
    <w:multiLevelType w:val="multilevel"/>
    <w:tmpl w:val="EEAAB0A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06BB6"/>
    <w:multiLevelType w:val="multilevel"/>
    <w:tmpl w:val="CE505B10"/>
    <w:lvl w:ilvl="0">
      <w:numFmt w:val="decimal"/>
      <w:pStyle w:val="Verzeichnis1"/>
      <w:lvlText w:val="%1."/>
      <w:lvlJc w:val="left"/>
      <w:pPr>
        <w:ind w:left="22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lvlText w:val="%1.%2."/>
      <w:lvlJc w:val="left"/>
      <w:pPr>
        <w:ind w:left="652" w:hanging="432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0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0" w:hanging="1440"/>
      </w:pPr>
      <w:rPr>
        <w:rFonts w:hint="default"/>
      </w:rPr>
    </w:lvl>
  </w:abstractNum>
  <w:abstractNum w:abstractNumId="18" w15:restartNumberingAfterBreak="0">
    <w:nsid w:val="4B18234A"/>
    <w:multiLevelType w:val="multilevel"/>
    <w:tmpl w:val="0074D99A"/>
    <w:lvl w:ilvl="0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32C7E"/>
    <w:multiLevelType w:val="multilevel"/>
    <w:tmpl w:val="7696E436"/>
    <w:lvl w:ilvl="0">
      <w:start w:val="1"/>
      <w:numFmt w:val="decimal"/>
      <w:pStyle w:val="Verzeichnis2"/>
      <w:lvlText w:val="%1."/>
      <w:lvlJc w:val="left"/>
      <w:pPr>
        <w:ind w:left="44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isLgl/>
      <w:lvlText w:val="%1.%2."/>
      <w:lvlJc w:val="left"/>
      <w:pPr>
        <w:ind w:left="872" w:hanging="418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</w:rPr>
    </w:lvl>
  </w:abstractNum>
  <w:abstractNum w:abstractNumId="20" w15:restartNumberingAfterBreak="0">
    <w:nsid w:val="52D57860"/>
    <w:multiLevelType w:val="multilevel"/>
    <w:tmpl w:val="A7AE6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04B13"/>
    <w:multiLevelType w:val="multilevel"/>
    <w:tmpl w:val="C354EC6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40D42"/>
    <w:multiLevelType w:val="multilevel"/>
    <w:tmpl w:val="7D50F6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027BD"/>
    <w:multiLevelType w:val="multilevel"/>
    <w:tmpl w:val="5E56994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12EA9"/>
    <w:multiLevelType w:val="multilevel"/>
    <w:tmpl w:val="5908F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15A7A20"/>
    <w:multiLevelType w:val="multilevel"/>
    <w:tmpl w:val="D8D29864"/>
    <w:lvl w:ilvl="0">
      <w:start w:val="1"/>
      <w:numFmt w:val="decimal"/>
      <w:lvlText w:val="%1."/>
      <w:lvlJc w:val="left"/>
      <w:pPr>
        <w:ind w:left="44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isLgl/>
      <w:lvlText w:val="%1.%2."/>
      <w:lvlJc w:val="left"/>
      <w:pPr>
        <w:ind w:left="872" w:hanging="418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</w:rPr>
    </w:lvl>
  </w:abstractNum>
  <w:abstractNum w:abstractNumId="26" w15:restartNumberingAfterBreak="0">
    <w:nsid w:val="6EC305C0"/>
    <w:multiLevelType w:val="multilevel"/>
    <w:tmpl w:val="6FE651E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F6225"/>
    <w:multiLevelType w:val="multilevel"/>
    <w:tmpl w:val="BFEE8872"/>
    <w:lvl w:ilvl="0">
      <w:numFmt w:val="decimal"/>
      <w:lvlText w:val="%1."/>
      <w:lvlJc w:val="left"/>
      <w:pPr>
        <w:ind w:left="22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lvlText w:val="%1.%2."/>
      <w:lvlJc w:val="left"/>
      <w:pPr>
        <w:ind w:left="652" w:hanging="432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0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0" w:hanging="1440"/>
      </w:pPr>
      <w:rPr>
        <w:rFonts w:hint="default"/>
      </w:rPr>
    </w:lvl>
  </w:abstractNum>
  <w:abstractNum w:abstractNumId="28" w15:restartNumberingAfterBreak="0">
    <w:nsid w:val="745E0E53"/>
    <w:multiLevelType w:val="multilevel"/>
    <w:tmpl w:val="64B27AC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24"/>
  </w:num>
  <w:num w:numId="4">
    <w:abstractNumId w:val="24"/>
  </w:num>
  <w:num w:numId="5">
    <w:abstractNumId w:val="14"/>
  </w:num>
  <w:num w:numId="6">
    <w:abstractNumId w:val="17"/>
  </w:num>
  <w:num w:numId="7">
    <w:abstractNumId w:val="19"/>
  </w:num>
  <w:num w:numId="8">
    <w:abstractNumId w:val="9"/>
  </w:num>
  <w:num w:numId="9">
    <w:abstractNumId w:val="4"/>
  </w:num>
  <w:num w:numId="10">
    <w:abstractNumId w:val="27"/>
  </w:num>
  <w:num w:numId="11">
    <w:abstractNumId w:val="25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22"/>
  </w:num>
  <w:num w:numId="17">
    <w:abstractNumId w:val="20"/>
  </w:num>
  <w:num w:numId="18">
    <w:abstractNumId w:val="15"/>
  </w:num>
  <w:num w:numId="19">
    <w:abstractNumId w:val="0"/>
  </w:num>
  <w:num w:numId="20">
    <w:abstractNumId w:val="10"/>
  </w:num>
  <w:num w:numId="21">
    <w:abstractNumId w:val="2"/>
  </w:num>
  <w:num w:numId="22">
    <w:abstractNumId w:val="26"/>
  </w:num>
  <w:num w:numId="23">
    <w:abstractNumId w:val="28"/>
  </w:num>
  <w:num w:numId="24">
    <w:abstractNumId w:val="23"/>
  </w:num>
  <w:num w:numId="25">
    <w:abstractNumId w:val="1"/>
  </w:num>
  <w:num w:numId="26">
    <w:abstractNumId w:val="12"/>
  </w:num>
  <w:num w:numId="27">
    <w:abstractNumId w:val="11"/>
  </w:num>
  <w:num w:numId="28">
    <w:abstractNumId w:val="21"/>
  </w:num>
  <w:num w:numId="29">
    <w:abstractNumId w:val="3"/>
  </w:num>
  <w:num w:numId="30">
    <w:abstractNumId w:val="18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EA"/>
    <w:rsid w:val="000074FD"/>
    <w:rsid w:val="00086F96"/>
    <w:rsid w:val="000A4F04"/>
    <w:rsid w:val="000D19F1"/>
    <w:rsid w:val="000F19E4"/>
    <w:rsid w:val="0016314E"/>
    <w:rsid w:val="00260F7F"/>
    <w:rsid w:val="002A73A1"/>
    <w:rsid w:val="005111D5"/>
    <w:rsid w:val="00651EAC"/>
    <w:rsid w:val="00686B44"/>
    <w:rsid w:val="006A0C0A"/>
    <w:rsid w:val="00856338"/>
    <w:rsid w:val="00872CFD"/>
    <w:rsid w:val="00965C39"/>
    <w:rsid w:val="00A16BEA"/>
    <w:rsid w:val="00C62FEA"/>
    <w:rsid w:val="00CE1DCF"/>
    <w:rsid w:val="00FA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FB332"/>
  <w14:defaultImageDpi w14:val="32767"/>
  <w15:chartTrackingRefBased/>
  <w15:docId w15:val="{B035CFE6-4C60-1E49-B112-C2B63F72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Plain Table 4" w:uiPriority="44"/>
    <w:lsdException w:name="Plain Table 5" w:uiPriority="45"/>
    <w:lsdException w:name="Grid Table Light" w:uiPriority="59"/>
    <w:lsdException w:name="Grid Table 1 Light" w:uiPriority="46"/>
    <w:lsdException w:name="Grid Table 4" w:uiPriority="59"/>
    <w:lsdException w:name="Grid Table 4 Accent 1" w:uiPriority="5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4 Accent 2" w:uiPriority="59"/>
    <w:lsdException w:name="Grid Table 6 Colorful Accent 2" w:uiPriority="51"/>
    <w:lsdException w:name="Grid Table 7 Colorful Accent 2" w:uiPriority="52"/>
    <w:lsdException w:name="Grid Table 4 Accent 3" w:uiPriority="59"/>
    <w:lsdException w:name="Grid Table 6 Colorful Accent 3" w:uiPriority="51"/>
    <w:lsdException w:name="Grid Table 7 Colorful Accent 3" w:uiPriority="52"/>
    <w:lsdException w:name="Grid Table 4 Accent 4" w:uiPriority="5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4 Accent 5" w:uiPriority="59"/>
    <w:lsdException w:name="Grid Table 6 Colorful Accent 5" w:uiPriority="51"/>
    <w:lsdException w:name="Grid Table 7 Colorful Accent 5" w:uiPriority="52"/>
    <w:lsdException w:name="Grid Table 4 Accent 6" w:uiPriority="59"/>
    <w:lsdException w:name="Grid Table 6 Colorful Accent 6" w:uiPriority="51"/>
    <w:lsdException w:name="Grid Table 7 Colorful Accent 6" w:uiPriority="52"/>
    <w:lsdException w:name="List Table 6 Colorful Accent 1" w:uiPriority="51"/>
    <w:lsdException w:name="List Table 7 Colorful Accent 1" w:uiPriority="52"/>
    <w:lsdException w:name="List Table 6 Colorful Accent 2" w:uiPriority="51"/>
    <w:lsdException w:name="List Table 7 Colorful Accent 2" w:uiPriority="52"/>
    <w:lsdException w:name="List Table 6 Colorful Accent 3" w:uiPriority="51"/>
    <w:lsdException w:name="List Table 7 Colorful Accent 3" w:uiPriority="52"/>
    <w:lsdException w:name="List Table 6 Colorful Accent 4" w:uiPriority="51"/>
    <w:lsdException w:name="List Table 7 Colorful Accent 4" w:uiPriority="52"/>
    <w:lsdException w:name="List Table 6 Colorful Accent 5" w:uiPriority="51"/>
    <w:lsdException w:name="List Table 7 Colorful Accent 5" w:uiPriority="52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856338"/>
    <w:pPr>
      <w:jc w:val="both"/>
    </w:pPr>
    <w:rPr>
      <w:rFonts w:ascii="Arial" w:eastAsiaTheme="minorEastAsia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86B44"/>
    <w:pPr>
      <w:keepNext/>
      <w:keepLines/>
      <w:pBdr>
        <w:bottom w:val="single" w:sz="4" w:space="1" w:color="auto"/>
      </w:pBdr>
      <w:spacing w:before="120" w:line="360" w:lineRule="auto"/>
      <w:outlineLvl w:val="0"/>
    </w:pPr>
    <w:rPr>
      <w:rFonts w:eastAsiaTheme="majorEastAsia" w:cs="Arial"/>
      <w:b/>
      <w:bCs/>
      <w:sz w:val="24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56338"/>
    <w:pPr>
      <w:keepNext/>
      <w:keepLines/>
      <w:spacing w:before="120" w:after="120"/>
      <w:ind w:left="708"/>
      <w:outlineLvl w:val="1"/>
    </w:pPr>
    <w:rPr>
      <w:rFonts w:eastAsiaTheme="majorEastAsia" w:cs="Times New Roman (Überschriften"/>
      <w:b/>
      <w:bCs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856338"/>
    <w:pPr>
      <w:keepNext/>
      <w:keepLines/>
      <w:numPr>
        <w:ilvl w:val="2"/>
        <w:numId w:val="4"/>
      </w:numPr>
      <w:spacing w:before="80" w:after="12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856338"/>
    <w:pPr>
      <w:keepNext/>
      <w:keepLines/>
      <w:numPr>
        <w:ilvl w:val="3"/>
        <w:numId w:val="5"/>
      </w:numPr>
      <w:spacing w:before="200"/>
      <w:ind w:left="864" w:hanging="864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62FEA"/>
    <w:pPr>
      <w:keepNext/>
      <w:keepLines/>
      <w:spacing w:before="80" w:after="40"/>
      <w:jc w:val="left"/>
      <w:outlineLvl w:val="4"/>
    </w:pPr>
    <w:rPr>
      <w:rFonts w:eastAsia="Arial" w:cs="Arial"/>
      <w:color w:val="2F5496" w:themeColor="accent1" w:themeShade="B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62FEA"/>
    <w:pPr>
      <w:keepNext/>
      <w:keepLines/>
      <w:spacing w:before="40"/>
      <w:jc w:val="left"/>
      <w:outlineLvl w:val="5"/>
    </w:pPr>
    <w:rPr>
      <w:rFonts w:eastAsia="Arial" w:cs="Arial"/>
      <w:i/>
      <w:iCs/>
      <w:color w:val="595959" w:themeColor="text1" w:themeTint="A6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C62FEA"/>
    <w:pPr>
      <w:keepNext/>
      <w:keepLines/>
      <w:spacing w:before="40"/>
      <w:jc w:val="left"/>
      <w:outlineLvl w:val="6"/>
    </w:pPr>
    <w:rPr>
      <w:rFonts w:eastAsia="Arial" w:cs="Arial"/>
      <w:color w:val="595959" w:themeColor="text1" w:themeTint="A6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C62FEA"/>
    <w:pPr>
      <w:keepNext/>
      <w:keepLines/>
      <w:jc w:val="left"/>
      <w:outlineLvl w:val="7"/>
    </w:pPr>
    <w:rPr>
      <w:rFonts w:eastAsia="Arial" w:cs="Arial"/>
      <w:i/>
      <w:iCs/>
      <w:color w:val="272727" w:themeColor="text1" w:themeTint="D8"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C62FEA"/>
    <w:pPr>
      <w:keepNext/>
      <w:keepLines/>
      <w:jc w:val="left"/>
      <w:outlineLvl w:val="8"/>
    </w:pPr>
    <w:rPr>
      <w:rFonts w:eastAsia="Arial" w:cs="Arial"/>
      <w:i/>
      <w:iCs/>
      <w:color w:val="272727" w:themeColor="text1" w:themeTint="D8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6B44"/>
    <w:rPr>
      <w:rFonts w:ascii="Arial" w:eastAsiaTheme="majorEastAsia" w:hAnsi="Arial" w:cs="Arial"/>
      <w:b/>
      <w:bCs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6338"/>
    <w:rPr>
      <w:rFonts w:ascii="Arial" w:eastAsiaTheme="majorEastAsia" w:hAnsi="Arial" w:cs="Times New Roman (Überschriften"/>
      <w:b/>
      <w:bCs/>
      <w:sz w:val="2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6338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56338"/>
    <w:rPr>
      <w:rFonts w:ascii="Arial" w:eastAsiaTheme="majorEastAsia" w:hAnsi="Arial" w:cstheme="majorBidi"/>
      <w:b/>
      <w:bCs/>
      <w:i/>
      <w:iCs/>
    </w:rPr>
  </w:style>
  <w:style w:type="paragraph" w:styleId="Inhaltsverzeichnisberschrift">
    <w:name w:val="TOC Heading"/>
    <w:basedOn w:val="berschrift1"/>
    <w:next w:val="Standard"/>
    <w:autoRedefine/>
    <w:uiPriority w:val="39"/>
    <w:unhideWhenUsed/>
    <w:qFormat/>
    <w:rsid w:val="00856338"/>
    <w:pPr>
      <w:spacing w:line="276" w:lineRule="auto"/>
      <w:jc w:val="left"/>
      <w:outlineLvl w:val="9"/>
    </w:pPr>
    <w:rPr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A0C0A"/>
    <w:pPr>
      <w:numPr>
        <w:numId w:val="6"/>
      </w:numPr>
      <w:spacing w:before="120" w:line="360" w:lineRule="auto"/>
      <w:jc w:val="left"/>
    </w:pPr>
    <w:rPr>
      <w:rFonts w:cstheme="minorHAnsi"/>
      <w:b/>
      <w:bCs/>
      <w:iCs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6A0C0A"/>
    <w:pPr>
      <w:numPr>
        <w:numId w:val="7"/>
      </w:numPr>
      <w:spacing w:before="120" w:line="360" w:lineRule="auto"/>
      <w:jc w:val="left"/>
    </w:pPr>
    <w:rPr>
      <w:rFonts w:cstheme="minorHAnsi"/>
      <w:bCs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62FEA"/>
    <w:rPr>
      <w:rFonts w:ascii="Arial" w:eastAsia="Arial" w:hAnsi="Arial" w:cs="Arial"/>
      <w:color w:val="2F5496" w:themeColor="accent1" w:themeShade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62FEA"/>
    <w:rPr>
      <w:rFonts w:ascii="Arial" w:eastAsia="Arial" w:hAnsi="Arial" w:cs="Arial"/>
      <w:i/>
      <w:iCs/>
      <w:color w:val="595959" w:themeColor="text1" w:themeTint="A6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62FEA"/>
    <w:rPr>
      <w:rFonts w:ascii="Arial" w:eastAsia="Arial" w:hAnsi="Arial" w:cs="Arial"/>
      <w:color w:val="595959" w:themeColor="text1" w:themeTint="A6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C62FEA"/>
    <w:rPr>
      <w:rFonts w:ascii="Arial" w:eastAsia="Arial" w:hAnsi="Arial" w:cs="Arial"/>
      <w:i/>
      <w:iCs/>
      <w:color w:val="272727" w:themeColor="text1" w:themeTint="D8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C62FEA"/>
    <w:rPr>
      <w:rFonts w:ascii="Arial" w:eastAsia="Arial" w:hAnsi="Arial" w:cs="Arial"/>
      <w:i/>
      <w:iCs/>
      <w:color w:val="272727" w:themeColor="text1" w:themeTint="D8"/>
      <w:lang w:eastAsia="de-DE"/>
    </w:rPr>
  </w:style>
  <w:style w:type="table" w:styleId="TabellemithellemGitternetz">
    <w:name w:val="Grid Table Light"/>
    <w:basedOn w:val="NormaleTabelle"/>
    <w:uiPriority w:val="59"/>
    <w:rsid w:val="00C62F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itternetztabelle1hellAkzent1">
    <w:name w:val="Grid Table 1 Light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itternetztabelle1hellAkzent3">
    <w:name w:val="Grid Table 1 Light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itternetztabelle1hellAkzent4">
    <w:name w:val="Grid Table 1 Light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itternetztabelle1hellAkzent5">
    <w:name w:val="Grid Table 1 Light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itternetztabelle1hellAkzent6">
    <w:name w:val="Grid Table 1 Light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Akzent1">
    <w:name w:val="Grid Table 2 Accent 1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itternetztabelle2Akzent2">
    <w:name w:val="Grid Table 2 Accent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2Akzent3">
    <w:name w:val="Grid Table 2 Accent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2Akzent4">
    <w:name w:val="Grid Table 2 Accent 4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2Akzent5">
    <w:name w:val="Grid Table 2 Accent 5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2Akzent6">
    <w:name w:val="Grid Table 2 Accent 6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Akzent1">
    <w:name w:val="Grid Table 3 Accent 1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itternetztabelle3Akzent2">
    <w:name w:val="Grid Table 3 Accent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3Akzent3">
    <w:name w:val="Grid Table 3 Accent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3Akzent4">
    <w:name w:val="Grid Table 3 Accent 4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3Akzent5">
    <w:name w:val="Grid Table 3 Accent 5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3Akzent6">
    <w:name w:val="Grid Table 3 Accent 6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Akzent1">
    <w:name w:val="Grid Table 4 Accent 1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itternetztabelle4Akzent2">
    <w:name w:val="Grid Table 4 Accent 2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4Akzent3">
    <w:name w:val="Grid Table 4 Accent 3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4Akzent4">
    <w:name w:val="Grid Table 4 Accent 4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4Akzent5">
    <w:name w:val="Grid Table 4 Accent 5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4Akzent6">
    <w:name w:val="Grid Table 4 Accent 6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Akzent2">
    <w:name w:val="Grid Table 5 Dark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itternetztabelle5dunkelAkzent3">
    <w:name w:val="Grid Table 5 Dark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Gitternetztabelle5dunkelAkzent5">
    <w:name w:val="Grid Table 5 Dark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itternetztabelle5dunkelAkzent6">
    <w:name w:val="Grid Table 5 Dark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Listentabelle1hellAkzent1">
    <w:name w:val="List Table 1 Light Accent 1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1hellAkzent2">
    <w:name w:val="List Table 1 Light Accent 2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1hellAkzent3">
    <w:name w:val="List Table 1 Light Accent 3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1hellAkzent4">
    <w:name w:val="List Table 1 Light Accent 4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1hellAkzent5">
    <w:name w:val="List Table 1 Light Accent 5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1hellAkzent6">
    <w:name w:val="List Table 1 Light Accent 6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Akzent1">
    <w:name w:val="List Table 2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2Akzent2">
    <w:name w:val="List Table 2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2Akzent3">
    <w:name w:val="List Table 2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2Akzent4">
    <w:name w:val="List Table 2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2Akzent5">
    <w:name w:val="List Table 2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2Akzent6">
    <w:name w:val="List Table 2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Akzent1">
    <w:name w:val="List Table 3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entabelle3Akzent2">
    <w:name w:val="List Table 3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entabelle3Akzent3">
    <w:name w:val="List Table 3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entabelle3Akzent4">
    <w:name w:val="List Table 3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entabelle3Akzent5">
    <w:name w:val="List Table 3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entabelle3Akzent6">
    <w:name w:val="List Table 3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Akzent1">
    <w:name w:val="List Table 4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4Akzent2">
    <w:name w:val="List Table 4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4Akzent3">
    <w:name w:val="List Table 4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4Akzent4">
    <w:name w:val="List Table 4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4Akzent5">
    <w:name w:val="List Table 4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4Akzent6">
    <w:name w:val="List Table 4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Akzent1">
    <w:name w:val="List Table 5 Dark Accent 1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entabelle5dunkelAkzent2">
    <w:name w:val="List Table 5 Dark Accent 2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entabelle5dunkelAkzent3">
    <w:name w:val="List Table 5 Dark Accent 3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entabelle5dunkelAkzent4">
    <w:name w:val="List Table 5 Dark Accent 4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entabelle5dunkelAkzent5">
    <w:name w:val="List Table 5 Dark Accent 5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entabelle5dunkelAkzent6">
    <w:name w:val="List Table 5 Dark Accent 6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Heading5Char">
    <w:name w:val="Heading 5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bsatz-Standardschriftart"/>
    <w:uiPriority w:val="9"/>
    <w:rsid w:val="00C62FE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sid w:val="00C62FEA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sid w:val="00C62FE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sid w:val="00C62FE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sid w:val="00C62FEA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sid w:val="00C62FEA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sid w:val="00C62FEA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sid w:val="00C62FEA"/>
    <w:rPr>
      <w:i/>
      <w:iCs/>
      <w:color w:val="2F5496" w:themeColor="accent1" w:themeShade="BF"/>
    </w:rPr>
  </w:style>
  <w:style w:type="character" w:customStyle="1" w:styleId="FootnoteTextChar">
    <w:name w:val="Footnote Text Char"/>
    <w:basedOn w:val="Absatz-Standardschriftart"/>
    <w:uiPriority w:val="99"/>
    <w:semiHidden/>
    <w:rsid w:val="00C62FEA"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sid w:val="00C62FEA"/>
    <w:rPr>
      <w:sz w:val="20"/>
      <w:szCs w:val="20"/>
    </w:rPr>
  </w:style>
  <w:style w:type="table" w:styleId="Tabellenraster">
    <w:name w:val="Table Grid"/>
    <w:basedOn w:val="NormaleTabelle"/>
    <w:uiPriority w:val="59"/>
    <w:rsid w:val="00C62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EinfacheTabelle1">
    <w:name w:val="Plain Table 1"/>
    <w:basedOn w:val="NormaleTabelle"/>
    <w:uiPriority w:val="59"/>
    <w:rsid w:val="00C62F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rsid w:val="00C62FE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itternetztabelle2">
    <w:name w:val="Grid Table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itternetztabelle6farbig">
    <w:name w:val="Grid Table 6 Colorful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sid w:val="00C62FEA"/>
    <w:rPr>
      <w:rFonts w:ascii="Arial" w:eastAsia="Arial" w:hAnsi="Arial" w:cs="Arial"/>
      <w:i/>
      <w:iCs/>
      <w:color w:val="2F5496" w:themeColor="accent1" w:themeShade="BF"/>
    </w:rPr>
  </w:style>
  <w:style w:type="paragraph" w:styleId="Titel">
    <w:name w:val="Title"/>
    <w:basedOn w:val="Standard"/>
    <w:next w:val="Standard"/>
    <w:link w:val="TitelZchn"/>
    <w:uiPriority w:val="10"/>
    <w:qFormat/>
    <w:rsid w:val="00C62FEA"/>
    <w:pPr>
      <w:spacing w:after="80"/>
      <w:contextualSpacing/>
      <w:jc w:val="left"/>
    </w:pPr>
    <w:rPr>
      <w:rFonts w:eastAsia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2FEA"/>
    <w:rPr>
      <w:rFonts w:ascii="Arial" w:eastAsia="Arial" w:hAnsi="Arial" w:cs="Arial"/>
      <w:spacing w:val="-10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2FEA"/>
    <w:pPr>
      <w:numPr>
        <w:ilvl w:val="1"/>
      </w:numPr>
      <w:jc w:val="left"/>
    </w:pPr>
    <w:rPr>
      <w:rFonts w:ascii="Times New Roman" w:eastAsia="Times New Roman" w:hAnsi="Times New Roman" w:cs="Times New Roman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2FEA"/>
    <w:rPr>
      <w:rFonts w:ascii="Times New Roman" w:eastAsia="Times New Roman" w:hAnsi="Times New Roman" w:cs="Times New Roman"/>
      <w:color w:val="595959" w:themeColor="text1" w:themeTint="A6"/>
      <w:spacing w:val="15"/>
      <w:sz w:val="28"/>
      <w:szCs w:val="28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C62FEA"/>
    <w:pPr>
      <w:spacing w:before="16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</w:rPr>
  </w:style>
  <w:style w:type="character" w:customStyle="1" w:styleId="ZitatZchn">
    <w:name w:val="Zitat Zchn"/>
    <w:basedOn w:val="Absatz-Standardschriftart"/>
    <w:link w:val="Zitat"/>
    <w:uiPriority w:val="29"/>
    <w:rsid w:val="00C62FEA"/>
    <w:rPr>
      <w:rFonts w:ascii="Times New Roman" w:eastAsia="Times New Roman" w:hAnsi="Times New Roman" w:cs="Times New Roman"/>
      <w:i/>
      <w:iCs/>
      <w:color w:val="404040" w:themeColor="text1" w:themeTint="BF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C62FE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2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2F5496" w:themeColor="accent1" w:themeShade="BF"/>
      <w:sz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2FEA"/>
    <w:rPr>
      <w:rFonts w:ascii="Times New Roman" w:eastAsia="Times New Roman" w:hAnsi="Times New Roman" w:cs="Times New Roman"/>
      <w:i/>
      <w:iCs/>
      <w:color w:val="2F5496" w:themeColor="accent1" w:themeShade="BF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C62FEA"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  <w:rsid w:val="00C62FEA"/>
    <w:pPr>
      <w:jc w:val="left"/>
    </w:pPr>
    <w:rPr>
      <w:rFonts w:ascii="Times New Roman" w:eastAsia="Times New Roman" w:hAnsi="Times New Roman" w:cs="Times New Roman"/>
      <w:sz w:val="24"/>
    </w:rPr>
  </w:style>
  <w:style w:type="character" w:styleId="SchwacheHervorhebung">
    <w:name w:val="Subtle Emphasis"/>
    <w:basedOn w:val="Absatz-Standardschriftart"/>
    <w:uiPriority w:val="19"/>
    <w:qFormat/>
    <w:rsid w:val="00C62FEA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C62FEA"/>
    <w:rPr>
      <w:i/>
      <w:iCs/>
    </w:rPr>
  </w:style>
  <w:style w:type="character" w:styleId="Fett">
    <w:name w:val="Strong"/>
    <w:basedOn w:val="Absatz-Standardschriftart"/>
    <w:uiPriority w:val="22"/>
    <w:qFormat/>
    <w:rsid w:val="00C62FEA"/>
    <w:rPr>
      <w:b/>
      <w:bCs/>
    </w:rPr>
  </w:style>
  <w:style w:type="character" w:styleId="SchwacherVerweis">
    <w:name w:val="Subtle Reference"/>
    <w:basedOn w:val="Absatz-Standardschriftart"/>
    <w:uiPriority w:val="31"/>
    <w:qFormat/>
    <w:rsid w:val="00C62FE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C62FEA"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  <w:rsid w:val="00C62FEA"/>
  </w:style>
  <w:style w:type="character" w:customStyle="1" w:styleId="FooterChar">
    <w:name w:val="Footer Char"/>
    <w:basedOn w:val="Absatz-Standardschriftart"/>
    <w:uiPriority w:val="99"/>
    <w:rsid w:val="00C62FEA"/>
  </w:style>
  <w:style w:type="paragraph" w:styleId="Beschriftung">
    <w:name w:val="caption"/>
    <w:basedOn w:val="Standard"/>
    <w:next w:val="Standard"/>
    <w:uiPriority w:val="35"/>
    <w:unhideWhenUsed/>
    <w:qFormat/>
    <w:rsid w:val="00C62FEA"/>
    <w:pPr>
      <w:spacing w:after="200"/>
      <w:jc w:val="left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2FEA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2FE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62FEA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62FEA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62FE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C62FEA"/>
    <w:rPr>
      <w:vertAlign w:val="superscript"/>
    </w:rPr>
  </w:style>
  <w:style w:type="paragraph" w:styleId="Verzeichnis3">
    <w:name w:val="toc 3"/>
    <w:basedOn w:val="Standard"/>
    <w:next w:val="Standard"/>
    <w:uiPriority w:val="39"/>
    <w:unhideWhenUsed/>
    <w:rsid w:val="00C62FEA"/>
    <w:pPr>
      <w:spacing w:after="100"/>
      <w:ind w:left="44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4">
    <w:name w:val="toc 4"/>
    <w:basedOn w:val="Standard"/>
    <w:next w:val="Standard"/>
    <w:uiPriority w:val="39"/>
    <w:unhideWhenUsed/>
    <w:rsid w:val="00C62FEA"/>
    <w:pPr>
      <w:spacing w:after="100"/>
      <w:ind w:left="66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5">
    <w:name w:val="toc 5"/>
    <w:basedOn w:val="Standard"/>
    <w:next w:val="Standard"/>
    <w:uiPriority w:val="39"/>
    <w:unhideWhenUsed/>
    <w:rsid w:val="00C62FEA"/>
    <w:pPr>
      <w:spacing w:after="100"/>
      <w:ind w:left="88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6">
    <w:name w:val="toc 6"/>
    <w:basedOn w:val="Standard"/>
    <w:next w:val="Standard"/>
    <w:uiPriority w:val="39"/>
    <w:unhideWhenUsed/>
    <w:rsid w:val="00C62FEA"/>
    <w:pPr>
      <w:spacing w:after="100"/>
      <w:ind w:left="110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7">
    <w:name w:val="toc 7"/>
    <w:basedOn w:val="Standard"/>
    <w:next w:val="Standard"/>
    <w:uiPriority w:val="39"/>
    <w:unhideWhenUsed/>
    <w:rsid w:val="00C62FEA"/>
    <w:pPr>
      <w:spacing w:after="100"/>
      <w:ind w:left="132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8">
    <w:name w:val="toc 8"/>
    <w:basedOn w:val="Standard"/>
    <w:next w:val="Standard"/>
    <w:uiPriority w:val="39"/>
    <w:unhideWhenUsed/>
    <w:rsid w:val="00C62FEA"/>
    <w:pPr>
      <w:spacing w:after="100"/>
      <w:ind w:left="154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9">
    <w:name w:val="toc 9"/>
    <w:basedOn w:val="Standard"/>
    <w:next w:val="Standard"/>
    <w:uiPriority w:val="39"/>
    <w:unhideWhenUsed/>
    <w:rsid w:val="00C62FEA"/>
    <w:pPr>
      <w:spacing w:after="100"/>
      <w:ind w:left="1760"/>
      <w:jc w:val="left"/>
    </w:pPr>
    <w:rPr>
      <w:rFonts w:ascii="Times New Roman" w:eastAsia="Times New Roman" w:hAnsi="Times New Roman" w:cs="Times New Roman"/>
      <w:sz w:val="24"/>
    </w:rPr>
  </w:style>
  <w:style w:type="paragraph" w:styleId="Abbildungsverzeichnis">
    <w:name w:val="table of figures"/>
    <w:basedOn w:val="Standard"/>
    <w:next w:val="Standard"/>
    <w:uiPriority w:val="99"/>
    <w:unhideWhenUsed/>
    <w:rsid w:val="00C62FEA"/>
    <w:pPr>
      <w:jc w:val="left"/>
    </w:pPr>
    <w:rPr>
      <w:rFonts w:ascii="Times New Roman" w:eastAsia="Times New Roman" w:hAnsi="Times New Roman" w:cs="Times New Roman"/>
      <w:sz w:val="24"/>
    </w:rPr>
  </w:style>
  <w:style w:type="character" w:styleId="Kommentarzeichen">
    <w:name w:val="annotation reference"/>
    <w:basedOn w:val="Absatz-Standardschriftart"/>
    <w:uiPriority w:val="99"/>
    <w:unhideWhenUsed/>
    <w:rsid w:val="00C62FEA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62FEA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2FEA"/>
    <w:pPr>
      <w:jc w:val="lef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2FEA"/>
    <w:rPr>
      <w:rFonts w:ascii="Times New Roman" w:eastAsia="Times New Roman" w:hAnsi="Times New Roman" w:cs="Times New Roman"/>
      <w:sz w:val="18"/>
      <w:szCs w:val="18"/>
      <w:lang w:eastAsia="de-DE"/>
    </w:rPr>
  </w:style>
  <w:style w:type="character" w:styleId="NichtaufgelsteErwhnung">
    <w:name w:val="Unresolved Mention"/>
    <w:basedOn w:val="Absatz-Standardschriftart"/>
    <w:uiPriority w:val="99"/>
    <w:rsid w:val="00C62FEA"/>
    <w:rPr>
      <w:color w:val="605E5C"/>
      <w:shd w:val="clear" w:color="auto" w:fill="E1DFDD"/>
    </w:rPr>
  </w:style>
  <w:style w:type="paragraph" w:customStyle="1" w:styleId="p1">
    <w:name w:val="p1"/>
    <w:basedOn w:val="Standard"/>
    <w:rsid w:val="00C62FEA"/>
    <w:pPr>
      <w:jc w:val="left"/>
    </w:pPr>
    <w:rPr>
      <w:rFonts w:ascii=".AppleSystemUIFont" w:eastAsia="Times New Roman" w:hAnsi=".AppleSystemUIFont" w:cs="Times New Roman"/>
      <w:sz w:val="26"/>
      <w:szCs w:val="26"/>
    </w:rPr>
  </w:style>
  <w:style w:type="paragraph" w:styleId="Listenabsatz">
    <w:name w:val="List Paragraph"/>
    <w:basedOn w:val="Standard"/>
    <w:uiPriority w:val="34"/>
    <w:qFormat/>
    <w:rsid w:val="00C62FEA"/>
    <w:pPr>
      <w:ind w:left="720"/>
      <w:contextualSpacing/>
      <w:jc w:val="left"/>
    </w:pPr>
    <w:rPr>
      <w:rFonts w:asciiTheme="minorHAnsi" w:eastAsiaTheme="minorHAnsi" w:hAnsiTheme="minorHAnsi"/>
      <w:sz w:val="24"/>
      <w:lang w:val="en-AU" w:eastAsia="en-US"/>
    </w:rPr>
  </w:style>
  <w:style w:type="paragraph" w:styleId="StandardWeb">
    <w:name w:val="Normal (Web)"/>
    <w:basedOn w:val="Standard"/>
    <w:uiPriority w:val="99"/>
    <w:unhideWhenUsed/>
    <w:rsid w:val="00C62FE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en-GB"/>
    </w:rPr>
  </w:style>
  <w:style w:type="paragraph" w:customStyle="1" w:styleId="Literaturverzeichnis1">
    <w:name w:val="Literaturverzeichnis1"/>
    <w:basedOn w:val="Standard"/>
    <w:link w:val="BibliographyZchn"/>
    <w:rsid w:val="00C62FEA"/>
    <w:pPr>
      <w:ind w:left="720" w:hanging="720"/>
      <w:jc w:val="left"/>
    </w:pPr>
    <w:rPr>
      <w:rFonts w:ascii="Times New Roman" w:eastAsiaTheme="minorHAnsi" w:hAnsi="Times New Roman" w:cs="Times New Roman"/>
      <w:sz w:val="24"/>
      <w:lang w:val="en-GB" w:eastAsia="en-US"/>
    </w:rPr>
  </w:style>
  <w:style w:type="character" w:customStyle="1" w:styleId="BibliographyZchn">
    <w:name w:val="Bibliography Zchn"/>
    <w:basedOn w:val="Absatz-Standardschriftart"/>
    <w:link w:val="Literaturverzeichnis1"/>
    <w:rsid w:val="00C62FEA"/>
    <w:rPr>
      <w:rFonts w:ascii="Times New Roman" w:hAnsi="Times New Roman" w:cs="Times New Roman"/>
      <w:lang w:val="en-GB"/>
    </w:rPr>
  </w:style>
  <w:style w:type="paragraph" w:customStyle="1" w:styleId="Literaturverzeichnis2">
    <w:name w:val="Literaturverzeichnis2"/>
    <w:basedOn w:val="Standard"/>
    <w:link w:val="BibliographyZchn1"/>
    <w:rsid w:val="00C62FEA"/>
    <w:pPr>
      <w:spacing w:line="480" w:lineRule="auto"/>
      <w:ind w:left="720" w:hanging="720"/>
      <w:jc w:val="left"/>
    </w:pPr>
    <w:rPr>
      <w:rFonts w:ascii="Times New Roman" w:eastAsia="Times New Roman" w:hAnsi="Times New Roman" w:cs="Times New Roman"/>
      <w:sz w:val="24"/>
      <w:lang w:val="en-AU"/>
    </w:rPr>
  </w:style>
  <w:style w:type="character" w:customStyle="1" w:styleId="BibliographyZchn1">
    <w:name w:val="Bibliography Zchn1"/>
    <w:basedOn w:val="Absatz-Standardschriftart"/>
    <w:link w:val="Literaturverzeichnis2"/>
    <w:rsid w:val="00C62FEA"/>
    <w:rPr>
      <w:rFonts w:ascii="Times New Roman" w:eastAsia="Times New Roman" w:hAnsi="Times New Roman" w:cs="Times New Roman"/>
      <w:lang w:val="en-AU" w:eastAsia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C62FEA"/>
    <w:pPr>
      <w:spacing w:after="160"/>
      <w:jc w:val="left"/>
    </w:pPr>
    <w:rPr>
      <w:rFonts w:asciiTheme="minorHAnsi" w:hAnsiTheme="minorHAnsi"/>
      <w:sz w:val="20"/>
      <w:szCs w:val="20"/>
      <w:lang w:val="en-AU"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62FEA"/>
    <w:rPr>
      <w:rFonts w:eastAsiaTheme="minorEastAsia"/>
      <w:sz w:val="20"/>
      <w:szCs w:val="20"/>
      <w:lang w:val="en-AU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2FEA"/>
    <w:pPr>
      <w:spacing w:after="0"/>
    </w:pPr>
    <w:rPr>
      <w:rFonts w:ascii="Times New Roman" w:eastAsia="Times New Roman" w:hAnsi="Times New Roman" w:cs="Times New Roman"/>
      <w:b/>
      <w:bCs/>
      <w:lang w:val="de-DE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2FEA"/>
    <w:rPr>
      <w:rFonts w:ascii="Times New Roman" w:eastAsia="Times New Roman" w:hAnsi="Times New Roman" w:cs="Times New Roman"/>
      <w:b/>
      <w:bCs/>
      <w:sz w:val="20"/>
      <w:szCs w:val="20"/>
      <w:lang w:val="en-AU" w:eastAsia="de-DE"/>
    </w:rPr>
  </w:style>
  <w:style w:type="paragraph" w:styleId="berarbeitung">
    <w:name w:val="Revision"/>
    <w:hidden/>
    <w:uiPriority w:val="99"/>
    <w:semiHidden/>
    <w:rsid w:val="00C62FEA"/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62FEA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C62FEA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62FEA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C62FEA"/>
    <w:rPr>
      <w:rFonts w:ascii="Times New Roman" w:eastAsia="Times New Roman" w:hAnsi="Times New Roman" w:cs="Times New Roman"/>
      <w:lang w:eastAsia="de-DE"/>
    </w:rPr>
  </w:style>
  <w:style w:type="paragraph" w:customStyle="1" w:styleId="Literaturverzeichnis3">
    <w:name w:val="Literaturverzeichnis3"/>
    <w:basedOn w:val="Standard"/>
    <w:link w:val="BibliographyZchn2"/>
    <w:rsid w:val="00C62FEA"/>
    <w:pPr>
      <w:spacing w:line="480" w:lineRule="auto"/>
      <w:ind w:left="720" w:hanging="720"/>
      <w:jc w:val="left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BibliographyZchn2">
    <w:name w:val="Bibliography Zchn2"/>
    <w:basedOn w:val="Absatz-Standardschriftart"/>
    <w:link w:val="Literaturverzeichnis3"/>
    <w:rsid w:val="00C62FEA"/>
    <w:rPr>
      <w:rFonts w:ascii="Times New Roman" w:eastAsia="Times New Roman" w:hAnsi="Times New Roman" w:cs="Times New Roman"/>
      <w:lang w:val="en-US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C62FEA"/>
    <w:rPr>
      <w:color w:val="954F72" w:themeColor="followedHyperlink"/>
      <w:u w:val="single"/>
    </w:rPr>
  </w:style>
  <w:style w:type="table" w:styleId="EinfacheTabelle5">
    <w:name w:val="Plain Table 5"/>
    <w:basedOn w:val="NormaleTabelle"/>
    <w:uiPriority w:val="45"/>
    <w:rsid w:val="00C62FE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table" w:styleId="Gitternetztabelle1hell">
    <w:name w:val="Grid Table 1 Light"/>
    <w:basedOn w:val="NormaleTabelle"/>
    <w:uiPriority w:val="46"/>
    <w:rsid w:val="00C62FE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4">
    <w:name w:val="Plain Table 4"/>
    <w:basedOn w:val="NormaleTabelle"/>
    <w:uiPriority w:val="44"/>
    <w:rsid w:val="00C62FE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teraturverzeichnis">
    <w:name w:val="Bibliography"/>
    <w:basedOn w:val="Standard"/>
    <w:next w:val="Standard"/>
    <w:uiPriority w:val="37"/>
    <w:unhideWhenUsed/>
    <w:rsid w:val="00C62FEA"/>
    <w:pPr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apple-converted-space">
    <w:name w:val="apple-converted-space"/>
    <w:basedOn w:val="Absatz-Standardschriftart"/>
    <w:rsid w:val="00C62FEA"/>
  </w:style>
  <w:style w:type="character" w:styleId="Seitenzahl">
    <w:name w:val="page number"/>
    <w:basedOn w:val="Absatz-Standardschriftart"/>
    <w:uiPriority w:val="99"/>
    <w:semiHidden/>
    <w:unhideWhenUsed/>
    <w:rsid w:val="00A16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e.baeumler@med.uni-muenchen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onie.baeumler@med.uni-muenchen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1377</Words>
  <Characters>8679</Characters>
  <Application>Microsoft Office Word</Application>
  <DocSecurity>0</DocSecurity>
  <Lines>72</Lines>
  <Paragraphs>20</Paragraphs>
  <ScaleCrop>false</ScaleCrop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Bäumler</dc:creator>
  <cp:keywords/>
  <dc:description/>
  <cp:lastModifiedBy>Leonie Bäumler</cp:lastModifiedBy>
  <cp:revision>9</cp:revision>
  <dcterms:created xsi:type="dcterms:W3CDTF">2025-11-01T08:25:00Z</dcterms:created>
  <dcterms:modified xsi:type="dcterms:W3CDTF">2026-03-14T20:14:00Z</dcterms:modified>
</cp:coreProperties>
</file>